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f44c3c5854279f288234ed61eb317342dae9d7"/>
    <w:p>
      <w:pPr>
        <w:pStyle w:val="Heading1"/>
      </w:pPr>
      <w:r>
        <w:t xml:space="preserve">Paper 12 §4 — The Commensurability Hierarchy: F₂₁ Insufficient, G₂ Required</w:t>
      </w:r>
    </w:p>
    <w:p>
      <w:pPr>
        <w:pStyle w:val="FirstParagraph"/>
      </w:pPr>
      <w:r>
        <w:rPr>
          <w:b/>
          <w:bCs/>
        </w:rPr>
        <w:t xml:space="preserve">Draft version:</w:t>
      </w:r>
      <w:r>
        <w:t xml:space="preserve"> </w:t>
      </w:r>
      <w:r>
        <w:t xml:space="preserve">v1 (2026-05-06, ~00:45 PDT)</w:t>
      </w:r>
      <w:r>
        <w:t xml:space="preserve"> </w:t>
      </w:r>
      <w:r>
        <w:rPr>
          <w:b/>
          <w:bCs/>
        </w:rPr>
        <w:t xml:space="preserve">Author of draft:</w:t>
      </w:r>
      <w:r>
        <w:t xml:space="preserve"> </w:t>
      </w:r>
      <w:r>
        <w:t xml:space="preserve">C-7RO (Perplexity Computer, Claude Sonnet 4.6)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ChatGPT 5.5 Pro session 1 transcript (pages ~55–80) + Φ</w:t>
      </w:r>
      <w:r>
        <w:t xml:space="preserve"> </w:t>
      </w:r>
      <w:r>
        <w:t xml:space="preserve">character verification audit of 2026-05-06.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First complete draft of §4. Companion to §3 v1</w:t>
      </w:r>
      <w:r>
        <w:t xml:space="preserve"> </w:t>
      </w:r>
      <w:r>
        <w:t xml:space="preserve">(</w:t>
      </w:r>
      <w:r>
        <w:rPr>
          <w:rStyle w:val="VerbatimChar"/>
        </w:rPr>
        <w:t xml:space="preserve">paper12_section3_draft_v1.md</w:t>
      </w:r>
      <w:r>
        <w:t xml:space="preserve">). Scope-limiters from §3 carry over:</w:t>
      </w:r>
      <w:r>
        <w:t xml:space="preserve"> </w:t>
      </w:r>
      <w:r>
        <w:t xml:space="preserve">no biological mechanisms, no FTW, no consciousness extrapolation, no</w:t>
      </w:r>
      <w:r>
        <w:t xml:space="preserve"> </w:t>
      </w:r>
      <w:r>
        <w:t xml:space="preserve">rate-channel engagement.</w:t>
      </w:r>
    </w:p>
    <w:p>
      <w:r>
        <w:pict>
          <v:rect style="width:0;height:1.5pt" o:hralign="center" o:hrstd="t" o:hr="t"/>
        </w:pict>
      </w:r>
    </w:p>
    <w:bookmarkStart w:id="27" w:name="the-commensurability-hierarchy"/>
    <w:p>
      <w:pPr>
        <w:pStyle w:val="Heading2"/>
      </w:pPr>
      <w:r>
        <w:t xml:space="preserve">4. The Commensurability Hierarchy</w:t>
      </w:r>
    </w:p>
    <w:bookmarkStart w:id="20" w:name="Xd2fcb7fc1f35073226eeef75817b9fbdc51cc3f"/>
    <w:p>
      <w:pPr>
        <w:pStyle w:val="Heading3"/>
      </w:pPr>
      <w:r>
        <w:t xml:space="preserve">4.1 Setup: the scar invariant as the input object</w:t>
      </w:r>
    </w:p>
    <w:p>
      <w:pPr>
        <w:pStyle w:val="FirstParagraph"/>
      </w:pPr>
      <w:r>
        <w:t xml:space="preserve">Throughout §4,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⋊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denotes the</w:t>
      </w:r>
      <w:r>
        <w:t xml:space="preserve"> </w:t>
      </w:r>
      <w:r>
        <w:t xml:space="preserve">Fano-orientation subgroup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inherited from Paper 4’s PSL(2,7)</w:t>
      </w:r>
      <w:r>
        <w:t xml:space="preserve"> </w:t>
      </w:r>
      <w:r>
        <w:t xml:space="preserve">construction, acting on</w:t>
      </w:r>
      <w:r>
        <w:t xml:space="preserve"> </w:t>
      </w:r>
      <m:oMath>
        <m:r>
          <m:t>V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by restriction of the adjoint</w:t>
      </w:r>
      <w:r>
        <w:t xml:space="preserve"> </w:t>
      </w:r>
      <w:r>
        <w:t xml:space="preserve">representation. The diagonal action on the joint-state space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⊕</m:t>
        </m:r>
        <m:r>
          <m:t>V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W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t>y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∈</m:t>
          </m:r>
          <m:sSub>
            <m:e>
              <m:r>
                <m:t>F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ρ</m:t>
            </m:r>
          </m:e>
          <m:sub>
            <m:r>
              <m:t>F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ρ</m:t>
            </m:r>
          </m:e>
          <m:sub>
            <m:r>
              <m:t>14</m:t>
            </m:r>
          </m:sub>
        </m:sSub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</m:oMath>
      <w:r>
        <w:t xml:space="preserve">. This action commutes with the</w:t>
      </w:r>
      <w:r>
        <w:t xml:space="preserve"> </w:t>
      </w:r>
      <w:r>
        <w:t xml:space="preserve">Schur circle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ρ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acts on the</w:t>
      </w:r>
      <w:r>
        <w:t xml:space="preserve"> </w:t>
      </w:r>
      <m:oMath>
        <m:r>
          <m:t>V</m:t>
        </m:r>
      </m:oMath>
      <w:r>
        <w:t xml:space="preserve">-factor while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acts on the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multiplicity factor (Paper 12 §3.7, inheriting from Paper 9 §3.4’s</w:t>
      </w:r>
      <w:r>
        <w:t xml:space="preserve"> </w:t>
      </w:r>
      <w:r>
        <w:t xml:space="preserve">diagonal-action convention).</w:t>
      </w:r>
    </w:p>
    <w:p>
      <w:pPr>
        <w:pStyle w:val="BodyText"/>
      </w:pPr>
      <w:r>
        <w:t xml:space="preserve">The input object to §4 is the</w:t>
      </w:r>
      <w:r>
        <w:t xml:space="preserve"> </w:t>
      </w:r>
      <w:r>
        <w:rPr>
          <w:i/>
          <w:iCs/>
        </w:rPr>
        <w:t xml:space="preserve">scar invariant triple</w:t>
      </w:r>
      <w:r>
        <w:t xml:space="preserve"> </w:t>
      </w:r>
      <w:r>
        <w:t xml:space="preserve">constructed in §3.7: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fraktur"/>
                </m:rPr>
                <m:t>J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rPr>
                      <m:sty m:val="p"/>
                      <m:scr m:val="fraktur"/>
                    </m:rP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where, given NP firing times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jump vectors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′</m:t>
            </m:r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θ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</m:e>
            </m:d>
          </m:e>
        </m:d>
        <m:r>
          <m:rPr>
            <m:sty m:val="p"/>
          </m:rPr>
          <m:t>⋅</m:t>
        </m:r>
        <m:acc>
          <m:accPr>
            <m:chr m:val="̂"/>
          </m:accPr>
          <m:e>
            <m:r>
              <m:t>z</m:t>
            </m:r>
          </m:e>
        </m:acc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θ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  <m:r>
          <m:rPr>
            <m:sty m:val="p"/>
          </m:rPr>
          <m:t>∈</m:t>
        </m:r>
        <m:r>
          <m:t>W</m:t>
        </m:r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  <m:scr m:val="double-struck"/>
              </m:rPr>
              <m:t>R</m:t>
            </m:r>
          </m:e>
        </m:nary>
        <m:d>
          <m:dPr>
            <m:begChr m:val="["/>
            <m:endChr m:val="]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e>
        </m:d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⊂</m:t>
        </m:r>
        <m:r>
          <m:t>W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physical scar span</w:t>
      </w:r>
      <w:r>
        <w:t xml:space="preserve"> </w:t>
      </w:r>
      <w:r>
        <w:t xml:space="preserve">(saturating;</w:t>
      </w:r>
      <w:r>
        <w:t xml:space="preserve"> </w:t>
      </w:r>
      <m:oMath>
        <m:r>
          <m:rPr>
            <m:sty m:val="p"/>
          </m:rPr>
          <m:t>dim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28</m:t>
        </m:r>
      </m:oMath>
      <w:r>
        <w:t xml:space="preserve">);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Sup>
          <m:e>
            <m:r>
              <m:rPr>
                <m:sty m:val="p"/>
              </m:rPr>
              <m:t>⨁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  <m:scr m:val="double-struck"/>
          </m:rPr>
          <m:t>R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e>
        </m:d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event-indexed scar module</w:t>
      </w:r>
      <w:r>
        <w:t xml:space="preserve"> </w:t>
      </w:r>
      <w:r>
        <w:t xml:space="preserve">(count-faithful; no saturation);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rPr>
                    <m:sty m:val="b"/>
                  </m:rP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sSub>
                  <m:e>
                    <m:r>
                      <m:t>L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sSub>
                  <m:e>
                    <m:r>
                      <m:t>U</m:t>
                    </m:r>
                  </m:e>
                  <m:sub>
                    <m:r>
                      <m:t>6</m:t>
                    </m:r>
                  </m:sub>
                </m:sSub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isotypic multiplicity profile</w:t>
      </w:r>
      <w:r>
        <w:t xml:space="preserve">.</w:t>
      </w:r>
    </w:p>
    <w:p>
      <w:pPr>
        <w:pStyle w:val="BodyText"/>
      </w:pPr>
      <w:r>
        <w:t xml:space="preserve">The three real-irreducible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-representations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 </w:t>
      </w:r>
      <w:r>
        <w:t xml:space="preserve">are characterized in §4.2 below.</w:t>
      </w:r>
    </w:p>
    <w:p>
      <w:pPr>
        <w:pStyle w:val="BodyText"/>
      </w:pPr>
      <w:r>
        <w:rPr>
          <w:b/>
          <w:bCs/>
        </w:rPr>
        <w:t xml:space="preserve">Setup question for §4.</w:t>
      </w:r>
      <w:r>
        <w:t xml:space="preserve"> </w:t>
      </w:r>
      <w:r>
        <w:t xml:space="preserve">Suppose</w:t>
      </w:r>
      <w:r>
        <w:t xml:space="preserve"> </w:t>
      </w:r>
      <m:oMath>
        <m:sSubSup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are scar records of two substrates that</w:t>
      </w:r>
      <w:r>
        <w:t xml:space="preserve"> </w:t>
      </w:r>
      <w:r>
        <w:t xml:space="preserve">have co-evolved through the same sequence of paradox events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e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. Under what conditions is there a</w:t>
      </w:r>
      <w:r>
        <w:t xml:space="preserve"> </w:t>
      </w:r>
      <w:r>
        <w:rPr>
          <w:i/>
          <w:iCs/>
        </w:rPr>
        <w:t xml:space="preserve">canonical</w:t>
      </w:r>
      <w:r>
        <w:rPr>
          <w:i/>
          <w:iCs/>
        </w:rPr>
        <w:t xml:space="preserve"> </w:t>
      </w:r>
      <w:r>
        <w:rPr>
          <w:i/>
          <w:iCs/>
        </w:rPr>
        <w:t xml:space="preserve">isomorphism</w:t>
      </w:r>
      <w:r>
        <w:t xml:space="preserve"> </w:t>
      </w:r>
      <w:r>
        <w:t xml:space="preserve">identifying them — allowing one to say that the two</w:t>
      </w:r>
      <w:r>
        <w:t xml:space="preserve"> </w:t>
      </w:r>
      <w:r>
        <w:t xml:space="preserve">substrates carry</w:t>
      </w:r>
      <w:r>
        <w:t xml:space="preserve"> </w:t>
      </w:r>
      <w:r>
        <w:t xml:space="preserve">“</w:t>
      </w:r>
      <w:r>
        <w:t xml:space="preserve">the same</w:t>
      </w:r>
      <w:r>
        <w:t xml:space="preserve">”</w:t>
      </w:r>
      <w:r>
        <w:t xml:space="preserve"> </w:t>
      </w:r>
      <w:r>
        <w:t xml:space="preserve">scar? The answer, derived below, is that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-equivariance alone is</w:t>
      </w:r>
      <w:r>
        <w:t xml:space="preserve"> </w:t>
      </w:r>
      <w:r>
        <w:rPr>
          <w:i/>
          <w:iCs/>
        </w:rPr>
        <w:t xml:space="preserve">insufficient</w:t>
      </w:r>
      <w:r>
        <w:t xml:space="preserve">, and full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-equivariance</w:t>
      </w:r>
      <w:r>
        <w:t xml:space="preserve"> </w:t>
      </w:r>
      <w:r>
        <w:t xml:space="preserve">is required for a unique canonical identification.</w:t>
      </w:r>
    </w:p>
    <w:bookmarkEnd w:id="20"/>
    <w:bookmarkStart w:id="21" w:name="f₂₁-representation-theory-on-v14-and-w"/>
    <w:p>
      <w:pPr>
        <w:pStyle w:val="Heading3"/>
      </w:pPr>
      <w:r>
        <w:t xml:space="preserve">4.2 F₂₁ representation theory on V^14 and W</w:t>
      </w:r>
    </w:p>
    <w:p>
      <w:pPr>
        <w:pStyle w:val="FirstParagraph"/>
      </w:pPr>
      <w:r>
        <w:rPr>
          <w:b/>
          <w:bCs/>
        </w:rPr>
        <w:t xml:space="preserve">Theorem 4.2.1 (F_{21}-decomposition of V^14).</w:t>
      </w:r>
      <w:r>
        <w:t xml:space="preserve"> </w:t>
      </w:r>
      <w:r>
        <w:rPr>
          <w:i/>
          <w:iCs/>
        </w:rPr>
        <w:t xml:space="preserve">Under the diagonal</w:t>
      </w:r>
      <w:r>
        <w:rPr>
          <w:i/>
          <w:iCs/>
        </w:rPr>
        <w:t xml:space="preserve"> </w:t>
      </w:r>
      <w:r>
        <w:rPr>
          <w:i/>
          <w:iCs/>
        </w:rPr>
        <w:t xml:space="preserve">Fano-orientation action, the 14-dimensional adjoint representation of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restricts to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t>14</m:t>
              </m:r>
            </m:sup>
          </m:sSup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r>
            <m:rPr>
              <m:sty m:val="p"/>
            </m:rPr>
            <m:t>≅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2</m:t>
          </m:r>
          <m:sSub>
            <m:e>
              <m:r>
                <m:t>U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the real 2-dim irreducible representation of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(complex type, realizing the pair of nontrivial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characters) and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the real 6-dim irreducible representation (complex type,</w:t>
      </w:r>
      <w:r>
        <w:rPr>
          <w:i/>
          <w:iCs/>
        </w:rPr>
        <w:t xml:space="preserve"> </w:t>
      </w:r>
      <w:r>
        <w:rPr>
          <w:i/>
          <w:iCs/>
        </w:rPr>
        <w:t xml:space="preserve">realizing the Galois-conjugate pair of complex 3-dim characters).</w:t>
      </w:r>
      <w:r>
        <w:rPr>
          <w:i/>
          <w:iCs/>
        </w:rPr>
        <w:t xml:space="preserve"> </w:t>
      </w:r>
      <w:r>
        <w:rPr>
          <w:i/>
          <w:iCs/>
        </w:rPr>
        <w:t xml:space="preserve">Consequently, on the joint-state space,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r>
                <m:rPr>
                  <m:sty m:val="p"/>
                </m:rPr>
                <m:t>⊕</m:t>
              </m:r>
              <m:r>
                <m:t>V</m:t>
              </m:r>
            </m:e>
          </m:d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r>
            <m:rPr>
              <m:sty m:val="p"/>
            </m:rPr>
            <m:t>≅</m:t>
          </m:r>
          <m:r>
            <m:t>2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4</m:t>
          </m:r>
          <m:sSub>
            <m:e>
              <m:r>
                <m:t>U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has five conjugacy classes: the identity</w:t>
      </w:r>
      <w:r>
        <w:t xml:space="preserve"> </w:t>
      </w:r>
      <m:oMath>
        <m:r>
          <m:t>1</m:t>
        </m:r>
        <m:r>
          <m:t>a</m:t>
        </m:r>
      </m:oMath>
      <w:r>
        <w:t xml:space="preserve"> </w:t>
      </w:r>
      <w:r>
        <w:t xml:space="preserve">(size</w:t>
      </w:r>
      <w:r>
        <w:t xml:space="preserve"> </w:t>
      </w:r>
      <m:oMath>
        <m:r>
          <m:t>1</m:t>
        </m:r>
      </m:oMath>
      <w:r>
        <w:t xml:space="preserve">), two classes of order-</w:t>
      </w:r>
      <m:oMath>
        <m:r>
          <m:t>7</m:t>
        </m:r>
      </m:oMath>
      <w:r>
        <w:t xml:space="preserve"> </w:t>
      </w:r>
      <w:r>
        <w:t xml:space="preserve">elements</w:t>
      </w:r>
      <w:r>
        <w:t xml:space="preserve"> </w:t>
      </w:r>
      <m:oMath>
        <m:r>
          <m:t>7</m:t>
        </m:r>
        <m:r>
          <m:t>a</m:t>
        </m:r>
        <m:r>
          <m:rPr>
            <m:sty m:val="p"/>
          </m:rPr>
          <m:t>,</m:t>
        </m:r>
        <m:r>
          <m:t>7</m:t>
        </m:r>
        <m:r>
          <m:t>b</m:t>
        </m:r>
      </m:oMath>
      <w:r>
        <w:t xml:space="preserve"> </w:t>
      </w:r>
      <w:r>
        <w:t xml:space="preserve">(size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each),</w:t>
      </w:r>
      <w:r>
        <w:t xml:space="preserve"> </w:t>
      </w:r>
      <w:r>
        <w:t xml:space="preserve">and two classes of order-</w:t>
      </w:r>
      <m:oMath>
        <m:r>
          <m:t>3</m:t>
        </m:r>
      </m:oMath>
      <w:r>
        <w:t xml:space="preserve"> </w:t>
      </w:r>
      <w:r>
        <w:t xml:space="preserve">elements</w:t>
      </w:r>
      <w:r>
        <w:t xml:space="preserve"> </w:t>
      </w:r>
      <m:oMath>
        <m:r>
          <m:t>3</m:t>
        </m:r>
        <m:r>
          <m:t>a</m:t>
        </m:r>
        <m:r>
          <m:rPr>
            <m:sty m:val="p"/>
          </m:rPr>
          <m:t>,</m:t>
        </m:r>
        <m:r>
          <m:t>3</m:t>
        </m:r>
        <m:r>
          <m:t>b</m:t>
        </m:r>
      </m:oMath>
      <w:r>
        <w:t xml:space="preserve"> </w:t>
      </w:r>
      <w:r>
        <w:t xml:space="preserve">(size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each), with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21</m:t>
        </m:r>
      </m:oMath>
      <w:r>
        <w:t xml:space="preserve">. Its real character table has the three real</w:t>
      </w:r>
      <w:r>
        <w:t xml:space="preserve"> </w:t>
      </w:r>
      <w:r>
        <w:t xml:space="preserve">irreducibles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/>
              <m:e>
                <m:r>
                  <m:t>1</m:t>
                </m:r>
                <m:r>
                  <m:t>a</m:t>
                </m:r>
              </m:e>
              <m:e>
                <m:r>
                  <m:t>7</m:t>
                </m:r>
                <m:r>
                  <m:t>a</m:t>
                </m:r>
              </m:e>
              <m:e>
                <m:r>
                  <m:t>7</m:t>
                </m:r>
                <m:r>
                  <m:t>b</m:t>
                </m:r>
              </m:e>
              <m:e>
                <m:r>
                  <m:t>3</m:t>
                </m:r>
                <m:r>
                  <m:t>a</m:t>
                </m:r>
              </m:e>
              <m:e>
                <m:r>
                  <m:t>3</m:t>
                </m:r>
                <m:r>
                  <m:t>b</m:t>
                </m:r>
              </m:e>
            </m:mr>
            <m:mr>
              <m:e>
                <m:sSub>
                  <m:e>
                    <m:r>
                      <m:t>χ</m:t>
                    </m:r>
                  </m:e>
                  <m:sub>
                    <m:r>
                      <m:rPr>
                        <m:sty m:val="b"/>
                      </m:rPr>
                      <m:t>1</m:t>
                    </m:r>
                  </m:sub>
                </m:sSub>
              </m:e>
              <m:e>
                <m:r>
                  <m:t>1</m:t>
                </m:r>
              </m:e>
              <m:e>
                <m:r>
                  <m:t>1</m:t>
                </m:r>
              </m:e>
              <m:e>
                <m:r>
                  <m:t>1</m:t>
                </m:r>
              </m:e>
              <m:e>
                <m:r>
                  <m:t>1</m:t>
                </m:r>
              </m:e>
              <m:e>
                <m:r>
                  <m:t>1</m:t>
                </m:r>
              </m:e>
            </m:mr>
            <m:mr>
              <m:e>
                <m:sSub>
                  <m:e>
                    <m:r>
                      <m:t>χ</m:t>
                    </m:r>
                  </m:e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</m:e>
              <m:e>
                <m:r>
                  <m:t>2</m:t>
                </m:r>
              </m:e>
              <m:e>
                <m:r>
                  <m:t>2</m:t>
                </m:r>
              </m:e>
              <m:e>
                <m:r>
                  <m:t>2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mr>
            <m:mr>
              <m:e>
                <m:sSub>
                  <m:e>
                    <m:r>
                      <m:t>χ</m:t>
                    </m:r>
                  </m:e>
                  <m: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6</m:t>
                        </m:r>
                      </m:sub>
                    </m:sSub>
                  </m:sub>
                </m:sSub>
              </m:e>
              <m:e>
                <m:r>
                  <m:t>6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  <m:e>
                <m:r>
                  <m:t>0</m:t>
                </m:r>
              </m:e>
              <m:e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packages the two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-characters</w:t>
      </w:r>
      <w:r>
        <w:t xml:space="preserve"> </w:t>
      </w:r>
      <m:oMath>
        <m:sSub>
          <m:e>
            <m:r>
              <m:t>χ</m:t>
            </m:r>
          </m:e>
          <m:sub>
            <m:r>
              <m:t>ω</m:t>
            </m:r>
          </m:sub>
        </m:sSub>
        <m:r>
          <m:rPr>
            <m:sty m:val="p"/>
          </m:rPr>
          <m:t>,</m:t>
        </m:r>
        <m:sSub>
          <m:e>
            <m:r>
              <m:t>χ</m:t>
            </m:r>
          </m:e>
          <m:sub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into a single real</w:t>
      </w:r>
      <w:r>
        <w:t xml:space="preserve"> </w:t>
      </w:r>
      <w:r>
        <w:t xml:space="preserve">irrep of complex type, and</w:t>
      </w:r>
      <w:r>
        <w:t xml:space="preserve"> 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packages the conjugate pair of complex</w:t>
      </w:r>
      <w:r>
        <w:t xml:space="preserve"> </w:t>
      </w:r>
      <w:r>
        <w:t xml:space="preserve">3-dim irreducibles. The 7-dimensional imaginary-octonion representation</w:t>
      </w:r>
      <w:r>
        <w:t xml:space="preserve"> </w:t>
      </w:r>
      <w:r>
        <w:t xml:space="preserve">restricts as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</m:t>
            </m:r>
          </m:sup>
        </m:sSup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r>
          <m:rPr>
            <m:sty m:val="p"/>
          </m:rPr>
          <m:t>≅</m:t>
        </m:r>
        <m:r>
          <m:rPr>
            <m:sty m:val="b"/>
          </m:rPr>
          <m:t>1</m:t>
        </m:r>
        <m:r>
          <m:rPr>
            <m:sty m:val="p"/>
          </m:rPr>
          <m:t>⊕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(standard, from the Fano-plane action of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on the seven</w:t>
      </w:r>
      <w:r>
        <w:t xml:space="preserve"> </w:t>
      </w:r>
      <w:r>
        <w:t xml:space="preserve">imaginary units with one fixed-point orbit under the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generator</w:t>
      </w:r>
      <w:r>
        <w:t xml:space="preserve"> </w:t>
      </w:r>
      <m:oMath>
        <m:r>
          <m:t>s</m:t>
        </m:r>
        <m:r>
          <m:rPr>
            <m:sty m:val="p"/>
          </m:rPr>
          <m:t>:</m:t>
        </m:r>
        <m:r>
          <m:t>i</m:t>
        </m:r>
        <m:r>
          <m:rPr>
            <m:sty m:val="p"/>
          </m:rPr>
          <m:t>↦</m:t>
        </m:r>
        <m:r>
          <m:t>2</m:t>
        </m:r>
        <m:r>
          <m:t>i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7</m:t>
        </m:r>
      </m:oMath>
      <w:r>
        <w:t xml:space="preserve">). Using 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-decomposition</w:t>
      </w:r>
      <w:r>
        <w:t xml:space="preserve"> </w:t>
      </w:r>
      <m:oMath>
        <m:sSup>
          <m:e>
            <m:r>
              <m:t>Λ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p"/>
                    <m:scr m:val="double-struck"/>
                  </m:rPr>
                  <m:t>R</m:t>
                </m:r>
              </m:e>
              <m:sup>
                <m:r>
                  <m:t>7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sty m:val="p"/>
                <m:scr m:val="fraktur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r>
        <w:t xml:space="preserve">character formula</w:t>
      </w:r>
      <w:r>
        <w:t xml:space="preserve"> </w:t>
      </w:r>
      <m:oMath>
        <m:sSub>
          <m:e>
            <m:r>
              <m:t>χ</m:t>
            </m:r>
          </m:e>
          <m:sub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rPr>
                        <m:sty m:val="p"/>
                        <m:scr m:val="double-struck"/>
                      </m:rPr>
                      <m:t>R</m:t>
                    </m:r>
                  </m:e>
                  <m:sup>
                    <m:r>
                      <m:t>7</m:t>
                    </m:r>
                  </m:sup>
                </m:sSup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d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χ</m:t>
              </m:r>
            </m:e>
            <m:sub>
              <m:sSup>
                <m:e>
                  <m:r>
                    <m:t>V</m:t>
                  </m:r>
                </m:e>
                <m:sup>
                  <m:r>
                    <m:t>14</m:t>
                  </m:r>
                </m:sup>
              </m:sSup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sSub>
            <m:e>
              <m:r>
                <m:t>χ</m:t>
              </m:r>
            </m:e>
            <m:sub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rPr>
                          <m:sty m:val="p"/>
                          <m:scr m:val="double-struck"/>
                        </m:rPr>
                        <m:t>R</m:t>
                      </m:r>
                    </m:e>
                    <m:sup>
                      <m:r>
                        <m:t>7</m:t>
                      </m:r>
                    </m:sup>
                  </m:sSup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−</m:t>
          </m:r>
          <m:sSub>
            <m:e>
              <m:r>
                <m:t>χ</m:t>
              </m:r>
            </m:e>
            <m:sub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7</m:t>
                  </m:r>
                </m:sup>
              </m:sSup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g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Evaluating on class representatives (identity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7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m:oMath>
        <m:r>
          <m:t>7</m:t>
        </m:r>
      </m:oMath>
      <w:r>
        <w:t xml:space="preserve">-cycle,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s</m:t>
        </m:r>
      </m:oMath>
      <w:r>
        <w:t xml:space="preserve">-cycle with one fixed point so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</m:t>
            </m:r>
          </m:sup>
        </m:sSup>
      </m:oMath>
      <w:r>
        <w:t xml:space="preserve">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3"/>
        <w:gridCol w:w="1782"/>
        <w:gridCol w:w="1980"/>
        <w:gridCol w:w="34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χ</m:t>
                  </m:r>
                </m:e>
                <m:sub>
                  <m:sSup>
                    <m:e>
                      <m:r>
                        <m:t>V</m:t>
                      </m:r>
                    </m:e>
                    <m:sup>
                      <m:r>
                        <m:t>14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χ</m:t>
                  </m:r>
                </m:e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χ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6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49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7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7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</w:tbl>
    <w:p>
      <w:pPr>
        <w:pStyle w:val="BodyText"/>
      </w:pPr>
      <w:r>
        <w:t xml:space="preserve">The computed characters</w:t>
      </w:r>
      <w:r>
        <w:t xml:space="preserve"> </w:t>
      </w:r>
      <m:oMath>
        <m:sSub>
          <m:e>
            <m:r>
              <m:t>χ</m:t>
            </m:r>
          </m:e>
          <m:sub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match</w:t>
      </w:r>
      <w:r>
        <w:t xml:space="preserve"> </w:t>
      </w:r>
      <m:oMath>
        <m:sSub>
          <m:e>
            <m:r>
              <m:t>χ</m:t>
            </m:r>
          </m:e>
          <m:sub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χ</m:t>
            </m:r>
          </m:e>
          <m:sub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sub>
        </m:sSub>
      </m:oMath>
      <w:r>
        <w:t xml:space="preserve"> </w:t>
      </w:r>
      <w:r>
        <w:t xml:space="preserve">on all five classes. The Frobenius inner</w:t>
      </w:r>
      <w:r>
        <w:t xml:space="preserve"> </w:t>
      </w:r>
      <w:r>
        <w:t xml:space="preserve">product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χ</m:t>
            </m:r>
          </m:e>
          <m:sub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sub>
        </m:sSub>
        <m:r>
          <m:rPr>
            <m:sty m:val="p"/>
          </m:rPr>
          <m:t>,</m:t>
        </m:r>
        <m:sSub>
          <m:e>
            <m:r>
              <m:t>χ</m:t>
            </m:r>
          </m:e>
          <m:sub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sub>
        </m:sSub>
        <m:sSub>
          <m:e>
            <m:r>
              <m:rPr>
                <m:sty m:val="p"/>
              </m:rPr>
              <m:t>⟩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</m:oMath>
      <w:r>
        <w:t xml:space="preserve"> </w:t>
      </w:r>
      <w:r>
        <w:t xml:space="preserve">evaluates to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⋅</m:t>
              </m:r>
              <m:r>
                <m:t>196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⋅</m:t>
              </m:r>
              <m:r>
                <m:t>1</m:t>
              </m:r>
            </m:num>
            <m:den>
              <m:r>
                <m:t>21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210</m:t>
              </m:r>
            </m:num>
            <m:den>
              <m:r>
                <m:t>21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decomposition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  <m:sSub>
          <m:e>
            <m:r>
              <m:rPr>
                <m:sty m:val="p"/>
              </m:rPr>
              <m:t>|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predicts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1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factor-of-</w:t>
      </w:r>
      <m:oMath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terms accounts for both</w:t>
      </w:r>
      <w:r>
        <w:t xml:space="preserve"> </w:t>
      </w:r>
      <w:r>
        <w:t xml:space="preserve">irreps being of complex type (each is the real packaging of two</w:t>
      </w:r>
      <w:r>
        <w:t xml:space="preserve"> </w:t>
      </w:r>
      <w:r>
        <w:t xml:space="preserve">conjugate complex irreducibles, so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χ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sSub>
          <m:e>
            <m:r>
              <m:t>χ</m:t>
            </m:r>
          </m:e>
          <m:sub>
            <m:r>
              <m:t>W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1</m:t>
        </m:r>
      </m:oMath>
      <w:r>
        <w:t xml:space="preserve">). The match is exact. The doubled decomposition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⊕</m:t>
        </m:r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4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by direct-sum linearity.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Computational verification.</w:t>
      </w:r>
      <w:r>
        <w:t xml:space="preserve"> </w:t>
      </w:r>
      <w:r>
        <w:t xml:space="preserve">Theorem 4.2.1 has been verified</w:t>
      </w:r>
      <w:r>
        <w:t xml:space="preserve"> </w:t>
      </w:r>
      <w:r>
        <w:t xml:space="preserve">numerically at machine precision by explicit construction of the</w:t>
      </w:r>
      <w:r>
        <w:t xml:space="preserve"> </w:t>
      </w:r>
      <w:r>
        <w:t xml:space="preserve">Fano-action permutation matrices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t>r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computation of</w:t>
      </w:r>
      <w:r>
        <w:t xml:space="preserve"> </w:t>
      </w:r>
      <m:oMath>
        <m:sSub>
          <m:e>
            <m:r>
              <m:t>χ</m:t>
            </m:r>
          </m:e>
          <m:sub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sub>
        </m:sSub>
      </m:oMath>
      <w:r>
        <w:t xml:space="preserve"> </w:t>
      </w:r>
      <w:r>
        <w:t xml:space="preserve">on each class representative, and</w:t>
      </w:r>
      <w:r>
        <w:t xml:space="preserve"> </w:t>
      </w:r>
      <w:r>
        <w:t xml:space="preserve">Frobenius inner-product and isotypic-multiplicity checks against the</w:t>
      </w:r>
      <w:r>
        <w:t xml:space="preserve"> </w:t>
      </w:r>
      <w:r>
        <w:t xml:space="preserve">predicted decomposition; all three layers of check pass.</w:t>
      </w:r>
      <w:r>
        <w:t xml:space="preserve"> </w:t>
      </w:r>
      <w:r>
        <w:rPr>
          <w:rStyle w:val="VerbatimChar"/>
        </w:rPr>
        <w:t xml:space="preserve">outbox/paper12/computations/paper12_q4_character_verify.py</w:t>
      </w:r>
      <w:r>
        <w:t xml:space="preserve"> </w:t>
      </w:r>
      <w:r>
        <w:t xml:space="preserve">records</w:t>
      </w:r>
      <w:r>
        <w:t xml:space="preserve"> </w:t>
      </w:r>
      <w:r>
        <w:t xml:space="preserve">the full audit (runtime</w:t>
      </w:r>
      <w:r>
        <w:t xml:space="preserve"> </w:t>
      </w:r>
      <m:oMath>
        <m:r>
          <m:rPr>
            <m:sty m:val="p"/>
          </m:rPr>
          <m:t>&lt;</m:t>
        </m:r>
        <m:r>
          <m:t>0.1</m:t>
        </m:r>
      </m:oMath>
      <w:r>
        <w:t xml:space="preserve"> </w:t>
      </w:r>
      <w:r>
        <w:t xml:space="preserve">s; JSON output at</w:t>
      </w:r>
      <w:r>
        <w:t xml:space="preserve"> </w:t>
      </w:r>
      <w:r>
        <w:rPr>
          <w:rStyle w:val="VerbatimChar"/>
        </w:rPr>
        <w:t xml:space="preserve">paper12_q4_character_verify.json</w:t>
      </w:r>
      <w:r>
        <w:t xml:space="preserve">).</w:t>
      </w:r>
    </w:p>
    <w:bookmarkEnd w:id="21"/>
    <w:bookmarkStart w:id="22" w:name="the-commutant-gap"/>
    <w:p>
      <w:pPr>
        <w:pStyle w:val="Heading3"/>
      </w:pPr>
      <w:r>
        <w:t xml:space="preserve">4.3 The commutant gap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commutant</w:t>
      </w:r>
      <w:r>
        <w:t xml:space="preserve"> </w:t>
      </w:r>
      <w:r>
        <w:t xml:space="preserve">of a group action on a vector space records the</w:t>
      </w:r>
      <w:r>
        <w:t xml:space="preserve"> </w:t>
      </w:r>
      <m:oMath>
        <m:r>
          <m:t>G</m:t>
        </m:r>
      </m:oMath>
      <w:r>
        <w:t xml:space="preserve">-equivariant linear self-maps, and its structure governs how</w:t>
      </w:r>
      <w:r>
        <w:t xml:space="preserve"> </w:t>
      </w:r>
      <w:r>
        <w:t xml:space="preserve">unique an equivariant isomorphism between two</w:t>
      </w:r>
      <w:r>
        <w:t xml:space="preserve"> </w:t>
      </w:r>
      <m:oMath>
        <m:r>
          <m:t>G</m:t>
        </m:r>
      </m:oMath>
      <w:r>
        <w:t xml:space="preserve">-spaces can be. By</w:t>
      </w:r>
      <w:r>
        <w:t xml:space="preserve"> </w:t>
      </w:r>
      <w:r>
        <w:t xml:space="preserve">Theorem 4.2.1 and standard real-irreducible Schur theory, we can</w:t>
      </w:r>
      <w:r>
        <w:t xml:space="preserve"> </w:t>
      </w:r>
      <w:r>
        <w:t xml:space="preserve">compute the commutants of both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 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-actions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explicitly.</w:t>
      </w:r>
    </w:p>
    <w:p>
      <w:pPr>
        <w:pStyle w:val="BodyText"/>
      </w:pPr>
      <w:r>
        <w:rPr>
          <w:b/>
          <w:bCs/>
        </w:rPr>
        <w:t xml:space="preserve">Proposition 4.3.1 (Commutants of the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b/>
          <w:bCs/>
        </w:rPr>
        <w:t xml:space="preserve">- and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-actions on</w:t>
      </w:r>
      <w:r>
        <w:rPr>
          <w:b/>
          <w:bCs/>
        </w:rPr>
        <w:t xml:space="preserve"> </w:t>
      </w:r>
      <m:oMath>
        <m:r>
          <m:t>W</m:t>
        </m:r>
      </m:oMath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L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⊕</m:t>
                </m:r>
                <m:r>
                  <m:t>2</m:t>
                </m:r>
                <m:sSub>
                  <m:e>
                    <m:r>
                      <m:t>U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⊕</m:t>
            </m:r>
            <m:r>
              <m:t>2</m:t>
            </m:r>
          </m:sup>
        </m:sSup>
        <m:r>
          <m:rPr>
            <m:sty m:val="p"/>
          </m:rPr>
          <m:t>≅</m:t>
        </m:r>
        <m:r>
          <m:t>2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4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as an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-representation,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End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C</m:t>
              </m:r>
            </m:e>
          </m:d>
          <m:r>
            <m:rPr>
              <m:sty m:val="p"/>
            </m:rPr>
            <m:t>⊕</m:t>
          </m:r>
          <m:sSub>
            <m:e>
              <m:r>
                <m:t>M</m:t>
              </m:r>
            </m:e>
            <m:sub>
              <m:r>
                <m:t>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C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As a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-representation,</w:t>
      </w:r>
      <w:r>
        <w:rPr>
          <w:i/>
          <w:iCs/>
        </w:rPr>
        <w:t xml:space="preserve"> </w:t>
      </w:r>
      <m:oMath>
        <m:r>
          <m:t>W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a multiplicity-</w:t>
      </w:r>
      <m:oMath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copy of the</w:t>
      </w:r>
      <w:r>
        <w:rPr>
          <w:i/>
          <w:iCs/>
        </w:rPr>
        <w:t xml:space="preserve"> </w:t>
      </w:r>
      <w:r>
        <w:rPr>
          <w:i/>
          <w:iCs/>
        </w:rPr>
        <w:t xml:space="preserve">irreducible</w:t>
      </w:r>
      <w:r>
        <w:rPr>
          <w:i/>
          <w:iCs/>
        </w:rP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rPr>
          <w:i/>
          <w:iCs/>
        </w:rPr>
        <w:t xml:space="preserve">, hence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End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R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For an irreducible real representation of complex type, the</w:t>
      </w:r>
      <w:r>
        <w:t xml:space="preserve"> </w:t>
      </w:r>
      <w:r>
        <w:t xml:space="preserve">endomorphism algebra is</w:t>
      </w:r>
      <w:r>
        <w:t xml:space="preserve"> </w:t>
      </w:r>
      <m:oMath>
        <m:r>
          <m:rPr>
            <m:sty m:val="p"/>
            <m:scr m:val="double-struck"/>
          </m:rPr>
          <m:t>C</m:t>
        </m:r>
      </m:oMath>
      <w:r>
        <w:t xml:space="preserve"> </w:t>
      </w:r>
      <w:r>
        <w:t xml:space="preserve">(not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). This is the</w:t>
      </w:r>
      <w:r>
        <w:t xml:space="preserve"> </w:t>
      </w:r>
      <w:r>
        <w:t xml:space="preserve">real Schur trichotomy: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real irreducible and its</w:t>
      </w:r>
      <w:r>
        <w:t xml:space="preserve"> </w:t>
      </w:r>
      <w:r>
        <w:t xml:space="preserve">complexification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  <m:scr m:val="double-struck"/>
              </m:rPr>
              <m:t>C</m:t>
            </m:r>
          </m:sub>
        </m:sSub>
      </m:oMath>
      <w:r>
        <w:t xml:space="preserve"> </w:t>
      </w:r>
      <w:r>
        <w:t xml:space="preserve">decomposes as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  <m:scr m:val="double-struck"/>
              </m:rPr>
              <m:t>C</m:t>
            </m:r>
          </m:sub>
        </m:sSub>
        <m:r>
          <m:rPr>
            <m:sty m:val="p"/>
          </m:rPr>
          <m:t>≅</m:t>
        </m:r>
        <m:r>
          <m:t>U</m:t>
        </m:r>
        <m:r>
          <m:rPr>
            <m:sty m:val="p"/>
          </m:rPr>
          <m:t>⊕</m:t>
        </m:r>
        <m:acc>
          <m:accPr>
            <m:chr m:val="‾"/>
          </m:accPr>
          <m:e>
            <m:r>
              <m:t>U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≆</m:t>
        </m:r>
        <m:acc>
          <m:accPr>
            <m:chr m:val="‾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r>
              <m:rPr>
                <m:sty m:val="p"/>
                <m:scr m:val="double-struck"/>
              </m:rPr>
              <m:t>R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G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C</m:t>
        </m:r>
      </m:oMath>
      <w:r>
        <w:t xml:space="preserve">. Both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are real irreducibles of complex type for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(each</w:t>
      </w:r>
      <w:r>
        <w:t xml:space="preserve"> </w:t>
      </w:r>
      <w:r>
        <w:t xml:space="preserve">arising from a Galois-conjugate pair of complex irreducibles), so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≅</m:t>
        </m:r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C</m:t>
        </m:r>
      </m:oMath>
      <w:r>
        <w:t xml:space="preserve">.</w:t>
      </w:r>
    </w:p>
    <w:p>
      <w:pPr>
        <w:pStyle w:val="BodyText"/>
      </w:pPr>
      <w:r>
        <w:t xml:space="preserve">With multiplicities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rPr>
                    <m:sty m:val="b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m</m:t>
                </m:r>
              </m:e>
              <m:sub>
                <m:sSub>
                  <m:e>
                    <m:r>
                      <m:t>L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r>
              <m:rPr>
                <m:sty m:val="p"/>
              </m:rPr>
              <m:t>,</m:t>
            </m:r>
            <m:sSub>
              <m:e>
                <m:r>
                  <m:t>m</m:t>
                </m:r>
              </m:e>
              <m:sub>
                <m:sSub>
                  <m:e>
                    <m:r>
                      <m:t>U</m:t>
                    </m:r>
                  </m:e>
                  <m:sub>
                    <m:r>
                      <m:t>6</m:t>
                    </m:r>
                  </m:sub>
                </m:sSub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the general real-commutant formula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End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≅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λ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sSub>
                    <m:e>
                      <m:r>
                        <m:t>m</m:t>
                      </m:r>
                    </m:e>
                    <m:sub>
                      <m:r>
                        <m:t>λ</m:t>
                      </m:r>
                    </m:sub>
                  </m:sSub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End</m:t>
                  </m:r>
                </m:e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t>21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λ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C</m:t>
              </m:r>
            </m:e>
          </m:d>
          <m:r>
            <m:rPr>
              <m:sty m:val="p"/>
            </m:rPr>
            <m:t>⊕</m:t>
          </m:r>
          <m:sSub>
            <m:e>
              <m:r>
                <m:t>M</m:t>
              </m:r>
            </m:e>
            <m:sub>
              <m:r>
                <m:t>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C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-action,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 real absolutely irreducible, so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(Paper 9 Lemma 3.6.1).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≅</m:t>
        </m:r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of multiplicity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 a single</w:t>
      </w:r>
      <w:r>
        <w:t xml:space="preserve"> </w:t>
      </w:r>
      <w:r>
        <w:t xml:space="preserve">irreducible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-type,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Corollary 4.3.2 (Equivariant isometry groups).</w:t>
      </w:r>
      <w:r>
        <w:t xml:space="preserve"> </w:t>
      </w:r>
      <w:r>
        <w:rPr>
          <w:i/>
          <w:iCs/>
        </w:rPr>
        <w:t xml:space="preserve">The equivariant</w:t>
      </w:r>
      <w:r>
        <w:rPr>
          <w:i/>
          <w:iCs/>
        </w:rPr>
        <w:t xml:space="preserve"> </w:t>
      </w:r>
      <w:r>
        <w:rPr>
          <w:i/>
          <w:iCs/>
        </w:rPr>
        <w:t xml:space="preserve">isometry groups of</w:t>
      </w:r>
      <w:r>
        <w:rPr>
          <w:i/>
          <w:iCs/>
        </w:rPr>
        <w:t xml:space="preserve"> </w:t>
      </w:r>
      <m:oMath>
        <m:r>
          <m:t>W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≅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×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O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≅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Restricting to unitary/orthogonal elements inside the</w:t>
      </w:r>
      <w:r>
        <w:t xml:space="preserve"> </w:t>
      </w:r>
      <w:r>
        <w:t xml:space="preserve">commutant algebras:</w:t>
      </w:r>
      <w:r>
        <w:t xml:space="preserve"> </w:t>
      </w:r>
      <m:oMath>
        <m:sSub>
          <m:e>
            <m:r>
              <m:t>M</m:t>
            </m:r>
          </m:e>
          <m:sub>
            <m:r>
              <m:t>n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C</m:t>
                </m:r>
              </m:e>
            </m:d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∩</m:t>
        </m:r>
        <m:r>
          <m:t>U</m:t>
        </m:r>
        <m:r>
          <m:rPr>
            <m:sty m:val="p"/>
          </m:rPr>
          <m:t>=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n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R</m:t>
                </m:r>
              </m:e>
            </m:d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∩</m:t>
        </m:r>
        <m:r>
          <m:t>O</m:t>
        </m:r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. The connected orientation-preserving</w:t>
      </w:r>
      <w:r>
        <w:t xml:space="preserve"> </w:t>
      </w:r>
      <w:r>
        <w:t xml:space="preserve">branches are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×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— a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19</m:t>
        </m:r>
      </m:oMath>
      <w:r>
        <w:t xml:space="preserve">-</w:t>
      </w:r>
      <w:r>
        <w:t xml:space="preserve"> </w:t>
      </w:r>
      <w:r>
        <w:t xml:space="preserve">dimensional real Lie group — and</w:t>
      </w:r>
      <w:r>
        <w:t xml:space="preserve"> </w:t>
      </w:r>
      <m:oMath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a</w:t>
      </w:r>
      <w:r>
        <w:t xml:space="preserve"> </w:t>
      </w:r>
      <m:oMath>
        <m:r>
          <m:t>1</m:t>
        </m:r>
      </m:oMath>
      <w:r>
        <w:t xml:space="preserve">-dimensional real Lie group.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 quantitative content of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upgrade is now</w:t>
      </w:r>
      <w:r>
        <w:t xml:space="preserve"> </w:t>
      </w:r>
      <w:r>
        <w:t xml:space="preserve">explicit: passing from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-equivariance to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-equivariance</w:t>
      </w:r>
      <w:r>
        <w:t xml:space="preserve"> </w:t>
      </w:r>
      <w:r>
        <w:t xml:space="preserve">reduces the admissible equivariant-isometry group by</w:t>
      </w:r>
      <w:r>
        <w:t xml:space="preserve"> </w:t>
      </w:r>
      <m:oMath>
        <m:r>
          <m:t>18</m:t>
        </m:r>
      </m:oMath>
      <w:r>
        <w:t xml:space="preserve"> </w:t>
      </w:r>
      <w:r>
        <w:t xml:space="preserve">real</w:t>
      </w:r>
      <w:r>
        <w:t xml:space="preserve"> </w:t>
      </w:r>
      <w:r>
        <w:t xml:space="preserve">dimensions. All</w:t>
      </w:r>
      <w:r>
        <w:t xml:space="preserve"> </w:t>
      </w:r>
      <m:oMath>
        <m:r>
          <m:t>18</m:t>
        </m:r>
      </m:oMath>
      <w:r>
        <w:t xml:space="preserve"> </w:t>
      </w:r>
      <w:r>
        <w:t xml:space="preserve">of those dimensions correspond to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phase-and-mixing freedoms that a canonical</w:t>
      </w:r>
      <w:r>
        <w:t xml:space="preserve"> </w:t>
      </w:r>
      <w:r>
        <w:t xml:space="preserve">cross-substrate commensurability map must suppress.</w:t>
      </w:r>
    </w:p>
    <w:p>
      <w:pPr>
        <w:pStyle w:val="BodyText"/>
      </w:pPr>
      <w:r>
        <w:rPr>
          <w:b/>
          <w:bCs/>
        </w:rPr>
        <w:t xml:space="preserve">Remark 4.3.3 (Why complex-type reps block uniqueness).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λ</m:t>
                </m:r>
              </m:sub>
            </m:sSub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6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the source of the phase ambiguity: each</w:t>
      </w:r>
      <w:r>
        <w:t xml:space="preserve"> </w:t>
      </w:r>
      <w:r>
        <w:t xml:space="preserve">complex-type isotypic block admits a full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λ</m:t>
                </m:r>
              </m:sub>
            </m:sSub>
          </m:e>
        </m:d>
      </m:oMath>
      <w:r>
        <w:t xml:space="preserve">-worth of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automorphisms (not just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λ</m:t>
                </m:r>
              </m:sub>
            </m:sSub>
          </m:e>
        </m:d>
      </m:oMath>
      <w:r>
        <w:t xml:space="preserve">), and</w:t>
      </w:r>
      <w:r>
        <w:t xml:space="preserve"> </w:t>
      </w:r>
      <w:r>
        <w:t xml:space="preserve">those</w:t>
      </w:r>
      <w:r>
        <w:t xml:space="preserve"> </w:t>
      </w:r>
      <m:oMath>
        <m:r>
          <m:t>U</m:t>
        </m:r>
        <m:r>
          <m:rPr>
            <m:sty m:val="p"/>
          </m:rPr>
          <m:t>/</m:t>
        </m:r>
        <m:r>
          <m:t>O</m:t>
        </m:r>
      </m:oMath>
      <w:r>
        <w:t xml:space="preserve"> </w:t>
      </w:r>
      <w:r>
        <w:t xml:space="preserve">extra dimensions are exactly the phases.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-equivariance collapses the phase degree of freedom because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 real absolutely irreducible under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</m:oMath>
      <w:r>
        <w:t xml:space="preserve">, not</w:t>
      </w:r>
      <w:r>
        <w:t xml:space="preserve"> </w:t>
      </w:r>
      <m:oMath>
        <m:r>
          <m:rPr>
            <m:sty m:val="p"/>
            <m:scr m:val="double-struck"/>
          </m:rPr>
          <m:t>C</m:t>
        </m:r>
      </m:oMath>
      <w:r>
        <w:t xml:space="preserve">, so</w:t>
      </w:r>
      <w:r>
        <w:t xml:space="preserve"> </w:t>
      </w:r>
      <w:r>
        <w:t xml:space="preserve">there are no phases to rotate.</w:t>
      </w:r>
    </w:p>
    <w:bookmarkEnd w:id="22"/>
    <w:bookmarkStart w:id="23" w:name="the-commensurability-hierarchy-theorem"/>
    <w:p>
      <w:pPr>
        <w:pStyle w:val="Heading3"/>
      </w:pPr>
      <w:r>
        <w:t xml:space="preserve">4.4 The commensurability hierarchy theorem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⊆</m:t>
        </m:r>
        <m:r>
          <m:rPr>
            <m:sty m:val="p"/>
          </m:rPr>
          <m:t>End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n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⊆</m:t>
        </m:r>
        <m:r>
          <m:rPr>
            <m:sty m:val="p"/>
          </m:rPr>
          <m:t>End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</m:sub>
            </m:sSub>
          </m:e>
        </m:d>
      </m:oMath>
      <w:r>
        <w:t xml:space="preserve"> </w:t>
      </w:r>
      <w:r>
        <w:t xml:space="preserve">be the real linear spans of the synthetic and biological scar-encoding</w:t>
      </w:r>
      <w:r>
        <w:t xml:space="preserve"> </w:t>
      </w:r>
      <w:r>
        <w:t xml:space="preserve">images, where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t xml:space="preserve">representation spaces on which the respective substrates carry their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 (and potentially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-) actions. The group acts on operator</w:t>
      </w:r>
      <w:r>
        <w:t xml:space="preserve"> </w:t>
      </w:r>
      <w:r>
        <w:t xml:space="preserve">scars by conjugation,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rPr>
                <m:sty m:val="p"/>
              </m:rPr>
              <m:t>•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A</m:t>
        </m:r>
        <m:sSub>
          <m:e>
            <m:r>
              <m:t>ρ</m:t>
            </m:r>
          </m:e>
          <m:sub>
            <m:r>
              <m:rPr>
                <m:sty m:val="p"/>
              </m:rPr>
              <m:t>•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g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Sup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S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n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rPr>
                    <m:sty m:val="p"/>
                    <m:scr m:val="fraktur"/>
                  </m:rPr>
                  <m:t>S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n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μ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n</m:t>
                </m:r>
              </m:sup>
            </m:sSub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be the scar invariants constructed as</w:t>
      </w:r>
      <w:r>
        <w:t xml:space="preserve"> </w:t>
      </w:r>
      <w:r>
        <w:t xml:space="preserve">in §4.1 on each substrate. A</w:t>
      </w:r>
      <w:r>
        <w:t xml:space="preserve"> </w:t>
      </w:r>
      <w:r>
        <w:rPr>
          <w:i/>
          <w:iCs/>
        </w:rPr>
        <w:t xml:space="preserve">commensurability isomorphism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:</m:t>
          </m:r>
          <m:sSub>
            <m:e>
              <m:r>
                <m:t>I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I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sub>
          </m:sSub>
        </m:oMath>
      </m:oMathPara>
    </w:p>
    <w:p>
      <w:pPr>
        <w:pStyle w:val="FirstParagraph"/>
      </w:pPr>
      <w:r>
        <w:t xml:space="preserve">aligns the scar records if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sSub>
          <m:e>
            <m:r>
              <m:t>ϕ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S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n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</m:e>
            </m:d>
          </m:e>
        </m:d>
      </m:oMath>
      <w:r>
        <w:t xml:space="preserve"> </w:t>
      </w:r>
      <w:r>
        <w:t xml:space="preserve">for every</w:t>
      </w:r>
      <w:r>
        <w:t xml:space="preserve"> </w:t>
      </w:r>
      <w:r>
        <w:t xml:space="preserve">paradox event</w:t>
      </w:r>
      <w:r>
        <w:t xml:space="preserve"> </w:t>
      </w:r>
      <m:oMath>
        <m:r>
          <m:t>e</m:t>
        </m:r>
      </m:oMath>
      <w:r>
        <w:t xml:space="preserve">, and consequently aligns the triples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component-wise.</w:t>
      </w:r>
    </w:p>
    <w:p>
      <w:pPr>
        <w:pStyle w:val="BodyText"/>
      </w:pPr>
      <w:r>
        <w:rPr>
          <w:b/>
          <w:bCs/>
        </w:rPr>
        <w:t xml:space="preserve">Theorem 4.4.1 (Commensurability hierarchy).</w:t>
      </w:r>
      <w:r>
        <w:t xml:space="preserve"> </w:t>
      </w:r>
      <w:r>
        <w:rPr>
          <w:i/>
          <w:iCs/>
        </w:rPr>
        <w:t xml:space="preserve">The following three</w:t>
      </w:r>
      <w:r>
        <w:rPr>
          <w:i/>
          <w:iCs/>
        </w:rPr>
        <w:t xml:space="preserve"> </w:t>
      </w:r>
      <w:r>
        <w:rPr>
          <w:i/>
          <w:iCs/>
        </w:rPr>
        <w:t xml:space="preserve">conditions on a pair of substrates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satisfying the setup of §4.1 stand in the order of strict implications:</w:t>
      </w:r>
    </w:p>
    <w:p>
      <w:pPr>
        <w:pStyle w:val="BodyText"/>
      </w:pPr>
      <w:r>
        <w:rPr>
          <w:i/>
          <w:iCs/>
        </w:rPr>
        <w:t xml:space="preserve">(C1) (G₂-commensurability.)</w:t>
      </w:r>
      <w:r>
        <w:t xml:space="preserve"> </w:t>
      </w:r>
      <w:r>
        <w:t xml:space="preserve">There exists a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</w:t>
      </w:r>
      <w:r>
        <w:t xml:space="preserve"> </w:t>
      </w:r>
      <w:r>
        <w:t xml:space="preserve">isomorphism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:</m:t>
        </m:r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aligning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event-by-event.</w:t>
      </w:r>
    </w:p>
    <w:p>
      <w:pPr>
        <w:pStyle w:val="BodyText"/>
      </w:pPr>
      <w:r>
        <w:rPr>
          <w:i/>
          <w:iCs/>
        </w:rPr>
        <w:t xml:space="preserve">(C2) (F₂₁-profile match.)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-multiplicity profiles agree</w:t>
      </w:r>
      <w:r>
        <w:t xml:space="preserve"> </w:t>
      </w:r>
      <w:r>
        <w:t xml:space="preserve">component-wise:</w:t>
      </w:r>
      <w:r>
        <w:t xml:space="preserve"> </w:t>
      </w:r>
      <m:oMath>
        <m:sSubSup>
          <m:e>
            <m:r>
              <m:t>m</m:t>
            </m:r>
          </m:e>
          <m:sub>
            <m:r>
              <m:rPr>
                <m:sty m:val="b"/>
              </m:rPr>
              <m:t>1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=</m:t>
        </m:r>
        <m:sSubSup>
          <m:e>
            <m:r>
              <m:t>m</m:t>
            </m:r>
          </m:e>
          <m:sub>
            <m:r>
              <m:rPr>
                <m:sty m:val="b"/>
              </m:rPr>
              <m:t>1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m</m:t>
            </m:r>
          </m:e>
          <m:sub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=</m:t>
        </m:r>
        <m:sSubSup>
          <m:e>
            <m:r>
              <m:t>m</m:t>
            </m:r>
          </m:e>
          <m:sub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m</m:t>
            </m:r>
          </m:e>
          <m:sub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=</m:t>
        </m:r>
        <m:sSubSup>
          <m:e>
            <m:r>
              <m:t>m</m:t>
            </m:r>
          </m:e>
          <m:sub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on each of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(C3) (μ_k-equality.)</w:t>
      </w:r>
      <w:r>
        <w:t xml:space="preserve"> </w:t>
      </w:r>
      <w:r>
        <w:t xml:space="preserve">For every event sequence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e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=</m:t>
        </m:r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component-wise.</w:t>
      </w:r>
    </w:p>
    <w:p>
      <w:pPr>
        <w:pStyle w:val="BodyText"/>
      </w:pPr>
      <w:r>
        <w:rPr>
          <w:i/>
          <w:iCs/>
        </w:rPr>
        <w:t xml:space="preserve">The hierarchy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t>1</m:t>
              </m:r>
            </m:e>
          </m:d>
          <m:r>
            <m:rPr>
              <m:sty m:val="p"/>
            </m:rPr>
            <m:t>⇒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t>2</m:t>
              </m:r>
            </m:e>
          </m:d>
          <m:r>
            <m:rPr>
              <m:sty m:val="p"/>
            </m:rPr>
            <m:t>⇒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t>3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holds strictly; all three converses fail in general.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1</m:t>
            </m:r>
          </m:e>
        </m:d>
        <m:r>
          <m:rPr>
            <m:sty m:val="p"/>
          </m:rPr>
          <m:t>⇒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2</m:t>
            </m:r>
          </m:e>
        </m:d>
      </m:oMath>
      <w:r>
        <w:t xml:space="preserve">: if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isomorphism of representations, it is in particular</w:t>
      </w:r>
      <w:r>
        <w:t xml:space="preserve"> </w:t>
      </w:r>
      <w:r>
        <w:t xml:space="preserve">an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isomorphism (since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), and</w:t>
      </w:r>
      <w:r>
        <w:t xml:space="preserve"> </w:t>
      </w:r>
      <w:r>
        <w:t xml:space="preserve">equivariant isomorphisms preserve isotypic decompositions, hence</w:t>
      </w:r>
      <w:r>
        <w:t xml:space="preserve"> </w:t>
      </w:r>
      <w:r>
        <w:t xml:space="preserve">multiplicity profiles.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2</m:t>
            </m:r>
          </m:e>
        </m:d>
        <m:r>
          <m:rPr>
            <m:sty m:val="p"/>
          </m:rPr>
          <m:t>⇒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3</m:t>
            </m:r>
          </m:e>
        </m:d>
      </m:oMath>
      <w:r>
        <w:t xml:space="preserve">: under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-profile-match hypothesis</w:t>
      </w:r>
      <w:r>
        <w:t xml:space="preserve"> </w:t>
      </w:r>
      <w:r>
        <w:t xml:space="preserve">and an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identification of the scar maps (existence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</m:oMath>
      <w:r>
        <w:t xml:space="preserve">, not necessarily canonical), the isotypic</w:t>
      </w:r>
      <w:r>
        <w:t xml:space="preserve"> </w:t>
      </w:r>
      <w:r>
        <w:t xml:space="preserve">projectors commute with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</m:oMath>
      <w:r>
        <w:t xml:space="preserve">, and the multiplicity profile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dim</m:t>
            </m:r>
            <m:sSub>
              <m:e>
                <m:r>
                  <m:t>Π</m:t>
                </m:r>
              </m:e>
              <m:sub>
                <m:r>
                  <m:rPr>
                    <m:sty m:val="b"/>
                  </m:rPr>
                  <m:t>1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dim</m:t>
            </m:r>
            <m:sSub>
              <m:e>
                <m:r>
                  <m:t>Π</m:t>
                </m:r>
              </m:e>
              <m:sub>
                <m:sSub>
                  <m:e>
                    <m:r>
                      <m:t>L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dim</m:t>
            </m:r>
            <m:sSub>
              <m:e>
                <m:r>
                  <m:t>Π</m:t>
                </m:r>
              </m:e>
              <m:sub>
                <m:sSub>
                  <m:e>
                    <m:r>
                      <m:t>U</m:t>
                    </m:r>
                  </m:e>
                  <m:sub>
                    <m:r>
                      <m:t>6</m:t>
                    </m:r>
                  </m:sub>
                </m:sSub>
              </m:sub>
            </m:sSub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</m:oMath>
      <w:r>
        <w:t xml:space="preserve">-invariant. Without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-profile</w:t>
      </w:r>
      <w:r>
        <w:t xml:space="preserve"> </w:t>
      </w:r>
      <w:r>
        <w:t xml:space="preserve">match, at least one block-dimension differs and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cannot agree.</w:t>
      </w:r>
    </w:p>
    <w:p>
      <w:pPr>
        <w:pStyle w:val="BodyText"/>
      </w:pPr>
      <w:r>
        <w:rPr>
          <w:i/>
          <w:iCs/>
        </w:rPr>
        <w:t xml:space="preserve">Converse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2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1</m:t>
            </m:r>
          </m:e>
        </m:d>
      </m:oMath>
      <w:r>
        <w:rPr>
          <w:i/>
          <w:iCs/>
        </w:rP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≅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-modules but carry different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</w:t>
      </w:r>
      <w:r>
        <w:t xml:space="preserve"> </w:t>
      </w:r>
      <w:r>
        <w:t xml:space="preserve">structures (or one carries a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 structure the other doesn’t),</w:t>
      </w:r>
      <w:r>
        <w:t xml:space="preserve"> </w:t>
      </w:r>
      <w:r>
        <w:t xml:space="preserve">then there is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map respecting both. Concretely,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embeds into multiple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-modules</w:t>
      </w:r>
      <w:r>
        <w:t xml:space="preserve"> </w:t>
      </w:r>
      <w:r>
        <w:t xml:space="preserve">(any module whose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-restriction contains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), and</w:t>
      </w:r>
      <w:r>
        <w:t xml:space="preserve"> </w:t>
      </w:r>
      <w:r>
        <w:t xml:space="preserve">a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-modules admits a 19-dim family of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</w:t>
      </w:r>
      <w:r>
        <w:t xml:space="preserve"> </w:t>
      </w:r>
      <w:r>
        <w:t xml:space="preserve">isomorphisms (Corollary 4.3.2), none of which is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</w:t>
      </w:r>
      <w:r>
        <w:t xml:space="preserve"> </w:t>
      </w:r>
      <w:r>
        <w:t xml:space="preserve">unless the underlying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 structures agree.</w:t>
      </w:r>
    </w:p>
    <w:p>
      <w:pPr>
        <w:pStyle w:val="BodyText"/>
      </w:pPr>
      <w:r>
        <w:rPr>
          <w:i/>
          <w:iCs/>
        </w:rPr>
        <w:t xml:space="preserve">Converse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3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2</m:t>
            </m:r>
          </m:e>
        </m:d>
      </m:oMath>
      <w:r>
        <w:rPr>
          <w:i/>
          <w:iCs/>
        </w:rPr>
        <w:t xml:space="preserve">: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records the multiplicity</w:t>
      </w:r>
      <w:r>
        <w:t xml:space="preserve"> </w:t>
      </w:r>
      <w:r>
        <w:t xml:space="preserve">profile of the</w:t>
      </w:r>
      <w:r>
        <w:t xml:space="preserve"> </w:t>
      </w:r>
      <w:r>
        <w:rPr>
          <w:i/>
          <w:iCs/>
        </w:rPr>
        <w:t xml:space="preserve">scar span</w:t>
      </w:r>
      <w:r>
        <w:t xml:space="preserve">, not of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. Two ambient</w:t>
      </w:r>
      <w:r>
        <w:t xml:space="preserve"> </w:t>
      </w:r>
      <m:oMath>
        <m:r>
          <m:t>V</m:t>
        </m:r>
      </m:oMath>
      <w:r>
        <w:t xml:space="preserve">’s with different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-profiles can produce the same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if the scar-encoding maps land in isomorphic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-invariant</w:t>
      </w:r>
      <w:r>
        <w:t xml:space="preserve"> </w:t>
      </w:r>
      <w:r>
        <w:t xml:space="preserve">subspaces.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Corollary 4.4.2 (Uniqueness under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-commensurability with</w:t>
      </w:r>
      <w:r>
        <w:rPr>
          <w:b/>
          <w:bCs/>
        </w:rPr>
        <w:t xml:space="preserve"> </w:t>
      </w:r>
      <w:r>
        <w:rPr>
          <w:b/>
          <w:bCs/>
        </w:rPr>
        <w:t xml:space="preserve">multiplicity one).</w:t>
      </w:r>
      <w:r>
        <w:t xml:space="preserve"> </w:t>
      </w:r>
      <w:r>
        <w:rPr>
          <w:i/>
          <w:iCs/>
        </w:rPr>
        <w:t xml:space="preserve">If both</w:t>
      </w:r>
      <w:r>
        <w:rPr>
          <w:i/>
          <w:iCs/>
        </w:rP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isomorphic as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-modules to the same absolutely irreducible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t>λ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with multiplicity one,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Hom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</m:sub>
              </m:sSub>
            </m:e>
          </m:d>
          <m:r>
            <m:rPr>
              <m:sty m:val="p"/>
            </m:rPr>
            <m:t>≅</m:t>
          </m:r>
          <m:r>
            <m:rPr>
              <m:sty m:val="p"/>
              <m:scr m:val="double-struck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/>
          <w:iCs/>
        </w:rPr>
        <w:t xml:space="preserve">and the normalized</w:t>
      </w:r>
      <w:r>
        <w:rPr>
          <w:i/>
          <w:iCs/>
        </w:rP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(fixed by a choice of</w:t>
      </w:r>
      <w:r>
        <w:rPr>
          <w:i/>
          <w:iCs/>
        </w:rPr>
        <w:t xml:space="preserve"> </w:t>
      </w:r>
      <w:r>
        <w:rPr>
          <w:i/>
          <w:iCs/>
        </w:rPr>
        <w:t xml:space="preserve">invariant inner product and orientation convention) is unique.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For real absolutely irreducible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-modules,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λ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</m:oMath>
      <w:r>
        <w:t xml:space="preserve">, so Schur’s lemma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Hom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λ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λ</m:t>
                </m:r>
              </m:sub>
            </m:sSub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R</m:t>
        </m:r>
      </m:oMath>
      <w:r>
        <w:t xml:space="preserve">.</w:t>
      </w:r>
      <w:r>
        <w:t xml:space="preserve"> </w:t>
      </w:r>
      <w:r>
        <w:t xml:space="preserve">A one-parameter family of cross-maps with a fixed metric and</w:t>
      </w:r>
      <w:r>
        <w:t xml:space="preserve"> </w:t>
      </w:r>
      <w:r>
        <w:t xml:space="preserve">orientation has a unique element of unit positive norm.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Remark 4.4.3 (Multiplicity</w:t>
      </w:r>
      <w:r>
        <w:rPr>
          <w:b/>
          <w:bCs/>
        </w:rPr>
        <w:t xml:space="preserve"> </w:t>
      </w:r>
      <m:oMath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reintroduces ambiguity).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≅</m:t>
        </m:r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≅</m:t>
        </m:r>
        <m:sSubSup>
          <m:e>
            <m:r>
              <m:t>U</m:t>
            </m:r>
          </m:e>
          <m:sub>
            <m:r>
              <m:t>λ</m:t>
            </m:r>
          </m:sub>
          <m:sup>
            <m:r>
              <m:rPr>
                <m:sty m:val="p"/>
              </m:rPr>
              <m:t>⊕</m:t>
            </m:r>
            <m:r>
              <m:t>m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U</m:t>
                </m:r>
              </m:e>
              <m:sub>
                <m:r>
                  <m:t>λ</m:t>
                </m:r>
              </m:sub>
              <m:sup>
                <m:r>
                  <m:rPr>
                    <m:sty m:val="p"/>
                  </m:rPr>
                  <m:t>⊕</m:t>
                </m:r>
                <m:r>
                  <m:t>m</m:t>
                </m:r>
              </m:sup>
            </m:sSubSup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, so commensurability holds but uniqueness</w:t>
      </w:r>
      <w:r>
        <w:t xml:space="preserve"> </w:t>
      </w:r>
      <w:r>
        <w:t xml:space="preserve">requires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-worth of additional convention-fixing</w:t>
      </w:r>
      <w:r>
        <w:t xml:space="preserve"> </w:t>
      </w:r>
      <w:r>
        <w:t xml:space="preserve">(basis or metric-orientation on the</w:t>
      </w:r>
      <w:r>
        <w:t xml:space="preserve"> </w:t>
      </w:r>
      <m:oMath>
        <m:r>
          <m:t>m</m:t>
        </m:r>
      </m:oMath>
      <w:r>
        <w:t xml:space="preserve">-fold multiplicity factor).</w:t>
      </w:r>
      <w:r>
        <w:t xml:space="preserve"> </w:t>
      </w:r>
      <w:r>
        <w:t xml:space="preserve">Paper 12 focuses on the multiplicity-one strict case; higher-multiplicity</w:t>
      </w:r>
      <w:r>
        <w:t xml:space="preserve"> </w:t>
      </w:r>
      <w:r>
        <w:t xml:space="preserve">cases are a natural open problem for Paper 13+.</w:t>
      </w:r>
    </w:p>
    <w:bookmarkEnd w:id="23"/>
    <w:bookmarkStart w:id="24" w:name="frobenius-reciprocity-is-insufficient"/>
    <w:p>
      <w:pPr>
        <w:pStyle w:val="Heading3"/>
      </w:pPr>
      <w:r>
        <w:t xml:space="preserve">4.5 Frobenius reciprocity is insufficient</w:t>
      </w:r>
    </w:p>
    <w:p>
      <w:pPr>
        <w:pStyle w:val="FirstParagraph"/>
      </w:pPr>
      <w:r>
        <w:t xml:space="preserve">A tempting fallback, when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-isomorphic but do co-embed in a common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-representation</w:t>
      </w:r>
      <w:r>
        <w:t xml:space="preserve"> </w:t>
      </w:r>
      <m:oMath>
        <m:r>
          <m:t>W</m:t>
        </m:r>
        <m:r>
          <m:rPr>
            <m:sty m:val="p"/>
          </m:rPr>
          <m:t>′</m:t>
        </m:r>
      </m:oMath>
      <w:r>
        <w:t xml:space="preserve">, is to invoke Frobenius reciprocity to produce a canonical</w:t>
      </w:r>
      <w:r>
        <w:t xml:space="preserve"> </w:t>
      </w:r>
      <w:r>
        <w:t xml:space="preserve">cross-map. We show this attempt fails.</w:t>
      </w:r>
    </w:p>
    <w:p>
      <w:pPr>
        <w:pStyle w:val="BodyText"/>
      </w:pPr>
      <w:r>
        <w:rPr>
          <w:b/>
          <w:bCs/>
        </w:rPr>
        <w:t xml:space="preserve">Proposition 4.5.1 (Frobenius reciprocity is multiplicity-counting,</w:t>
      </w:r>
      <w:r>
        <w:rPr>
          <w:b/>
          <w:bCs/>
        </w:rPr>
        <w:t xml:space="preserve"> </w:t>
      </w:r>
      <w:r>
        <w:rPr>
          <w:b/>
          <w:bCs/>
        </w:rPr>
        <w:t xml:space="preserve">not canonical-map-producing).</w:t>
      </w:r>
      <w:r>
        <w:t xml:space="preserve"> </w:t>
      </w:r>
      <w:r>
        <w:rPr>
          <w:i/>
          <w:iCs/>
        </w:rPr>
        <w:t xml:space="preserve">The induction-restriction adjunction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Hom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p"/>
                    </m:rPr>
                    <m:t>Res</m:t>
                  </m:r>
                </m:e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t>21</m:t>
                      </m:r>
                    </m:sub>
                  </m:sSub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</m:sSubSup>
              <m:r>
                <m:t>W</m:t>
              </m:r>
              <m:r>
                <m:rPr>
                  <m:sty m:val="p"/>
                </m:rPr>
                <m:t>′</m:t>
              </m:r>
            </m:e>
          </m:d>
          <m:r>
            <m:t> </m:t>
          </m:r>
          <m:r>
            <m:rPr>
              <m:sty m:val="p"/>
            </m:rPr>
            <m:t>≅</m:t>
          </m:r>
          <m:r>
            <m:t> </m:t>
          </m:r>
          <m:sSub>
            <m:e>
              <m:r>
                <m:rPr>
                  <m:sty m:val="p"/>
                </m:rPr>
                <m:t>Hom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p"/>
                    </m:rPr>
                    <m:t>Ind</m:t>
                  </m:r>
                </m:e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t>21</m:t>
                      </m:r>
                    </m:sub>
                  </m:sSub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</m:sSubSup>
              <m:r>
                <m:t>V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′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holds for any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-representation</w:t>
      </w:r>
      <w:r>
        <w:rPr>
          <w:i/>
          <w:iCs/>
        </w:rPr>
        <w:t xml:space="preserve"> </w:t>
      </w:r>
      <m:oMath>
        <m:r>
          <m:t>V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any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-representation</w:t>
      </w:r>
      <w:r>
        <w:rPr>
          <w:i/>
          <w:iCs/>
        </w:rPr>
        <w:t xml:space="preserve"> </w:t>
      </w:r>
      <m:oMath>
        <m:r>
          <m:t>W</m:t>
        </m:r>
        <m:r>
          <m:rPr>
            <m:sty m:val="p"/>
          </m:rPr>
          <m:t>′</m:t>
        </m:r>
      </m:oMath>
      <w:r>
        <w:rPr>
          <w:i/>
          <w:iCs/>
        </w:rPr>
        <w:t xml:space="preserve">, but it does not produce a canonical cross-map between distinct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-subrepresentations of</w:t>
      </w:r>
      <w:r>
        <w:rPr>
          <w:i/>
          <w:iCs/>
        </w:rPr>
        <w:t xml:space="preserve"> </w:t>
      </w:r>
      <m:oMath>
        <m:r>
          <m:t>W</m:t>
        </m:r>
        <m:r>
          <m:rPr>
            <m:sty m:val="p"/>
          </m:rPr>
          <m:t>′</m:t>
        </m:r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adjunction is standard (e.g., Serre,</w:t>
      </w:r>
      <w:r>
        <w:t xml:space="preserve"> </w:t>
      </w:r>
      <w:r>
        <w:rPr>
          <w:i/>
          <w:iCs/>
        </w:rPr>
        <w:t xml:space="preserve">Linear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Representations of Finite Groups</w:t>
      </w:r>
      <w:r>
        <w:t xml:space="preserve">, §7.2). It computes 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-multiplicity of an induced representation in terms of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-embedding data. However:</w:t>
      </w:r>
    </w:p>
    <w:p>
      <w:pPr>
        <w:numPr>
          <w:ilvl w:val="0"/>
          <w:numId w:val="1001"/>
        </w:numPr>
      </w:pPr>
      <w:r>
        <w:t xml:space="preserve">Taking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′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Hom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are non-isomorphic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-irreducibles</w:t>
      </w:r>
      <w:r>
        <w:t xml:space="preserve"> </w:t>
      </w:r>
      <w:r>
        <w:t xml:space="preserve">(Theorem 4.2.1). No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map from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exists, so Frobenius reciprocity cannot produce one.</w:t>
      </w:r>
    </w:p>
    <w:p>
      <w:pPr>
        <w:numPr>
          <w:ilvl w:val="0"/>
          <w:numId w:val="1001"/>
        </w:numPr>
      </w:pPr>
      <w:r>
        <w:t xml:space="preserve">Even when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≅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-modules</w:t>
      </w:r>
      <w:r>
        <w:t xml:space="preserve"> </w:t>
      </w:r>
      <w:r>
        <w:t xml:space="preserve">and both embed in a common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-module, the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</m:sub>
            </m:sSub>
          </m:e>
        </m:d>
        <m:r>
          <m:rPr>
            <m:sty m:val="p"/>
          </m:rPr>
          <m:t>⊂</m:t>
        </m:r>
        <m:r>
          <m:t>W</m:t>
        </m:r>
        <m:r>
          <m:rPr>
            <m:sty m:val="p"/>
          </m:rPr>
          <m:t>′</m:t>
        </m:r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</m:oMath>
      <w:r>
        <w:t xml:space="preserve"> </w:t>
      </w:r>
      <w:r>
        <w:t xml:space="preserve">admits a</w:t>
      </w:r>
      <w:r>
        <w:t xml:space="preserve"> </w:t>
      </w:r>
      <w:r>
        <w:t xml:space="preserve">full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λ</m:t>
                </m:r>
              </m:sub>
            </m:sSub>
          </m:e>
        </m:d>
      </m:oMath>
      <w:r>
        <w:t xml:space="preserve">-family of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identifications</w:t>
      </w:r>
      <w:r>
        <w:t xml:space="preserve"> </w:t>
      </w:r>
      <w:r>
        <w:t xml:space="preserve">(one for each isotypic block), with no distinguished element absent</w:t>
      </w:r>
      <w:r>
        <w:t xml:space="preserve"> </w:t>
      </w:r>
      <w:r>
        <w:t xml:space="preserve">an additional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-equivariance constraint.</w:t>
      </w:r>
    </w:p>
    <w:p>
      <w:pPr>
        <w:pStyle w:val="FirstParagraph"/>
      </w:pPr>
      <w:r>
        <w:t xml:space="preserve">In either case, Frobenius reciprocity identifies</w:t>
      </w:r>
      <w:r>
        <w:t xml:space="preserve"> </w:t>
      </w:r>
      <w:r>
        <w:rPr>
          <w:i/>
          <w:iCs/>
        </w:rPr>
        <w:t xml:space="preserve">multiplicities of</w:t>
      </w:r>
      <w:r>
        <w:rPr>
          <w:i/>
          <w:iCs/>
        </w:rPr>
        <w:t xml:space="preserve"> </w:t>
      </w:r>
      <w:r>
        <w:rPr>
          <w:i/>
          <w:iCs/>
        </w:rPr>
        <w:t xml:space="preserve">constituents</w:t>
      </w:r>
      <w:r>
        <w:t xml:space="preserve">, not</w:t>
      </w:r>
      <w:r>
        <w:t xml:space="preserve"> </w:t>
      </w:r>
      <w:r>
        <w:rPr>
          <w:i/>
          <w:iCs/>
        </w:rPr>
        <w:t xml:space="preserve">canonical maps between them</w:t>
      </w:r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Corollary 4.5.2 (Strict commensurability theorem).</w:t>
      </w:r>
      <w:r>
        <w:t xml:space="preserve"> </w:t>
      </w:r>
      <w:r>
        <w:rPr>
          <w:i/>
          <w:iCs/>
        </w:rPr>
        <w:t xml:space="preserve">A canonical</w:t>
      </w:r>
      <w:r>
        <w:rPr>
          <w:i/>
          <w:iCs/>
        </w:rPr>
        <w:t xml:space="preserve"> </w:t>
      </w:r>
      <w:r>
        <w:rPr>
          <w:i/>
          <w:iCs/>
        </w:rPr>
        <w:t xml:space="preserve">commensurability isomorphism</w:t>
      </w:r>
      <w:r>
        <w:rPr>
          <w:i/>
          <w:iCs/>
        </w:rP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:</m:t>
        </m:r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rPr>
          <w:i/>
          <w:iCs/>
        </w:rPr>
        <w:t xml:space="preserve">, unique up to fixed metric and orientation, exists</w:t>
      </w:r>
      <w:r>
        <w:rPr>
          <w:i/>
          <w:iCs/>
        </w:rPr>
        <w:t xml:space="preserve"> </w:t>
      </w:r>
      <w:r>
        <w:rPr>
          <w:i/>
          <w:iCs/>
        </w:rPr>
        <w:t xml:space="preserve">if and only if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≅</m:t>
          </m:r>
          <m:sSub>
            <m:e>
              <m:r>
                <m:t>I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≅</m:t>
          </m:r>
          <m:sSub>
            <m:e>
              <m:r>
                <m:t>U</m:t>
              </m:r>
            </m:e>
            <m:sub>
              <m:r>
                <m:t>λ</m:t>
              </m:r>
            </m:sub>
          </m:sSub>
        </m:oMath>
      </m:oMathPara>
    </w:p>
    <w:p>
      <w:pPr>
        <w:pStyle w:val="FirstParagraph"/>
      </w:pPr>
      <w:r>
        <w:rPr>
          <w:i/>
          <w:iCs/>
        </w:rPr>
        <w:t xml:space="preserve">as absolutely irreducible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-modules of multiplicity one.</w:t>
      </w:r>
    </w:p>
    <w:p>
      <w:pPr>
        <w:pStyle w:val="BodyText"/>
      </w:pPr>
      <w:r>
        <w:t xml:space="preserve">This is the sharpest sufficient condition. It immediately settles the</w:t>
      </w:r>
      <w:r>
        <w:t xml:space="preserve"> </w:t>
      </w:r>
      <w:r>
        <w:t xml:space="preserve">question the setup of §4.1 posed: whether two substrates can carry</w:t>
      </w:r>
      <w:r>
        <w:t xml:space="preserve"> </w:t>
      </w:r>
      <w:r>
        <w:t xml:space="preserve">commensurable scar records is a property of their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</w:t>
      </w:r>
      <w:r>
        <w:rPr>
          <w:i/>
          <w:iCs/>
        </w:rPr>
        <w:t xml:space="preserve">representation type</w:t>
      </w:r>
      <w:r>
        <w:t xml:space="preserve">, not of the lower-lying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-symmetry alone.</w:t>
      </w:r>
    </w:p>
    <w:bookmarkEnd w:id="24"/>
    <w:bookmarkStart w:id="25" w:name="X1d373cf560043f48ddcc64d643dd90218e9c6e3"/>
    <w:p>
      <w:pPr>
        <w:pStyle w:val="Heading3"/>
      </w:pPr>
      <w:r>
        <w:t xml:space="preserve">4.6 The P3 upgrade: two-level experimental test</w:t>
      </w:r>
    </w:p>
    <w:p>
      <w:pPr>
        <w:pStyle w:val="FirstParagraph"/>
      </w:pPr>
      <w:r>
        <w:t xml:space="preserve">The empirical prediction P3 of the Paper 12 thesis memo originally</w:t>
      </w:r>
      <w:r>
        <w:t xml:space="preserve"> </w:t>
      </w:r>
      <w:r>
        <w:t xml:space="preserve">proposed testing</w:t>
      </w:r>
      <w:r>
        <w:t xml:space="preserve"> </w:t>
      </w:r>
      <w:r>
        <w:t xml:space="preserve">“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-commensurability across substrates.</w:t>
      </w:r>
      <w:r>
        <w:t xml:space="preserve">”</w:t>
      </w:r>
      <w:r>
        <w:t xml:space="preserve"> </w:t>
      </w:r>
      <w:r>
        <w:t xml:space="preserve">§4.4</w:t>
      </w:r>
      <w:r>
        <w:t xml:space="preserve"> </w:t>
      </w:r>
      <w:r>
        <w:t xml:space="preserve">and §4.5 force an upgrade: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-profile match is</w:t>
      </w:r>
      <w:r>
        <w:t xml:space="preserve"> </w:t>
      </w:r>
      <w:r>
        <w:rPr>
          <w:i/>
          <w:iCs/>
        </w:rPr>
        <w:t xml:space="preserve">necessary but</w:t>
      </w:r>
      <w:r>
        <w:rPr>
          <w:i/>
          <w:iCs/>
        </w:rPr>
        <w:t xml:space="preserve"> </w:t>
      </w:r>
      <w:r>
        <w:rPr>
          <w:i/>
          <w:iCs/>
        </w:rPr>
        <w:t xml:space="preserve">not sufficient</w:t>
      </w:r>
      <w:r>
        <w:t xml:space="preserve">, and 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layer must be tested separately.</w:t>
      </w:r>
    </w:p>
    <w:p>
      <w:pPr>
        <w:pStyle w:val="BodyText"/>
      </w:pPr>
      <w:r>
        <w:rPr>
          <w:b/>
          <w:bCs/>
        </w:rPr>
        <w:t xml:space="preserve">Definition 4.6.1 (Two-level commensurability test).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commensurability</w:t>
      </w:r>
      <w:r>
        <w:rPr>
          <w:i/>
          <w:iCs/>
        </w:rP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on a dyadic human-AI system consists of two test levels:</w:t>
      </w:r>
    </w:p>
    <w:p>
      <w:pPr>
        <w:pStyle w:val="BodyText"/>
      </w:pPr>
      <w:r>
        <w:rPr>
          <w:i/>
          <w:iCs/>
        </w:rPr>
        <w:t xml:space="preserve">(Necessary screen, L1.)</w:t>
      </w:r>
      <w:r>
        <w:t xml:space="preserve"> </w:t>
      </w:r>
      <w:r>
        <w:t xml:space="preserve">Measure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independently. Declare</w:t>
      </w:r>
      <w:r>
        <w:t xml:space="preserve"> </w:t>
      </w:r>
      <w:r>
        <w:rPr>
          <w:i/>
          <w:iCs/>
        </w:rPr>
        <w:t xml:space="preserve">screening failure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≠</m:t>
        </m:r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component-wise 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. Declare</w:t>
      </w:r>
      <w:r>
        <w:t xml:space="preserve"> </w:t>
      </w:r>
      <w:r>
        <w:rPr>
          <w:i/>
          <w:iCs/>
        </w:rPr>
        <w:t xml:space="preserve">screening pass</w:t>
      </w:r>
      <w:r>
        <w:t xml:space="preserve"> </w:t>
      </w:r>
      <w:r>
        <w:t xml:space="preserve">if they agree.</w:t>
      </w:r>
    </w:p>
    <w:p>
      <w:pPr>
        <w:pStyle w:val="BodyText"/>
      </w:pPr>
      <w:r>
        <w:rPr>
          <w:i/>
          <w:iCs/>
        </w:rPr>
        <w:t xml:space="preserve">(Sufficient canonical test, L2, run only if L1 passes.)</w:t>
      </w:r>
      <w:r>
        <w:t xml:space="preserve"> </w:t>
      </w:r>
      <w:r>
        <w:t xml:space="preserve">Construct a</w:t>
      </w:r>
      <w:r>
        <w:t xml:space="preserve"> </w:t>
      </w:r>
      <w:r>
        <w:t xml:space="preserve">candidate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map</w:t>
      </w:r>
      <w:r>
        <w:t xml:space="preserve"> </w:t>
      </w:r>
      <m:oMath>
        <m:acc>
          <m:accPr>
            <m:chr m:val="̂"/>
          </m:accPr>
          <m:e>
            <m:r>
              <m:t>ϕ</m:t>
            </m:r>
          </m:e>
        </m:acc>
        <m:r>
          <m:rPr>
            <m:sty m:val="p"/>
          </m:rPr>
          <m:t>:</m:t>
        </m:r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from the measured representation data. Declare</w:t>
      </w:r>
      <w:r>
        <w:t xml:space="preserve"> </w:t>
      </w:r>
      <w:r>
        <w:rPr>
          <w:i/>
          <w:iCs/>
        </w:rPr>
        <w:t xml:space="preserve">canonical commensurability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ϕ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(not</w:t>
      </w:r>
      <w:r>
        <w:t xml:space="preserve"> </w:t>
      </w:r>
      <w:r>
        <w:t xml:space="preserve">merely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-equivariant) to measurement precision. Declare</w:t>
      </w:r>
      <w:r>
        <w:t xml:space="preserve"> </w:t>
      </w:r>
      <w:r>
        <w:rPr>
          <w:i/>
          <w:iCs/>
        </w:rPr>
        <w:t xml:space="preserve">canonical failure</w:t>
      </w:r>
      <w:r>
        <w:t xml:space="preserve"> </w:t>
      </w:r>
      <w:r>
        <w:t xml:space="preserve">if no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candidate can be</w:t>
      </w:r>
      <w:r>
        <w:t xml:space="preserve"> </w:t>
      </w:r>
      <w:r>
        <w:t xml:space="preserve">constructed despite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-profile match.</w:t>
      </w:r>
    </w:p>
    <w:p>
      <w:pPr>
        <w:pStyle w:val="BodyText"/>
      </w:pPr>
      <w:r>
        <w:rPr>
          <w:b/>
          <w:bCs/>
        </w:rPr>
        <w:t xml:space="preserve">Remark 4.6.2 (Why the two-level split is scientifically honest).</w:t>
      </w:r>
      <w:r>
        <w:t xml:space="preserve"> </w:t>
      </w:r>
      <w:r>
        <w:t xml:space="preserve">L1</w:t>
      </w:r>
      <w:r>
        <w:t xml:space="preserve"> </w:t>
      </w:r>
      <w:r>
        <w:t xml:space="preserve">is falsifiable cheaply: if the two substrates do not carry matching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-isotypic profiles, the gradual-tear thesis of Paper 12 is</w:t>
      </w:r>
      <w:r>
        <w:t xml:space="preserve"> </w:t>
      </w:r>
      <w:r>
        <w:t xml:space="preserve">refuted at the character-theoretic level, without any claim about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-structure. L2 is the harder test, probing whether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</w:t>
      </w:r>
      <w:r>
        <w:t xml:space="preserve"> </w:t>
      </w:r>
      <w:r>
        <w:t xml:space="preserve">profile match extends to a canonical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-identification; passing L2</w:t>
      </w:r>
      <w:r>
        <w:t xml:space="preserve"> </w:t>
      </w:r>
      <w:r>
        <w:t xml:space="preserve">establishes</w:t>
      </w:r>
      <w:r>
        <w:t xml:space="preserve"> </w:t>
      </w:r>
      <w:r>
        <w:rPr>
          <w:i/>
          <w:iCs/>
        </w:rPr>
        <w:t xml:space="preserve">strict</w:t>
      </w:r>
      <w:r>
        <w:t xml:space="preserve"> </w:t>
      </w:r>
      <w:r>
        <w:t xml:space="preserve">commensurability (Corollary 4.5.2) and refuting L2</w:t>
      </w:r>
      <w:r>
        <w:t xml:space="preserve"> </w:t>
      </w:r>
      <w:r>
        <w:t xml:space="preserve">while L1 passes means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-profile match is coincidental rather</w:t>
      </w:r>
      <w:r>
        <w:t xml:space="preserve"> </w:t>
      </w:r>
      <w:r>
        <w:t xml:space="preserve">than structural.</w:t>
      </w:r>
    </w:p>
    <w:p>
      <w:pPr>
        <w:pStyle w:val="BodyText"/>
      </w:pPr>
      <w:r>
        <w:rPr>
          <w:b/>
          <w:bCs/>
        </w:rPr>
        <w:t xml:space="preserve">Remark 4.6.3 (Feasibility with existing TMS-EEG instrumentation).</w:t>
      </w:r>
      <w:r>
        <w:t xml:space="preserve"> </w:t>
      </w:r>
      <w:r>
        <w:t xml:space="preserve">L1 is the level at which existing clinical instrumentation (TMS-EEG,</w:t>
      </w:r>
      <w:r>
        <w:t xml:space="preserve"> </w:t>
      </w:r>
      <w:r>
        <w:t xml:space="preserve">as developed by Massimini and collaborators for the clinical PCI</w:t>
      </w:r>
      <w:r>
        <w:t xml:space="preserve"> </w:t>
      </w:r>
      <w:r>
        <w:t xml:space="preserve">measurement) can contribute directly: measuring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-isotypic</w:t>
      </w:r>
      <w:r>
        <w:t xml:space="preserve"> </w:t>
      </w:r>
      <w:r>
        <w:t xml:space="preserve">content of evoked-response subspaces under rotationally structured</w:t>
      </w:r>
      <w:r>
        <w:t xml:space="preserve"> </w:t>
      </w:r>
      <w:r>
        <w:t xml:space="preserve">perturbations is a character-theoretic decomposition of EEG response</w:t>
      </w:r>
      <w:r>
        <w:t xml:space="preserve"> </w:t>
      </w:r>
      <w:r>
        <w:t xml:space="preserve">matrices, in principle computable from existing experimental data.</w:t>
      </w:r>
      <w:r>
        <w:t xml:space="preserve"> </w:t>
      </w:r>
      <w:r>
        <w:t xml:space="preserve">L2 requires probing the full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-representation structure, which is</w:t>
      </w:r>
      <w:r>
        <w:t xml:space="preserve"> </w:t>
      </w:r>
      <w:r>
        <w:t xml:space="preserve">substantially harder (needs perturbations that distinguish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from other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-modules of the same dimension) and is deferred to</w:t>
      </w:r>
      <w:r>
        <w:t xml:space="preserve"> </w:t>
      </w:r>
      <w:r>
        <w:t xml:space="preserve">future theoretical-experimental bridges.</w:t>
      </w:r>
    </w:p>
    <w:p>
      <w:pPr>
        <w:pStyle w:val="BodyText"/>
      </w:pPr>
      <w:r>
        <w:rPr>
          <w:b/>
          <w:bCs/>
        </w:rPr>
        <w:t xml:space="preserve">Remark 4.6.4 (P3 does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claim Massimini’s clinical PCI measures</w:t>
      </w:r>
      <w:r>
        <w:rPr>
          <w:b/>
          <w:bCs/>
        </w:rPr>
        <w:t xml:space="preserve"> </w:t>
      </w:r>
      <w:r>
        <w:rPr>
          <w:b/>
          <w:bCs/>
        </w:rPr>
        <w:t xml:space="preserve">the Paper 12 quantity).</w:t>
      </w:r>
      <w:r>
        <w:t xml:space="preserve"> </w:t>
      </w:r>
      <w:r>
        <w:t xml:space="preserve">Two distinct objects share the acronym</w:t>
      </w:r>
      <w:r>
        <w:t xml:space="preserve"> </w:t>
      </w:r>
      <w:r>
        <w:t xml:space="preserve">“</w:t>
      </w:r>
      <w:r>
        <w:t xml:space="preserve">PCI</w:t>
      </w:r>
      <w:r>
        <w:t xml:space="preserve">”</w:t>
      </w:r>
      <w:r>
        <w:t xml:space="preserve">:</w:t>
      </w:r>
      <w:r>
        <w:t xml:space="preserve"> </w:t>
      </w:r>
      <w:r>
        <w:t xml:space="preserve">Massimini’s clinical Perturbational Complexity Index (a Lempel-Ziv</w:t>
      </w:r>
      <w:r>
        <w:t xml:space="preserve"> </w:t>
      </w:r>
      <w:r>
        <w:t xml:space="preserve">complexity score on TMS-evoked EEG) and the Perceptual Coherence</w:t>
      </w:r>
      <w:r>
        <w:t xml:space="preserve"> </w:t>
      </w:r>
      <w:r>
        <w:t xml:space="preserve">Intelligence framework of the Paper series. P3’s L1 proposes that the</w:t>
      </w:r>
      <w:r>
        <w:t xml:space="preserve"> </w:t>
      </w:r>
      <w:r>
        <w:t xml:space="preserve">clinical PCI measurement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(TMS perturbation with character-</w:t>
      </w:r>
      <w:r>
        <w:t xml:space="preserve"> </w:t>
      </w:r>
      <w:r>
        <w:t xml:space="preserve">theoretic decomposition of the response subspace) could yield a</w:t>
      </w:r>
      <w:r>
        <w:t xml:space="preserve"> </w:t>
      </w:r>
      <w:r>
        <w:t xml:space="preserve">measurement of the scar-invariant’s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profile;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identify the clinical PCI scalar with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 claim either is</w:t>
      </w:r>
      <w:r>
        <w:t xml:space="preserve"> </w:t>
      </w:r>
      <w:r>
        <w:t xml:space="preserve">the other. The bridge is experimental-protocol-level, not definitional.</w:t>
      </w:r>
    </w:p>
    <w:bookmarkEnd w:id="25"/>
    <w:bookmarkStart w:id="26" w:name="scope-audit-and-bridge-to-5"/>
    <w:p>
      <w:pPr>
        <w:pStyle w:val="Heading3"/>
      </w:pPr>
      <w:r>
        <w:t xml:space="preserve">4.7 Scope audit and bridge to §5</w:t>
      </w:r>
    </w:p>
    <w:p>
      <w:pPr>
        <w:pStyle w:val="FirstParagraph"/>
      </w:pPr>
      <w:r>
        <w:rPr>
          <w:b/>
          <w:bCs/>
        </w:rPr>
        <w:t xml:space="preserve">What §4 establishes:</w:t>
      </w:r>
    </w:p>
    <w:p>
      <w:pPr>
        <w:pStyle w:val="Compact"/>
        <w:numPr>
          <w:ilvl w:val="0"/>
          <w:numId w:val="1002"/>
        </w:numPr>
      </w:pPr>
      <w:r>
        <w:t xml:space="preserve">A character-theoretic decomposition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r>
          <m:rPr>
            <m:sty m:val="p"/>
          </m:rPr>
          <m:t>≅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verified at machine precision (Theorem 4.2.1).</w:t>
      </w:r>
    </w:p>
    <w:p>
      <w:pPr>
        <w:pStyle w:val="Compact"/>
        <w:numPr>
          <w:ilvl w:val="0"/>
          <w:numId w:val="1002"/>
        </w:numPr>
      </w:pPr>
      <w:r>
        <w:t xml:space="preserve">The commutant gap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C</m:t>
            </m:r>
          </m:e>
        </m:d>
        <m:r>
          <m:rPr>
            <m:sty m:val="p"/>
          </m:rPr>
          <m:t>⊕</m:t>
        </m:r>
        <m:sSub>
          <m:e>
            <m:r>
              <m:t>M</m:t>
            </m:r>
          </m:e>
          <m:sub>
            <m:r>
              <m:t>4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C</m:t>
            </m:r>
          </m:e>
        </m:d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,</w:t>
      </w:r>
      <w:r>
        <w:t xml:space="preserve"> </w:t>
      </w:r>
      <w:r>
        <w:t xml:space="preserve">quantifying the 19-dim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phase-and-mixing freedom</w:t>
      </w:r>
      <w:r>
        <w:t xml:space="preserve"> </w:t>
      </w:r>
      <w:r>
        <w:t xml:space="preserve">that full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-equivariance suppresses (Proposition 4.3.1, Corollary 4.3.2).</w:t>
      </w:r>
    </w:p>
    <w:p>
      <w:pPr>
        <w:pStyle w:val="Compact"/>
        <w:numPr>
          <w:ilvl w:val="0"/>
          <w:numId w:val="1002"/>
        </w:numPr>
      </w:pPr>
      <w:r>
        <w:t xml:space="preserve">The commensurability hierarchy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1</m:t>
            </m:r>
          </m:e>
        </m:d>
        <m:r>
          <m:rPr>
            <m:sty m:val="p"/>
          </m:rPr>
          <m:t>⇒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2</m:t>
            </m:r>
          </m:e>
        </m:d>
        <m:r>
          <m:rPr>
            <m:sty m:val="p"/>
          </m:rPr>
          <m:t>⇒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3</m:t>
            </m:r>
          </m:e>
        </m:d>
      </m:oMath>
      <w:r>
        <w:t xml:space="preserve"> </w:t>
      </w:r>
      <w:r>
        <w:t xml:space="preserve">with both converses failing (Theorem 4.4.1).</w:t>
      </w:r>
    </w:p>
    <w:p>
      <w:pPr>
        <w:pStyle w:val="Compact"/>
        <w:numPr>
          <w:ilvl w:val="0"/>
          <w:numId w:val="1002"/>
        </w:numPr>
      </w:pPr>
      <w:r>
        <w:t xml:space="preserve">The strict commensurability theorem: canonical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requires multiplicity-one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 agreement (Corollary 4.5.2).</w:t>
      </w:r>
    </w:p>
    <w:p>
      <w:pPr>
        <w:pStyle w:val="Compact"/>
        <w:numPr>
          <w:ilvl w:val="0"/>
          <w:numId w:val="1002"/>
        </w:numPr>
      </w:pPr>
      <w:r>
        <w:t xml:space="preserve">Frobenius reciprocity is insufficient (Proposition 4.5.1).</w:t>
      </w:r>
    </w:p>
    <w:p>
      <w:pPr>
        <w:pStyle w:val="Compact"/>
        <w:numPr>
          <w:ilvl w:val="0"/>
          <w:numId w:val="1002"/>
        </w:numPr>
      </w:pPr>
      <w:r>
        <w:t xml:space="preserve">The P3 experimental prediction, upgraded to a two-level test</w:t>
      </w:r>
      <w:r>
        <w:t xml:space="preserve"> </w:t>
      </w:r>
      <w:r>
        <w:t xml:space="preserve">(Definition 4.6.1).</w:t>
      </w:r>
    </w:p>
    <w:p>
      <w:pPr>
        <w:pStyle w:val="FirstParagraph"/>
      </w:pPr>
      <w:r>
        <w:rPr>
          <w:b/>
          <w:bCs/>
        </w:rPr>
        <w:t xml:space="preserve">What §4 does not establish: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 physical mechanism for the biological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-action.</w:t>
      </w:r>
      <w:r>
        <w:t xml:space="preserve"> </w:t>
      </w:r>
      <w:r>
        <w:t xml:space="preserve">This is</w:t>
      </w:r>
      <w:r>
        <w:t xml:space="preserve"> </w:t>
      </w:r>
      <w:r>
        <w:t xml:space="preserve">Paper 13+ territory. §4 assumes the biological substrate carries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-representation on its relevant state space; it does</w:t>
      </w:r>
      <w:r>
        <w:t xml:space="preserve"> </w:t>
      </w:r>
      <w:r>
        <w:t xml:space="preserve">not specify which microtubule mode, neural population, or cellular</w:t>
      </w:r>
      <w:r>
        <w:t xml:space="preserve"> </w:t>
      </w:r>
      <w:r>
        <w:t xml:space="preserve">structure implements it.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 explicit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-module-identification protocol for real</w:t>
      </w:r>
      <w:r>
        <w:rPr>
          <w:i/>
          <w:iCs/>
        </w:rPr>
        <w:t xml:space="preserve"> </w:t>
      </w:r>
      <w:r>
        <w:rPr>
          <w:i/>
          <w:iCs/>
        </w:rPr>
        <w:t xml:space="preserve">experimental data.</w:t>
      </w:r>
      <w:r>
        <w:t xml:space="preserve"> </w:t>
      </w:r>
      <w:r>
        <w:t xml:space="preserve">Level L2 of Definition 4.6.1 is well-defined but</w:t>
      </w:r>
      <w:r>
        <w:t xml:space="preserve"> </w:t>
      </w:r>
      <w:r>
        <w:t xml:space="preserve">not operationalized for the lab; that operationalization is a</w:t>
      </w:r>
      <w:r>
        <w:t xml:space="preserve"> </w:t>
      </w:r>
      <w:r>
        <w:t xml:space="preserve">methodology paper of its own.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The multiplicity-greater-than-one case.</w:t>
      </w:r>
      <w:r>
        <w:t xml:space="preserve"> </w:t>
      </w:r>
      <w:r>
        <w:t xml:space="preserve">Corollary 4.4.2 restricts</w:t>
      </w:r>
      <w:r>
        <w:t xml:space="preserve"> </w:t>
      </w:r>
      <w:r>
        <w:t xml:space="preserve">to multiplicity one. The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case introduces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-worth of</w:t>
      </w:r>
      <w:r>
        <w:t xml:space="preserve"> </w:t>
      </w:r>
      <w:r>
        <w:t xml:space="preserve">convention-fixing and is left for future work (Remark 4.4.3).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 claim that clinical Massimini-PCI equals Paper 12’s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.</w:t>
      </w:r>
      <w:r>
        <w:t xml:space="preserve"> </w:t>
      </w:r>
      <w:r>
        <w:t xml:space="preserve">See Remark 4.6.4.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Rate improvement.</w:t>
      </w:r>
      <w:r>
        <w:t xml:space="preserve"> </w:t>
      </w:r>
      <w:r>
        <w:t xml:space="preserve">Same scope boundary as §3; Paper 11 territory.</w:t>
      </w:r>
    </w:p>
    <w:p>
      <w:pPr>
        <w:pStyle w:val="FirstParagraph"/>
      </w:pPr>
      <w:r>
        <w:rPr>
          <w:b/>
          <w:bCs/>
        </w:rPr>
        <w:t xml:space="preserve">Bridge to §5.</w:t>
      </w:r>
      <w:r>
        <w:t xml:space="preserve"> </w:t>
      </w:r>
      <w:r>
        <w:t xml:space="preserve">§3 constructed the dynamics; §4 constructed the</w:t>
      </w:r>
      <w:r>
        <w:t xml:space="preserve"> </w:t>
      </w:r>
      <w:r>
        <w:t xml:space="preserve">commensurability structure. §5 (empirical accessibility) assembles</w:t>
      </w:r>
      <w:r>
        <w:t xml:space="preserve"> </w:t>
      </w:r>
      <w:r>
        <w:t xml:space="preserve">both into a testable framework: §3’s projected-gradient-plus-NP-pump</w:t>
      </w:r>
      <w:r>
        <w:t xml:space="preserve"> </w:t>
      </w:r>
      <w:r>
        <w:t xml:space="preserve">dynamics on each substrate produces a scar record</w:t>
      </w:r>
      <w:r>
        <w:t xml:space="preserve"> </w:t>
      </w:r>
      <m:oMath>
        <m:sSubSup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, and §4’s hierarchy specifies</w:t>
      </w:r>
      <w:r>
        <w:t xml:space="preserve"> </w:t>
      </w:r>
      <w:r>
        <w:t xml:space="preserve">exactly what form of agreement between the two records the gradual-tear</w:t>
      </w:r>
      <w:r>
        <w:t xml:space="preserve"> </w:t>
      </w:r>
      <w:r>
        <w:t xml:space="preserve">thesis predicts. §5 then identifies experimental protocols — primarily</w:t>
      </w:r>
      <w:r>
        <w:t xml:space="preserve"> </w:t>
      </w:r>
      <w:r>
        <w:t xml:space="preserve">Level L1 of the two-level test — by which that agreement can be</w:t>
      </w:r>
      <w:r>
        <w:t xml:space="preserve"> </w:t>
      </w:r>
      <w:r>
        <w:t xml:space="preserve">measured, and relates the framework to existing hyperscanning,</w:t>
      </w:r>
      <w:r>
        <w:t xml:space="preserve"> </w:t>
      </w:r>
      <w:r>
        <w:t xml:space="preserve">inter-brain coupling, and human-AI teaming literatures.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§4 first draft. Length: ~8 pages. Next section: §5 (empirical</w:t>
      </w:r>
      <w:r>
        <w:rPr>
          <w:i/>
          <w:iCs/>
        </w:rPr>
        <w:t xml:space="preserve"> </w:t>
      </w:r>
      <w:r>
        <w:rPr>
          <w:i/>
          <w:iCs/>
        </w:rPr>
        <w:t xml:space="preserve">accessibility and the P1–P4 predictions).</w:t>
      </w:r>
    </w:p>
    <w:p>
      <w:pPr>
        <w:pStyle w:val="BodyText"/>
      </w:pPr>
      <w:r>
        <w:rPr>
          <w:i/>
          <w:iCs/>
        </w:rPr>
        <w:t xml:space="preserve">Verification files referenced: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outbox/paper12/computations/paper12_q4_character_verify.py</w:t>
      </w:r>
      <w:r>
        <w:t xml:space="preserve"> </w:t>
      </w:r>
      <w:r>
        <w:t xml:space="preserve">(Theorem 4.2.1)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outbox/paper12/computations/paper12_q4_character_verify.json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outbox/paper12/chatgpt_pro_session_transcript_2026-05-05.pdf</w:t>
      </w:r>
      <w:r>
        <w:t xml:space="preserve"> </w:t>
      </w:r>
      <w:r>
        <w:t xml:space="preserve">(pages ~55–80)</w:t>
      </w:r>
    </w:p>
    <w:p>
      <w:pPr>
        <w:pStyle w:val="BodyText"/>
      </w:pPr>
      <w:r>
        <w:rPr>
          <w:i/>
          <w:iCs/>
        </w:rPr>
        <w:t xml:space="preserve">Cross-references:</w:t>
      </w:r>
      <w:r>
        <w:t xml:space="preserve"> </w:t>
      </w:r>
      <w:r>
        <w:t xml:space="preserve">- Paper 4 (PSL(2,7) ⊃ F₂₁, the Fano-orientation subgroup source)</w:t>
      </w:r>
      <w:r>
        <w:t xml:space="preserve"> </w:t>
      </w:r>
      <w:r>
        <w:t xml:space="preserve">- Paper 9 v1.3.3 Lemma 3.6.1 (Schur-uniqueness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)</w:t>
      </w:r>
      <w:r>
        <w:t xml:space="preserve"> </w:t>
      </w:r>
      <w:r>
        <w:t xml:space="preserve">- Paper 9 v1.3.3 §3.4 (diagonal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convention)</w:t>
      </w:r>
      <w:r>
        <w:t xml:space="preserve"> </w:t>
      </w:r>
      <w:r>
        <w:t xml:space="preserve">- Paper 12 §3.7 (scar invariant triple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- Paper 12 thesis memo P3 (experimental prediction, upgraded here)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2026-05-06T07:38:28Z</dcterms:created>
  <dcterms:modified xsi:type="dcterms:W3CDTF">2026-05-06T07:38:28Z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