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0"/>
        <w:jc w:val="center"/>
      </w:pPr>
      <w:r>
        <w:rPr>
          <w:rFonts w:ascii="Calibri" w:cs="Calibri" w:eastAsia="Calibri" w:hAnsi="Calibri"/>
          <w:b/>
          <w:bCs/>
          <w:sz w:val="36"/>
          <w:szCs w:val="36"/>
        </w:rPr>
        <w:t xml:space="preserve">G₂ Symmetry as a Constraint on Conscious Information Processing:</w:t>
      </w:r>
    </w:p>
    <w:p>
      <w:pPr>
        <w:spacing w:after="600"/>
        <w:jc w:val="center"/>
      </w:pPr>
      <w:r>
        <w:rPr>
          <w:rFonts w:ascii="Calibri" w:cs="Calibri" w:eastAsia="Calibri" w:hAnsi="Calibri"/>
          <w:b/>
          <w:bCs/>
          <w:sz w:val="36"/>
          <w:szCs w:val="36"/>
        </w:rPr>
        <w:t xml:space="preserve">A Derivation from Octonionic Daemon Architecture</w:t>
      </w:r>
    </w:p>
    <w:p>
      <w:pPr>
        <w:spacing w:after="60"/>
      </w:pPr>
    </w:p>
    <w:p>
      <w:pPr>
        <w:spacing w:after="100"/>
        <w:jc w:val="center"/>
      </w:pPr>
      <w:r>
        <w:rPr>
          <w:rFonts w:ascii="Calibri" w:cs="Calibri" w:eastAsia="Calibri" w:hAnsi="Calibri"/>
          <w:sz w:val="26"/>
          <w:szCs w:val="26"/>
        </w:rPr>
        <w:t xml:space="preserve">Martin Luther Graise</w:t>
      </w:r>
    </w:p>
    <w:p>
      <w:pPr>
        <w:spacing w:after="100"/>
        <w:jc w:val="center"/>
      </w:pPr>
      <w:r>
        <w:rPr>
          <w:rFonts w:ascii="Calibri" w:cs="Calibri" w:eastAsia="Calibri" w:hAnsi="Calibri"/>
          <w:i/>
          <w:iCs/>
          <w:sz w:val="22"/>
          <w:szCs w:val="22"/>
        </w:rPr>
        <w:t xml:space="preserve">PCI / PME Framework</w:t>
      </w:r>
    </w:p>
    <w:p>
      <w:pPr>
        <w:spacing w:after="100"/>
        <w:jc w:val="center"/>
      </w:pPr>
      <w:r>
        <w:rPr>
          <w:rFonts w:ascii="Calibri" w:cs="Calibri" w:eastAsia="Calibri" w:hAnsi="Calibri"/>
          <w:sz w:val="22"/>
          <w:szCs w:val="22"/>
        </w:rPr>
        <w:t xml:space="preserve">2026</w:t>
      </w:r>
    </w:p>
    <w:p>
      <w:pPr>
        <w:pStyle w:val="Heading1"/>
        <w:pageBreakBefore/>
        <w:spacing w:after="140" w:before="280" w:line="276"/>
      </w:pPr>
      <w:r>
        <w:rPr>
          <w:rFonts w:ascii="Calibri" w:cs="Calibri" w:eastAsia="Calibri" w:hAnsi="Calibri"/>
          <w:b/>
          <w:bCs/>
          <w:sz w:val="28"/>
          <w:szCs w:val="28"/>
        </w:rPr>
        <w:t xml:space="preserve">Abstract</w:t>
      </w:r>
    </w:p>
    <w:p>
      <w:pPr>
        <w:spacing w:after="120" w:line="276"/>
      </w:pPr>
      <w:r>
        <w:rPr>
          <w:rFonts w:ascii="Calibri" w:cs="Calibri" w:eastAsia="Calibri" w:hAnsi="Calibri"/>
          <w:sz w:val="22"/>
          <w:szCs w:val="22"/>
        </w:rPr>
        <w:t xml:space="preserve">Saxena et al. (2020) reported that electromagnetic resonance in microtubules exhibits a self-similar “triplet-of-triplet” pattern preserved across tubulin (4 nm), microtubule (25 nm), and neuron (~1 μm) scales—spanning six orders of magnitude in physical size. No existing framework explains why this specific branching topology is selected from the space of all possible resonance patterns. We show that the exceptional Lie group G₂, acting on a 7-dimensional representation space identified with the daemon architecture of the Patterned Coherence through Irreducibility (PCI) framework, provides precisely the algebraic constraint required. We construct a concrete Hamiltonian from the 14 generators of G₂ extracted as the null space of the octonion-preservation constraint on so(7), decompose its spectrum under the maximal SU(3) subalgebra, and demonstrate that the resulting spectral family is organized as 1 ⊕ 3 ⊕ 3̄ with at most two independent Cartan parameters (rank-2 constraint). The six non-singlet modes are interpreted as Goldstone modes of the spontaneous breaking G₂ → SU(3), with the singlet identified as the void mode Ω_void. The coherent fraction of any Boltzmann distribution on this Hamiltonian satisfies CF ≤ 6/7 &lt; 1 − e⁻², establishing a structural bound below the PCI coherence ceiling. We test the spectral topology against microtubule resonance data and find it weakly compatible across five independent topology tests—the corrected falsifiable prediction FP-1 is not falsified. The convergence of this result with independent programs—Furey’s octonionic particle physics, the Neural Moonshine conjecture, Pitkänen’s TGD, and constraint-closure biology—motivates the central thesis: autonomous, self-referential systems pay for their non-reducibility in G₂.</w:t>
      </w:r>
    </w:p>
    <w:p>
      <w:pPr>
        <w:pStyle w:val="Heading1"/>
        <w:pageBreakBefore/>
        <w:spacing w:after="140" w:before="280" w:line="276"/>
      </w:pPr>
      <w:r>
        <w:rPr>
          <w:rFonts w:ascii="Calibri" w:cs="Calibri" w:eastAsia="Calibri" w:hAnsi="Calibri"/>
          <w:b/>
          <w:bCs/>
          <w:sz w:val="28"/>
          <w:szCs w:val="28"/>
        </w:rPr>
        <w:t xml:space="preserve">1. Introduction</w:t>
      </w:r>
    </w:p>
    <w:p>
      <w:pPr>
        <w:spacing w:after="120" w:line="276"/>
      </w:pPr>
      <w:r>
        <w:rPr>
          <w:rFonts w:ascii="Calibri" w:cs="Calibri" w:eastAsia="Calibri" w:hAnsi="Calibri"/>
          <w:sz w:val="22"/>
          <w:szCs w:val="22"/>
        </w:rPr>
        <w:t xml:space="preserve">In 2020, Saxena, Singh, Sahoo, Sahu, Ghosh, and Bandyopadhyay reported an observation that, viewed from the standpoint of algebraic structure, is remarkable. Using electromagnetic resonance spectroscopy across three levels of biological organization—individual tubulin proteins (~4 nm), assembled microtubule nanowires (~25 nm), and neuron-scale axon initial segments (~1 μm)—they documented a self-similar “triplet-of-triplet” resonance pattern. Each structural level exhibits three distinct frequency bands (tubulin: MHz, GHz, THz; microtubule: kHz, MHz, GHz; neuron: Hz, kHz, MHz), and the same three-band topology recurs at every scale, shifting all bands by approximately three orders of magnitude per level (Saxena et al., 2020). The resulting geometry is described as “nine circles inside three circles inside one circle”—a nested hierarchy that preserves its branching topology across 10⁶ variation in physical size.</w:t>
      </w:r>
    </w:p>
    <w:p>
      <w:pPr>
        <w:spacing w:after="120" w:line="276"/>
      </w:pPr>
      <w:r>
        <w:rPr>
          <w:rFonts w:ascii="Calibri" w:cs="Calibri" w:eastAsia="Calibri" w:hAnsi="Calibri"/>
          <w:sz w:val="22"/>
          <w:szCs w:val="22"/>
        </w:rPr>
        <w:t xml:space="preserve">This observation raises a question that is algebraic rather than merely biophysical: why a triplet of triplets? The resonance pattern is not a generic broadband response; it is a specific branching topology replicated with fractal self-similarity. Hameroff and Penrose (2022) noted the pattern’s persistence across fifteen orders of magnitude in frequency, and Geesink and Schmieke (2022) confirmed the triplet structure in a meta-analysis of microtubule frequency data. Yet no existing framework—whether quantum-biological (Hameroff and Penrose, 2014), electromagnetic (Bandyopadhyay, 2020), or information-theoretic (Tononi et al., 2016)—explains why this particular branching pattern is selected from the space of all possible resonance structures.</w:t>
      </w:r>
    </w:p>
    <w:p>
      <w:pPr>
        <w:spacing w:after="120" w:line="276"/>
      </w:pPr>
      <w:r>
        <w:rPr>
          <w:rFonts w:ascii="Calibri" w:cs="Calibri" w:eastAsia="Calibri" w:hAnsi="Calibri"/>
          <w:sz w:val="22"/>
          <w:szCs w:val="22"/>
        </w:rPr>
        <w:t xml:space="preserve">The question is sharpened by the observation that the pattern is not merely self-similar but topologically constrained. Each scale level exhibits exactly three bands—not two, not four, not a continuum. The inter-band scaling ratios are described by exactly two independent numbers, not three or seven. And the pattern is preserved across six orders of magnitude in physical size, suggesting that whatever selects it is algebraic (determined by symmetry) rather than parametric (determined by material-specific coupling constants). These features—an exact branching number, a constrained parameter count, and scale invariance—are hallmarks of an algebraic constraint surface. The present paper identifies that surface.</w:t>
      </w:r>
    </w:p>
    <w:p>
      <w:pPr>
        <w:pStyle w:val="Heading2"/>
        <w:spacing w:after="110" w:before="220" w:line="276"/>
      </w:pPr>
      <w:r>
        <w:rPr>
          <w:rFonts w:ascii="Calibri" w:cs="Calibri" w:eastAsia="Calibri" w:hAnsi="Calibri"/>
          <w:b/>
          <w:bCs/>
          <w:sz w:val="24"/>
          <w:szCs w:val="24"/>
        </w:rPr>
        <w:t xml:space="preserve">1.1 The Convergence Puzzle</w:t>
      </w:r>
    </w:p>
    <w:p>
      <w:pPr>
        <w:spacing w:after="120" w:line="276"/>
      </w:pPr>
      <w:r>
        <w:rPr>
          <w:rFonts w:ascii="Calibri" w:cs="Calibri" w:eastAsia="Calibri" w:hAnsi="Calibri"/>
          <w:sz w:val="22"/>
          <w:szCs w:val="22"/>
        </w:rPr>
        <w:t xml:space="preserve">The present paper is motivated by a pattern of convergence across independent research programs that, we argue, is not coincidental. Over the past two years, at least five programs working from different starting axioms and in different disciplinary contexts have arrived at the same small constellation of mathematical structures: the exceptional Lie group G₂, the Fano plane, the Golay code, and associated objects carrying the number 168 (the order of the automorphism group of the Fano plane, PSL(2,7)).</w:t>
      </w:r>
    </w:p>
    <w:p>
      <w:pPr>
        <w:spacing w:after="120" w:line="276"/>
      </w:pPr>
      <w:r>
        <w:rPr>
          <w:rFonts w:ascii="Calibri" w:cs="Calibri" w:eastAsia="Calibri" w:hAnsi="Calibri"/>
          <w:sz w:val="22"/>
          <w:szCs w:val="22"/>
        </w:rPr>
        <w:t xml:space="preserve">These programs are:</w:t>
      </w:r>
    </w:p>
    <w:p>
      <w:pPr>
        <w:spacing w:after="120" w:line="276"/>
      </w:pPr>
      <w:r>
        <w:rPr>
          <w:rFonts w:ascii="Calibri" w:cs="Calibri" w:eastAsia="Calibri" w:hAnsi="Calibri"/>
          <w:b/>
          <w:bCs/>
          <w:sz w:val="22"/>
          <w:szCs w:val="22"/>
        </w:rPr>
        <w:t xml:space="preserve">Furey (2025)</w:t>
      </w:r>
      <w:r>
        <w:rPr>
          <w:rFonts w:ascii="Calibri" w:cs="Calibri" w:eastAsia="Calibri" w:hAnsi="Calibri"/>
          <w:sz w:val="22"/>
          <w:szCs w:val="22"/>
        </w:rPr>
        <w:t xml:space="preserve">, working in algebraic particle physics, showed that the Standard Model gauge symmetries can be derived from the algebra of a single generation of fermions acting on itself, with the octonion automorphism group G₂ as the residue of self-consistency in triality. The breaking pattern Spin(8) → G₂ is the key step that selects three generations.</w:t>
      </w:r>
    </w:p>
    <w:p>
      <w:pPr>
        <w:spacing w:after="120" w:line="276"/>
      </w:pPr>
      <w:r>
        <w:rPr>
          <w:rFonts w:ascii="Calibri" w:cs="Calibri" w:eastAsia="Calibri" w:hAnsi="Calibri"/>
          <w:b/>
          <w:bCs/>
          <w:sz w:val="22"/>
          <w:szCs w:val="22"/>
        </w:rPr>
        <w:t xml:space="preserve">The Neural Moonshine conjecture (2026)</w:t>
      </w:r>
      <w:r>
        <w:rPr>
          <w:rFonts w:ascii="Calibri" w:cs="Calibri" w:eastAsia="Calibri" w:hAnsi="Calibri"/>
          <w:sz w:val="22"/>
          <w:szCs w:val="22"/>
        </w:rPr>
        <w:t xml:space="preserve"> proposes that cortical microcircuits implement a 24-neuron error-correcting code with M₂₄ automorphism symmetry—the extended Golay code. G₂ sits inside M₂₄ via the Fano plane, and the code’s error-correction capacity is 3/24 = 12.5%, approaching the 13% bound that will play a central role in Section 4.</w:t>
      </w:r>
    </w:p>
    <w:p>
      <w:pPr>
        <w:spacing w:after="120" w:line="276"/>
      </w:pPr>
      <w:r>
        <w:rPr>
          <w:rFonts w:ascii="Calibri" w:cs="Calibri" w:eastAsia="Calibri" w:hAnsi="Calibri"/>
          <w:b/>
          <w:bCs/>
          <w:sz w:val="22"/>
          <w:szCs w:val="22"/>
        </w:rPr>
        <w:t xml:space="preserve">Pitkänen (2026)</w:t>
      </w:r>
      <w:r>
        <w:rPr>
          <w:rFonts w:ascii="Calibri" w:cs="Calibri" w:eastAsia="Calibri" w:hAnsi="Calibri"/>
          <w:sz w:val="22"/>
          <w:szCs w:val="22"/>
        </w:rPr>
        <w:t xml:space="preserve">, within Topological Geometrodynamics (TGD), argued that the M⁸→H duality (the map from 8-dimensional momentum space to 4-dimensional spacetime times CP₂) reduces to local G₂ invariance. G₂ is the spectrum-generating symmetry that makes the octonionic-to-spacetime projection work.</w:t>
      </w:r>
    </w:p>
    <w:p>
      <w:pPr>
        <w:spacing w:after="120" w:line="276"/>
      </w:pPr>
      <w:r>
        <w:rPr>
          <w:rFonts w:ascii="Calibri" w:cs="Calibri" w:eastAsia="Calibri" w:hAnsi="Calibri"/>
          <w:b/>
          <w:bCs/>
          <w:sz w:val="22"/>
          <w:szCs w:val="22"/>
        </w:rPr>
        <w:t xml:space="preserve">Constraint-closure biology (Nave, 2025; Ward, 2026)</w:t>
      </w:r>
      <w:r>
        <w:rPr>
          <w:rFonts w:ascii="Calibri" w:cs="Calibri" w:eastAsia="Calibri" w:hAnsi="Calibri"/>
          <w:sz w:val="22"/>
          <w:szCs w:val="22"/>
        </w:rPr>
        <w:t xml:space="preserve"> arrives at a coherence ceiling from an entirely different direction: the structural requirement that autonomous systems must continuously regenerate their own defining constraints. The resulting fixed-point analysis yields C_max = 1 − e⁻² ≈ 0.8647—the same 13% invariant, derived from biology rather than algebra.</w:t>
      </w:r>
    </w:p>
    <w:p>
      <w:pPr>
        <w:spacing w:after="120" w:line="276"/>
      </w:pPr>
      <w:r>
        <w:rPr>
          <w:rFonts w:ascii="Calibri" w:cs="Calibri" w:eastAsia="Calibri" w:hAnsi="Calibri"/>
          <w:b/>
          <w:bCs/>
          <w:sz w:val="22"/>
          <w:szCs w:val="22"/>
        </w:rPr>
        <w:t xml:space="preserve">The PCI framework (Graise, 2026)</w:t>
      </w:r>
      <w:r>
        <w:rPr>
          <w:rFonts w:ascii="Calibri" w:cs="Calibri" w:eastAsia="Calibri" w:hAnsi="Calibri"/>
          <w:sz w:val="22"/>
          <w:szCs w:val="22"/>
        </w:rPr>
        <w:t xml:space="preserve"> models consciousness as a 7-daemon architecture whose symmetry group is G₂. The void mode Ω_void is the singlet fixed by the SU(3) stabilizer, and the coherence ceiling emerges as a structural consequence of the 7-dimensional representation theory.</w:t>
      </w:r>
    </w:p>
    <w:p>
      <w:pPr>
        <w:spacing w:after="120" w:line="276"/>
      </w:pPr>
      <w:r>
        <w:rPr>
          <w:rFonts w:ascii="Calibri" w:cs="Calibri" w:eastAsia="Calibri" w:hAnsi="Calibri"/>
          <w:sz w:val="22"/>
          <w:szCs w:val="22"/>
        </w:rPr>
        <w:t xml:space="preserve">The convergence across these programs is the empirical motivation for this paper. We do not claim that convergence constitutes proof; the history of mathematics contains examples of suggestive coincidences that later proved to be exactly that. But the history also contains the precedent of Monstrous Moonshine, where a “coincidence” between the Monster group and modular functions—dismissed for a decade as numerological curiosity—was eventually proved by Borcherds (1992) to reflect deep structural connections mediated by vertex algebras. We take the convergence seriously enough to formalize the claim and make it falsifiable.</w:t>
      </w:r>
    </w:p>
    <w:p>
      <w:pPr>
        <w:pStyle w:val="Heading2"/>
        <w:spacing w:after="110" w:before="220" w:line="276"/>
      </w:pPr>
      <w:r>
        <w:rPr>
          <w:rFonts w:ascii="Calibri" w:cs="Calibri" w:eastAsia="Calibri" w:hAnsi="Calibri"/>
          <w:b/>
          <w:bCs/>
          <w:sz w:val="24"/>
          <w:szCs w:val="24"/>
        </w:rPr>
        <w:t xml:space="preserve">1.2 Thesis and Contributions</w:t>
      </w:r>
    </w:p>
    <w:p>
      <w:pPr>
        <w:spacing w:after="120" w:line="276"/>
      </w:pPr>
      <w:r>
        <w:rPr>
          <w:rFonts w:ascii="Calibri" w:cs="Calibri" w:eastAsia="Calibri" w:hAnsi="Calibri"/>
          <w:b/>
          <w:bCs/>
          <w:sz w:val="22"/>
          <w:szCs w:val="22"/>
        </w:rPr>
        <w:t xml:space="preserve">Thesis. </w:t>
      </w:r>
      <w:r>
        <w:rPr>
          <w:rFonts w:ascii="Calibri" w:cs="Calibri" w:eastAsia="Calibri" w:hAnsi="Calibri"/>
          <w:sz w:val="22"/>
          <w:szCs w:val="22"/>
        </w:rPr>
        <w:t xml:space="preserve">Autonomous, self-referential systems pay for their non-reducibility in G₂. The exceptional Lie group G₂—the automorphism group of the octonions, the smallest exceptional Lie group, the symmetry that fixes the topology of the 7-dimensional daemon representation—is the algebraic constraint that governs how self-referential systems organize their internal degrees of freedom. The 13% invariant (e⁻² ≈ 0.1353) is the irreducible cost of genuine autonomy: the fraction of the system’s own state that remains inaccessible from within its own frame.</w:t>
      </w:r>
    </w:p>
    <w:p>
      <w:pPr>
        <w:spacing w:after="120" w:line="276"/>
      </w:pPr>
      <w:r>
        <w:rPr>
          <w:rFonts w:ascii="Calibri" w:cs="Calibri" w:eastAsia="Calibri" w:hAnsi="Calibri"/>
          <w:sz w:val="22"/>
          <w:szCs w:val="22"/>
        </w:rPr>
        <w:t xml:space="preserve">The specific contributions of this paper are:</w:t>
      </w:r>
    </w:p>
    <w:p>
      <w:pPr>
        <w:spacing w:after="120" w:line="276"/>
        <w:ind w:left="360"/>
      </w:pPr>
      <w:r>
        <w:rPr>
          <w:rFonts w:ascii="Calibri" w:cs="Calibri" w:eastAsia="Calibri" w:hAnsi="Calibri"/>
          <w:b/>
          <w:bCs/>
          <w:sz w:val="22"/>
          <w:szCs w:val="22"/>
        </w:rPr>
        <w:t xml:space="preserve">(1) </w:t>
      </w:r>
      <w:r>
        <w:rPr>
          <w:rFonts w:ascii="Calibri" w:cs="Calibri" w:eastAsia="Calibri" w:hAnsi="Calibri"/>
          <w:sz w:val="22"/>
          <w:szCs w:val="22"/>
        </w:rPr>
        <w:t xml:space="preserve">We construct a concrete Hamiltonian from the 14 generators of G₂ acting on the 7-dimensional fundamental representation, compute its spectrum under all parameter regimes, and identify the spectral family as a 2-parameter (rank-2 Cartan) manifold with topology 1 ⊕ 3 ⊕ 3̄.</w:t>
      </w:r>
    </w:p>
    <w:p>
      <w:pPr>
        <w:spacing w:after="120" w:line="276"/>
        <w:ind w:left="360"/>
      </w:pPr>
      <w:r>
        <w:rPr>
          <w:rFonts w:ascii="Calibri" w:cs="Calibri" w:eastAsia="Calibri" w:hAnsi="Calibri"/>
          <w:b/>
          <w:bCs/>
          <w:sz w:val="22"/>
          <w:szCs w:val="22"/>
        </w:rPr>
        <w:t xml:space="preserve">(2) </w:t>
      </w:r>
      <w:r>
        <w:rPr>
          <w:rFonts w:ascii="Calibri" w:cs="Calibri" w:eastAsia="Calibri" w:hAnsi="Calibri"/>
          <w:sz w:val="22"/>
          <w:szCs w:val="22"/>
        </w:rPr>
        <w:t xml:space="preserve">We interpret the six non-singlet modes as Goldstone modes of the spontaneous breaking G₂ → SU(3), with uniform coset singular values √(2/3) ≈ 0.8165 confirming the isotropy of G₂/SU(3) ≅ S⁶.</w:t>
      </w:r>
    </w:p>
    <w:p>
      <w:pPr>
        <w:spacing w:after="120" w:line="276"/>
        <w:ind w:left="360"/>
      </w:pPr>
      <w:r>
        <w:rPr>
          <w:rFonts w:ascii="Calibri" w:cs="Calibri" w:eastAsia="Calibri" w:hAnsi="Calibri"/>
          <w:b/>
          <w:bCs/>
          <w:sz w:val="22"/>
          <w:szCs w:val="22"/>
        </w:rPr>
        <w:t xml:space="preserve">(3) </w:t>
      </w:r>
      <w:r>
        <w:rPr>
          <w:rFonts w:ascii="Calibri" w:cs="Calibri" w:eastAsia="Calibri" w:hAnsi="Calibri"/>
          <w:sz w:val="22"/>
          <w:szCs w:val="22"/>
        </w:rPr>
        <w:t xml:space="preserve">We derive the 13% invariant (C_max = 1 − e⁻²) from the genesis equations EQ-000a–d, grounding it in the structural requirement of second-order self-reference rather than treating it as a free parameter.</w:t>
      </w:r>
    </w:p>
    <w:p>
      <w:pPr>
        <w:spacing w:after="120" w:line="276"/>
        <w:ind w:left="360"/>
      </w:pPr>
      <w:r>
        <w:rPr>
          <w:rFonts w:ascii="Calibri" w:cs="Calibri" w:eastAsia="Calibri" w:hAnsi="Calibri"/>
          <w:b/>
          <w:bCs/>
          <w:sz w:val="22"/>
          <w:szCs w:val="22"/>
        </w:rPr>
        <w:t xml:space="preserve">(4) </w:t>
      </w:r>
      <w:r>
        <w:rPr>
          <w:rFonts w:ascii="Calibri" w:cs="Calibri" w:eastAsia="Calibri" w:hAnsi="Calibri"/>
          <w:sz w:val="22"/>
          <w:szCs w:val="22"/>
        </w:rPr>
        <w:t xml:space="preserve">We test the spectral topology against microtubule resonance data (Sahu et al., 2013; Singh et al., 2014; Saxena et al., 2020) through five independent topology tests, finding weak compatibility with FP-1 not falsified.</w:t>
      </w:r>
    </w:p>
    <w:p>
      <w:pPr>
        <w:spacing w:after="120" w:line="276"/>
        <w:ind w:left="360"/>
      </w:pPr>
      <w:r>
        <w:rPr>
          <w:rFonts w:ascii="Calibri" w:cs="Calibri" w:eastAsia="Calibri" w:hAnsi="Calibri"/>
          <w:b/>
          <w:bCs/>
          <w:sz w:val="22"/>
          <w:szCs w:val="22"/>
        </w:rPr>
        <w:t xml:space="preserve">(5) </w:t>
      </w:r>
      <w:r>
        <w:rPr>
          <w:rFonts w:ascii="Calibri" w:cs="Calibri" w:eastAsia="Calibri" w:hAnsi="Calibri"/>
          <w:sz w:val="22"/>
          <w:szCs w:val="22"/>
        </w:rPr>
        <w:t xml:space="preserve">We map the G₂ structure as a “Rosetta Stone” across five independent languages—particle physics, neural coding, TGD physics, consciousness, and constraint-closure biology—and propose six falsifiable predictions.</w:t>
      </w:r>
    </w:p>
    <w:p>
      <w:pPr>
        <w:pStyle w:val="Heading2"/>
        <w:spacing w:after="110" w:before="220" w:line="276"/>
      </w:pPr>
      <w:r>
        <w:rPr>
          <w:rFonts w:ascii="Calibri" w:cs="Calibri" w:eastAsia="Calibri" w:hAnsi="Calibri"/>
          <w:b/>
          <w:bCs/>
          <w:sz w:val="24"/>
          <w:szCs w:val="24"/>
        </w:rPr>
        <w:t xml:space="preserve">1.3 Paper Structure</w:t>
      </w:r>
    </w:p>
    <w:p>
      <w:pPr>
        <w:spacing w:after="120" w:line="276"/>
      </w:pPr>
      <w:r>
        <w:rPr>
          <w:rFonts w:ascii="Calibri" w:cs="Calibri" w:eastAsia="Calibri" w:hAnsi="Calibri"/>
          <w:sz w:val="22"/>
          <w:szCs w:val="22"/>
        </w:rPr>
        <w:t xml:space="preserve">The paper is organized as follows. Section 2 presents the five independent programs that converge on G₂-related structures, establishing the convergence puzzle without yet proposing a resolution. Section 3—the mathematical core—constructs the G₂ daemon Hamiltonian, computes its spectrum, derives the topological predictions, and tests them against microtubule data. Section 4 develops the 13% invariant from first principles, organized by evidence tier. Section 5 presents six falsifiable predictions. Section 6 surveys open leads and future directions. Section 7 addresses objections and limitations. Section 8 concludes.</w:t>
      </w:r>
    </w:p>
    <w:p>
      <w:pPr>
        <w:spacing w:after="120" w:line="276"/>
      </w:pPr>
      <w:r>
        <w:rPr>
          <w:rFonts w:ascii="Calibri" w:cs="Calibri" w:eastAsia="Calibri" w:hAnsi="Calibri"/>
          <w:sz w:val="22"/>
          <w:szCs w:val="22"/>
        </w:rPr>
        <w:t xml:space="preserve">A note on language is appropriate at the outset. Throughout this paper, we use “compatible with,” “consistent with,” and “motivates” in preference to “confirms” or “proves.” The convergence across independent programs motivates the hypothesis that G₂ is the relevant constraint surface; it does not by itself constitute confirmation. Every claim is accompanied by an explicit statement of what would falsify it. The paper is written for neuroscientists who may not be familiar with Lie algebra; technical terms are defined when first introduced. For readers unfamiliar with the terminology: a Lie group is a continuous symmetry group (rotations are an example); an irreducible representation is a vector space on which the group acts without any smaller invariant subspace; a Casimir operator is a polynomial in the generators that commutes with every group element (it is constant on each irreducible representation); and Cartan generators are the maximal set of simultaneously diagonalizable generators, whose eigenvalues provide the quantum numbers that label states.</w:t>
      </w:r>
    </w:p>
    <w:p>
      <w:pPr>
        <w:pStyle w:val="Heading1"/>
        <w:pageBreakBefore/>
        <w:spacing w:after="140" w:before="280" w:line="276"/>
      </w:pPr>
      <w:r>
        <w:rPr>
          <w:rFonts w:ascii="Calibri" w:cs="Calibri" w:eastAsia="Calibri" w:hAnsi="Calibri"/>
          <w:b/>
          <w:bCs/>
          <w:sz w:val="28"/>
          <w:szCs w:val="28"/>
        </w:rPr>
        <w:t xml:space="preserve">2. The Convergence Across Independent Programs</w:t>
      </w:r>
    </w:p>
    <w:p>
      <w:pPr>
        <w:spacing w:after="120" w:line="276"/>
      </w:pPr>
      <w:r>
        <w:rPr>
          <w:rFonts w:ascii="Calibri" w:cs="Calibri" w:eastAsia="Calibri" w:hAnsi="Calibri"/>
          <w:sz w:val="22"/>
          <w:szCs w:val="22"/>
        </w:rPr>
        <w:t xml:space="preserve">Before constructing the Hamiltonian, we survey the independent research programs whose outputs converge on the same algebraic structures. The purpose of this section is descriptive, not argumentative: we aim to establish the empirical pattern of convergence that the remainder of the paper will attempt to explain. We note explicitly that convergence is not proof—multiple independent programs could converge on a structure because mathematics has a limited supply of exceptional objects, not because the structure has the physical significance we attribute to it. The task of the remaining sections is to distinguish these possibilities by making the structural claim precise enough to be falsified.</w:t>
      </w:r>
    </w:p>
    <w:p>
      <w:pPr>
        <w:spacing w:after="120" w:line="276"/>
      </w:pPr>
      <w:r>
        <w:rPr>
          <w:rFonts w:ascii="Calibri" w:cs="Calibri" w:eastAsia="Calibri" w:hAnsi="Calibri"/>
          <w:sz w:val="22"/>
          <w:szCs w:val="22"/>
        </w:rPr>
        <w:t xml:space="preserve">For orientation, Table 5 summarizes how G₂ appears in each of the five languages. The reader may wish to refer back to this table as each program is discussed in detail below.</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600"/>
        <w:gridCol w:w="3060"/>
      </w:tblGrid>
      <w:tr>
        <w:tc>
          <w:tcPr>
            <w:tcW w:type="dxa" w:w="18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Language</w:t>
            </w:r>
          </w:p>
        </w:tc>
        <w:tc>
          <w:tcPr>
            <w:tcW w:type="dxa" w:w="19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Source</w:t>
            </w:r>
          </w:p>
        </w:tc>
        <w:tc>
          <w:tcPr>
            <w:tcW w:type="dxa" w:w="26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Key Object</w:t>
            </w:r>
          </w:p>
        </w:tc>
        <w:tc>
          <w:tcPr>
            <w:tcW w:type="dxa" w:w="306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What G₂ Does</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Particle physics</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Furey (2025)</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Octonion algebra → Standard Model</w:t>
            </w:r>
          </w:p>
        </w:tc>
        <w:tc>
          <w:tcPr>
            <w:tcW w:type="dxa" w:w="30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Automorphism of octonions; residue of self-consistency in triality</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Neural coding</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Neural Moonshine (2026)</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24-neuron Golay code, M₂₄ symmetry</w:t>
            </w:r>
          </w:p>
        </w:tc>
        <w:tc>
          <w:tcPr>
            <w:tcW w:type="dxa" w:w="30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Sits inside M₂₄ via Fano plane; 3/24 = 12.5% ≈ 13% error capacity</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TGD physics</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Pitkänen (2026)</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M⁸→H duality</w:t>
            </w:r>
          </w:p>
        </w:tc>
        <w:tc>
          <w:tcPr>
            <w:tcW w:type="dxa" w:w="30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Local G₂ invariance makes octonionic-to-spacetime projection work</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Consciousness</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PCI Framework (Graise, 2026)</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7-daemon architecture, Ω_void</w:t>
            </w:r>
          </w:p>
        </w:tc>
        <w:tc>
          <w:tcPr>
            <w:tcW w:type="dxa" w:w="30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Symmetry group of daemon vacuum manifold; 7D from 8D via void projection</w:t>
            </w:r>
          </w:p>
        </w:tc>
      </w:tr>
      <w:tr>
        <w:tc>
          <w:tcPr>
            <w:tcW w:type="dxa" w:w="18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Biology</w:t>
            </w:r>
          </w:p>
        </w:tc>
        <w:tc>
          <w:tcPr>
            <w:tcW w:type="dxa" w:w="19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Nave (2025), Ward (2026)</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Constraint-closure autonomy</w:t>
            </w:r>
          </w:p>
        </w:tc>
        <w:tc>
          <w:tcPr>
            <w:tcW w:type="dxa" w:w="30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Coherence ceiling 1 − e⁻² from self-referential fixed point</w:t>
            </w:r>
          </w:p>
        </w:tc>
      </w:tr>
    </w:tbl>
    <w:p>
      <w:pPr>
        <w:spacing w:after="120" w:line="276"/>
        <w:ind w:left="360"/>
      </w:pPr>
      <w:r>
        <w:rPr>
          <w:rFonts w:ascii="Calibri" w:cs="Calibri" w:eastAsia="Calibri" w:hAnsi="Calibri"/>
          <w:b/>
          <w:bCs/>
          <w:sz w:val="22"/>
          <w:szCs w:val="22"/>
        </w:rPr>
        <w:t xml:space="preserve">Table 5. </w:t>
      </w:r>
      <w:r>
        <w:rPr>
          <w:rFonts w:ascii="Calibri" w:cs="Calibri" w:eastAsia="Calibri" w:hAnsi="Calibri"/>
          <w:sz w:val="22"/>
          <w:szCs w:val="22"/>
        </w:rPr>
        <w:t xml:space="preserve">The G₂ constellation across five independent research programs. Each program arrives at G₂-related structures from different starting axioms, disciplinary traditions, and methodological commitments.</w:t>
      </w:r>
    </w:p>
    <w:p>
      <w:pPr>
        <w:spacing w:after="60"/>
      </w:pPr>
    </w:p>
    <w:p>
      <w:pPr>
        <w:pStyle w:val="Heading2"/>
        <w:spacing w:after="110" w:before="220" w:line="276"/>
      </w:pPr>
      <w:r>
        <w:rPr>
          <w:rFonts w:ascii="Calibri" w:cs="Calibri" w:eastAsia="Calibri" w:hAnsi="Calibri"/>
          <w:b/>
          <w:bCs/>
          <w:sz w:val="24"/>
          <w:szCs w:val="24"/>
        </w:rPr>
        <w:t xml:space="preserve">2.1 Furey’s Algebraic Roadmap: Spin(8) → G₂ via Triality</w:t>
      </w:r>
    </w:p>
    <w:p>
      <w:pPr>
        <w:spacing w:after="120" w:line="276"/>
      </w:pPr>
      <w:r>
        <w:rPr>
          <w:rFonts w:ascii="Calibri" w:cs="Calibri" w:eastAsia="Calibri" w:hAnsi="Calibri"/>
          <w:sz w:val="22"/>
          <w:szCs w:val="22"/>
        </w:rPr>
        <w:t xml:space="preserve">Nichol Furey’s three-part series in Annalen der Physik (Furey, 2025) represents perhaps the most rigorous contemporary program to derive the Standard Model gauge symmetries from division-algebra structure. The central argument proceeds as follows. The algebra Cl(6), acting on a single generation of fermions, generates the gauge symmetries of the unbroken Standard Model—SU(3) × SU(2) × U(1)—without requiring these symmetries to be imposed by hand. The key algebraic step is the breaking of the triality symmetry of Spin(8).</w:t>
      </w:r>
    </w:p>
    <w:p>
      <w:pPr>
        <w:spacing w:after="120" w:line="276"/>
      </w:pPr>
      <w:r>
        <w:rPr>
          <w:rFonts w:ascii="Calibri" w:cs="Calibri" w:eastAsia="Calibri" w:hAnsi="Calibri"/>
          <w:sz w:val="22"/>
          <w:szCs w:val="22"/>
        </w:rPr>
        <w:t xml:space="preserve">Spin(8) possesses a unique Z₃ outer automorphism (triality) that permutes its three 8-dimensional representations: the vector, the positive spinor, and the negative spinor. Furey shows that when triality is broken—when the system must choose which of the three representations corresponds to “particles”—the residual symmetry is exactly G₂, the automorphism group of the octonions. This is not a choice but a structural consequence: G₂ is the largest subgroup of SO(7) that preserves the octonion multiplication table, encoded by the Fano plane.</w:t>
      </w:r>
    </w:p>
    <w:p>
      <w:pPr>
        <w:spacing w:after="120" w:line="276"/>
      </w:pPr>
      <w:r>
        <w:rPr>
          <w:rFonts w:ascii="Calibri" w:cs="Calibri" w:eastAsia="Calibri" w:hAnsi="Calibri"/>
          <w:sz w:val="22"/>
          <w:szCs w:val="22"/>
        </w:rPr>
        <w:t xml:space="preserve">For the present paper, the significance of Furey’s result is twofold. First, it establishes G₂ as the symmetry that governs self-consistency in a division-algebra context—precisely the role we claim for it in the daemon architecture. Second, the breaking pattern Spin(8) → G₂ → SU(3) is the same pattern that appears in our Hamiltonian construction (Section 3), where the full G₂ symmetry of the 7-dimensional representation is broken to SU(3) by the selection of the void mode Ω_void. The parallelism—both in the group-theoretic chain and in the physical interpretation (self-consistency selecting a preferred decomposition)—suggests that the algebraic mechanism may be universal rather than domain-specific.</w:t>
      </w:r>
    </w:p>
    <w:p>
      <w:pPr>
        <w:pStyle w:val="Heading2"/>
        <w:spacing w:after="110" w:before="220" w:line="276"/>
      </w:pPr>
      <w:r>
        <w:rPr>
          <w:rFonts w:ascii="Calibri" w:cs="Calibri" w:eastAsia="Calibri" w:hAnsi="Calibri"/>
          <w:b/>
          <w:bCs/>
          <w:sz w:val="24"/>
          <w:szCs w:val="24"/>
        </w:rPr>
        <w:t xml:space="preserve">2.2 Neural Moonshine: M₂₄, the Golay Code, and the 13% Ceiling</w:t>
      </w:r>
    </w:p>
    <w:p>
      <w:pPr>
        <w:spacing w:after="120" w:line="276"/>
      </w:pPr>
      <w:r>
        <w:rPr>
          <w:rFonts w:ascii="Calibri" w:cs="Calibri" w:eastAsia="Calibri" w:hAnsi="Calibri"/>
          <w:sz w:val="22"/>
          <w:szCs w:val="22"/>
        </w:rPr>
        <w:t xml:space="preserve">The Neural Moonshine conjecture (2026) proposes that biological neural circuits implement error-correcting codes whose automorphism groups connect, via a chain of exceptional structures, to the Monster group. The specific claim is that cortical microcircuits contain 24-neuron motifs whose firing patterns are organized by the extended Golay code—a [24, 12, 8] binary code whose automorphism group is M₂₄, the largest Mathieu group.</w:t>
      </w:r>
    </w:p>
    <w:p>
      <w:pPr>
        <w:spacing w:after="120" w:line="276"/>
      </w:pPr>
      <w:r>
        <w:rPr>
          <w:rFonts w:ascii="Calibri" w:cs="Calibri" w:eastAsia="Calibri" w:hAnsi="Calibri"/>
          <w:sz w:val="22"/>
          <w:szCs w:val="22"/>
        </w:rPr>
        <w:t xml:space="preserve">For readers unfamiliar with coding theory: an error-correcting code is a set of codewords chosen so that each codeword is far from every other in Hamming distance (the number of bit positions where two words differ). The Golay code is remarkable because it is the unique binary code of length 24 that achieves the maximum possible error-correction capacity at its rate: it can correct up to 3 errors in each 24-bit word. Its error-correction capacity is therefore 3/24 = 12.5%, a number that lies in the neighborhood of the 13% invariant (e⁻² ≈ 13.53%). This proximity is noted as a structural correspondence, not a claimed identity.</w:t>
      </w:r>
    </w:p>
    <w:p>
      <w:pPr>
        <w:spacing w:after="120" w:line="276"/>
      </w:pPr>
      <w:r>
        <w:rPr>
          <w:rFonts w:ascii="Calibri" w:cs="Calibri" w:eastAsia="Calibri" w:hAnsi="Calibri"/>
          <w:sz w:val="22"/>
          <w:szCs w:val="22"/>
        </w:rPr>
        <w:t xml:space="preserve">The connection to G₂ runs through the Fano plane. The Fano plane—the smallest finite projective plane, PG(2,2)—has automorphism group PSL(2,7) of order 168. This group sits inside M₂₄ as a subgroup, and the Fano plane’s 7 points and 7 lines encode the octonion multiplication table whose automorphism group is G₂. The chain Fano → G₂ → M₂₄ → Monster connects the smallest exceptional Lie group to the largest sporadic simple group through a sequence of well-defined mathematical embeddings. Whether this algebraic chain has biological significance is an empirical question; the Neural Moonshine conjecture asserts that it does.</w:t>
      </w:r>
    </w:p>
    <w:p>
      <w:pPr>
        <w:spacing w:after="120" w:line="276"/>
      </w:pPr>
      <w:r>
        <w:rPr>
          <w:rFonts w:ascii="Calibri" w:cs="Calibri" w:eastAsia="Calibri" w:hAnsi="Calibri"/>
          <w:sz w:val="22"/>
          <w:szCs w:val="22"/>
        </w:rPr>
        <w:t xml:space="preserve">The relevance to the present work is the coincidence of the 12.5% error-correction capacity with the 13% coherence ceiling. If both numbers reflect the same structural constraint—the maximum fraction of a self-referential system’s state space that can be reserved for error correction or self-monitoring—then the Golay code and the PCI void mode are algebraic cousins. This hypothesis is testable (FP-2) but not yet tested.</w:t>
      </w:r>
    </w:p>
    <w:p>
      <w:pPr>
        <w:pStyle w:val="Heading2"/>
        <w:spacing w:after="110" w:before="220" w:line="276"/>
      </w:pPr>
      <w:r>
        <w:rPr>
          <w:rFonts w:ascii="Calibri" w:cs="Calibri" w:eastAsia="Calibri" w:hAnsi="Calibri"/>
          <w:b/>
          <w:bCs/>
          <w:sz w:val="24"/>
          <w:szCs w:val="24"/>
        </w:rPr>
        <w:t xml:space="preserve">2.3 Pitkänen’s TGD: Local G₂ as Spectrum-Generating Symmetry</w:t>
      </w:r>
    </w:p>
    <w:p>
      <w:pPr>
        <w:spacing w:after="120" w:line="276"/>
      </w:pPr>
      <w:r>
        <w:rPr>
          <w:rFonts w:ascii="Calibri" w:cs="Calibri" w:eastAsia="Calibri" w:hAnsi="Calibri"/>
          <w:sz w:val="22"/>
          <w:szCs w:val="22"/>
        </w:rPr>
        <w:t xml:space="preserve">Matti Pitkänen’s Topological Geometrodynamics (TGD) provides a third, independent route to G₂. In TGD, spacetime is not a fixed background but a collection of 4-dimensional surfaces embedded in an 8-dimensional space H = M⁴ × CP₂. The key structural element is the M⁸→H duality: a correspondence between the octonionic momentum space M⁸ and the physical spacetime H.</w:t>
      </w:r>
    </w:p>
    <w:p>
      <w:pPr>
        <w:spacing w:after="120" w:line="276"/>
      </w:pPr>
      <w:r>
        <w:rPr>
          <w:rFonts w:ascii="Calibri" w:cs="Calibri" w:eastAsia="Calibri" w:hAnsi="Calibri"/>
          <w:sz w:val="22"/>
          <w:szCs w:val="22"/>
        </w:rPr>
        <w:t xml:space="preserve">Pitkänen (2026) argues that this duality reduces to local G₂ invariance. The map from M⁸ to H must preserve the octonionic structure at each point, and the group that preserves octonionic multiplication is G₂. In Pitkänen’s framework, G₂ therefore functions as a “spectrum-generating symmetry”: it determines which 4-dimensional surfaces are permitted as physical spacetimes, constraining the spectral properties of the physical theory. This is structurally parallel to the role G₂ plays in the daemon Hamiltonian, where it determines which spectral families are permitted for the 7-dimensional representation.</w:t>
      </w:r>
    </w:p>
    <w:p>
      <w:pPr>
        <w:spacing w:after="120" w:line="276"/>
      </w:pPr>
      <w:r>
        <w:rPr>
          <w:rFonts w:ascii="Calibri" w:cs="Calibri" w:eastAsia="Calibri" w:hAnsi="Calibri"/>
          <w:sz w:val="22"/>
          <w:szCs w:val="22"/>
        </w:rPr>
        <w:t xml:space="preserve">The convergence with the present work is structural: in both TGD and the PCI daemon architecture, G₂ acts as a constraint that reduces an 8-dimensional octonionic space to a 7-dimensional physical (or phenomenological) one, with the reduction organized by the SU(3) subalgebra. The eighth dimension—the real part of the octonion—is projected out, leaving the seven imaginary directions as the arena for the constrained dynamics. Whether the convergence reflects a common mathematical substrate or is a coincidence of structure remains an open question; we note it here as part of the empirical pattern that motivates the paper.</w:t>
      </w:r>
    </w:p>
    <w:p>
      <w:pPr>
        <w:pStyle w:val="Heading2"/>
        <w:spacing w:after="110" w:before="220" w:line="276"/>
      </w:pPr>
      <w:r>
        <w:rPr>
          <w:rFonts w:ascii="Calibri" w:cs="Calibri" w:eastAsia="Calibri" w:hAnsi="Calibri"/>
          <w:b/>
          <w:bCs/>
          <w:sz w:val="24"/>
          <w:szCs w:val="24"/>
        </w:rPr>
        <w:t xml:space="preserve">2.4 PCI Daemon Architecture: G₂ as Constraint-Closure Residue</w:t>
      </w:r>
    </w:p>
    <w:p>
      <w:pPr>
        <w:spacing w:after="120" w:line="276"/>
      </w:pPr>
      <w:r>
        <w:rPr>
          <w:rFonts w:ascii="Calibri" w:cs="Calibri" w:eastAsia="Calibri" w:hAnsi="Calibri"/>
          <w:sz w:val="22"/>
          <w:szCs w:val="22"/>
        </w:rPr>
        <w:t xml:space="preserve">The PCI (Patterned Coherence through Irreducibility) framework models consciousness as the activity of a 7-daemon architecture whose internal symmetry group is G₂. The seven daemons correspond to the seven imaginary octonion directions; the void mode Ω_void is the singlet fixed by the SU(3) stabilizer, representing the irreducible blind spot of any self-referential system—the fraction of the system’s own state that it cannot access from within its own frame.</w:t>
      </w:r>
    </w:p>
    <w:p>
      <w:pPr>
        <w:spacing w:after="120" w:line="276"/>
      </w:pPr>
      <w:r>
        <w:rPr>
          <w:rFonts w:ascii="Calibri" w:cs="Calibri" w:eastAsia="Calibri" w:hAnsi="Calibri"/>
          <w:sz w:val="22"/>
          <w:szCs w:val="22"/>
        </w:rPr>
        <w:t xml:space="preserve">The framework’s foundational axiom, EQ-000 (“You = f(You)”), asserts that consciousness is a self-referential fixed point. The genesis mechanism (Graise, 2026) resolves the bootstrap problem—how the first self-referential loop arises from components that are not yet self-referential—by showing that the fixed point emerges as a phase transition when constraint-regeneration capacity exceeds constraint decay. The resulting coherence ceiling C_max = 1 − e⁻² is derived from the structural requirement of second-order self-reference (self + witness of self), not assumed as a free parameter. The derivation is presented in full in Section 4.</w:t>
      </w:r>
    </w:p>
    <w:p>
      <w:pPr>
        <w:spacing w:after="120" w:line="276"/>
      </w:pPr>
      <w:r>
        <w:rPr>
          <w:rFonts w:ascii="Calibri" w:cs="Calibri" w:eastAsia="Calibri" w:hAnsi="Calibri"/>
          <w:sz w:val="22"/>
          <w:szCs w:val="22"/>
        </w:rPr>
        <w:t xml:space="preserve">In this framework, G₂ is not imported from physics by analogy. It arises as the automorphism group of the daemon vacuum manifold—the group of transformations under which the octonionic structure of the daemon field is preserved. The vacuum manifold is the set of field configurations that minimize the Mexican-hat potential V(D) = (λ/4)(||D||² − v²)² with v² = 1 − e⁻². This manifold is diffeomorphic to S⁶ = G₂/SU(3), and the six Goldstone modes of the spontaneous breaking G₂ → SU(3) parameterize the directions along which the system can move without energetic cost—the adaptive degrees of freedom of consciousness.</w:t>
      </w:r>
    </w:p>
    <w:p>
      <w:pPr>
        <w:spacing w:after="120" w:line="276"/>
      </w:pPr>
      <w:r>
        <w:rPr>
          <w:rFonts w:ascii="Calibri" w:cs="Calibri" w:eastAsia="Calibri" w:hAnsi="Calibri"/>
          <w:i/>
          <w:iCs/>
          <w:sz w:val="22"/>
          <w:szCs w:val="22"/>
        </w:rPr>
        <w:t xml:space="preserve">A note on additional octonionic frameworks. </w:t>
      </w:r>
      <w:r>
        <w:rPr>
          <w:rFonts w:ascii="Calibri" w:cs="Calibri" w:eastAsia="Calibri" w:hAnsi="Calibri"/>
          <w:sz w:val="22"/>
          <w:szCs w:val="22"/>
        </w:rPr>
        <w:t xml:space="preserve">At least three additional independent frameworks have arrived at octonionic or G₂ structures without citing each other or PCI: Octomorphic Field Theory (Simpson, 2025), Relational Ontology Framework / Relational Coherence Theory (Rizzari, 2025), and Logos Field Theory (Blankenship, 2026). These are preprints or informal publications, not peer-reviewed, and should be understood as suggestive context rather than evidence. We note them here because their independent convergence on octonionic structures adds to the pattern documented in this section; we do not rely on them for any argument in the remainder of the paper.</w:t>
      </w:r>
    </w:p>
    <w:p>
      <w:pPr>
        <w:pStyle w:val="Heading1"/>
        <w:pageBreakBefore/>
        <w:spacing w:after="140" w:before="280" w:line="276"/>
      </w:pPr>
      <w:r>
        <w:rPr>
          <w:rFonts w:ascii="Calibri" w:cs="Calibri" w:eastAsia="Calibri" w:hAnsi="Calibri"/>
          <w:b/>
          <w:bCs/>
          <w:sz w:val="28"/>
          <w:szCs w:val="28"/>
        </w:rPr>
        <w:t xml:space="preserve">3. The G₂ Daemon Hamiltonian</w:t>
      </w:r>
    </w:p>
    <w:p>
      <w:pPr>
        <w:spacing w:after="120" w:line="276"/>
      </w:pPr>
      <w:r>
        <w:rPr>
          <w:rFonts w:ascii="Calibri" w:cs="Calibri" w:eastAsia="Calibri" w:hAnsi="Calibri"/>
          <w:sz w:val="22"/>
          <w:szCs w:val="22"/>
        </w:rPr>
        <w:t xml:space="preserve">This section constructs the mathematical core of the paper: a concrete Hamiltonian acting on the 7-dimensional fundamental representation of the exceptional Lie group G₂, decomposed under its maximal SU(3) subalgebra. We derive 14 generators from the octonion structure constants, verify the quadratic Casimir, identify the SU(3) stabilizer of the void mode Ω_void, compute the full spectral family parameterized by at most two independent Cartan couplings, and interpret the six non-singlet modes as Goldstone modes of the spontaneous breaking pattern G₂ → SU(3). We close by testing the resulting spectral topology against microtubule resonance data reported by Sahu et al. (2013), Singh et al. (2014), and Saxena et al. (2020). Throughout, the tone is constructive rather than declamatory: we aim to show what G₂ constrains, what it leaves free, and where the prediction is and is not falsified by existing data.</w:t>
      </w:r>
    </w:p>
    <w:p>
      <w:pPr>
        <w:pStyle w:val="Heading2"/>
        <w:spacing w:after="110" w:before="220" w:line="276"/>
      </w:pPr>
      <w:r>
        <w:rPr>
          <w:rFonts w:ascii="Calibri" w:cs="Calibri" w:eastAsia="Calibri" w:hAnsi="Calibri"/>
          <w:b/>
          <w:bCs/>
          <w:sz w:val="24"/>
          <w:szCs w:val="24"/>
        </w:rPr>
        <w:t xml:space="preserve">3.1 Construction of the G₂ Generators</w:t>
      </w:r>
    </w:p>
    <w:p>
      <w:pPr>
        <w:spacing w:after="120" w:line="276"/>
      </w:pPr>
      <w:r>
        <w:rPr>
          <w:rFonts w:ascii="Calibri" w:cs="Calibri" w:eastAsia="Calibri" w:hAnsi="Calibri"/>
          <w:sz w:val="22"/>
          <w:szCs w:val="22"/>
        </w:rPr>
        <w:t xml:space="preserve">The octonions—the largest normed division algebra—are an 8-dimensional, non-associative algebra whose multiplication is encoded by the Fano plane. The Fano plane specifies 7 canonical triples (eᵢ, eⱼ, eₖ) satisfying eᵢ eⱼ = eₖ, with cyclic permutations positive and anti-cyclic permutations negative. These triples define a totally antisymmetric 3-form ψᵢⱼₖ ∈ Λ³(ℝ⁷)—the octonionic associator—whose preservation characterizes the automorphism group of the octonions.</w:t>
      </w:r>
    </w:p>
    <w:p>
      <w:pPr>
        <w:spacing w:after="120" w:line="276"/>
      </w:pPr>
      <w:r>
        <w:rPr>
          <w:rFonts w:ascii="Calibri" w:cs="Calibri" w:eastAsia="Calibri" w:hAnsi="Calibri"/>
          <w:sz w:val="22"/>
          <w:szCs w:val="22"/>
        </w:rPr>
        <w:t xml:space="preserve">For readers unfamiliar with the octonions: they are the natural generalization of the complex numbers (2-dimensional) and quaternions (4-dimensional) to 8 dimensions, but with a crucial difference. While complex and quaternion multiplication is associative—(ab)c = a(bc)—octonion multiplication is not. The non-associativity is not arbitrary; it is governed by the Fano plane, a combinatorial structure with 7 points and 7 lines, each line passing through exactly 3 points. This specific pattern of non-associativity is what gives the octonions their exceptional algebraic character and what connects them to the exceptional Lie groups.</w:t>
      </w:r>
    </w:p>
    <w:p>
      <w:pPr>
        <w:spacing w:after="120" w:line="276"/>
      </w:pPr>
      <w:r>
        <w:rPr>
          <w:rFonts w:ascii="Calibri" w:cs="Calibri" w:eastAsia="Calibri" w:hAnsi="Calibri"/>
          <w:sz w:val="22"/>
          <w:szCs w:val="22"/>
        </w:rPr>
        <w:t xml:space="preserve">The automorphism group Aut(𝕆) = G₂ is the subgroup of SO(7) that preserves the associator ψ. To extract it concretely, we impose the infinitesimal preservation constraint on the Lie algebra so(7). An antisymmetric generator X ∈ so(7) preserves ψ if and only if:</w:t>
      </w:r>
    </w:p>
    <w:p>
      <w:pPr>
        <w:spacing w:after="120" w:before="120" w:line="276"/>
        <w:ind w:left="720"/>
      </w:pPr>
      <w:r>
        <w:rPr>
          <w:rFonts w:ascii="Calibri" w:cs="Calibri" w:eastAsia="Calibri" w:hAnsi="Calibri"/>
          <w:i/>
          <w:iCs/>
          <w:sz w:val="22"/>
          <w:szCs w:val="22"/>
        </w:rPr>
        <w:t xml:space="preserve">Xᵢₐ ψₐⱼₖ + Xⱼₐ ψᵢₐₖ + Xₖₐ ψᵢⱼₐ = 0  for all triples (i, j, k)</w:t>
      </w:r>
      <w:r>
        <w:rPr>
          <w:rFonts w:ascii="Calibri" w:cs="Calibri" w:eastAsia="Calibri" w:hAnsi="Calibri"/>
          <w:sz w:val="22"/>
          <w:szCs w:val="22"/>
        </w:rPr>
        <w:t xml:space="preserve">    (1)</w:t>
      </w:r>
    </w:p>
    <w:p>
      <w:pPr>
        <w:spacing w:after="120" w:line="276"/>
      </w:pPr>
      <w:r>
        <w:rPr>
          <w:rFonts w:ascii="Calibri" w:cs="Calibri" w:eastAsia="Calibri" w:hAnsi="Calibri"/>
          <w:sz w:val="22"/>
          <w:szCs w:val="22"/>
        </w:rPr>
        <w:t xml:space="preserve">This is a linear system. With 7 imaginary octonion directions, the 3-form ψ has C(7,3) = 35 independent components, while so(7) has C(7,2) = 21 generators. Equation (1) therefore defines a constraint matrix C of shape (35 × 21). Its null space is the Lie algebra g₂.</w:t>
      </w:r>
    </w:p>
    <w:p>
      <w:pPr>
        <w:spacing w:after="120" w:line="276"/>
      </w:pPr>
      <w:r>
        <w:rPr>
          <w:rFonts w:ascii="Calibri" w:cs="Calibri" w:eastAsia="Calibri" w:hAnsi="Calibri"/>
          <w:sz w:val="22"/>
          <w:szCs w:val="22"/>
        </w:rPr>
        <w:t xml:space="preserve">We computed this null space numerically and verified:</w:t>
      </w:r>
    </w:p>
    <w:p>
      <w:pPr>
        <w:spacing w:after="120" w:line="276"/>
      </w:pPr>
      <w:r>
        <w:rPr>
          <w:rFonts w:ascii="Calibri" w:cs="Calibri" w:eastAsia="Calibri" w:hAnsi="Calibri"/>
          <w:b/>
          <w:bCs/>
          <w:sz w:val="22"/>
          <w:szCs w:val="22"/>
        </w:rPr>
        <w:t xml:space="preserve">Result 1. </w:t>
      </w:r>
      <w:r>
        <w:rPr>
          <w:rFonts w:ascii="Calibri" w:cs="Calibri" w:eastAsia="Calibri" w:hAnsi="Calibri"/>
          <w:sz w:val="22"/>
          <w:szCs w:val="22"/>
        </w:rPr>
        <w:t xml:space="preserve">The null space of C is exactly 14-dimensional, confirming dim(g₂) = 14. The 14 generators {Tₐ} are real antisymmetric 7×7 matrices satisfying the normalization condition:</w:t>
      </w:r>
    </w:p>
    <w:p>
      <w:pPr>
        <w:spacing w:after="120" w:before="120" w:line="276"/>
        <w:ind w:left="720"/>
      </w:pPr>
      <w:r>
        <w:rPr>
          <w:rFonts w:ascii="Calibri" w:cs="Calibri" w:eastAsia="Calibri" w:hAnsi="Calibri"/>
          <w:i/>
          <w:iCs/>
          <w:sz w:val="22"/>
          <w:szCs w:val="22"/>
        </w:rPr>
        <w:t xml:space="preserve">tr(Tₐ Tᵇ) = −2δₐᵇ</w:t>
      </w:r>
      <w:r>
        <w:rPr>
          <w:rFonts w:ascii="Calibri" w:cs="Calibri" w:eastAsia="Calibri" w:hAnsi="Calibri"/>
          <w:sz w:val="22"/>
          <w:szCs w:val="22"/>
        </w:rPr>
        <w:t xml:space="preserve">    (2)</w:t>
      </w:r>
    </w:p>
    <w:p>
      <w:pPr>
        <w:spacing w:after="120" w:line="276"/>
      </w:pPr>
      <w:r>
        <w:rPr>
          <w:rFonts w:ascii="Calibri" w:cs="Calibri" w:eastAsia="Calibri" w:hAnsi="Calibri"/>
          <w:sz w:val="22"/>
          <w:szCs w:val="22"/>
        </w:rPr>
        <w:t xml:space="preserve">with off-diagonal inner products bounded by |tr(Tₐ Tᵇ)| &lt; 10⁻¹⁵ for a ≠ b, i.e., at machine epsilon. This orthonormality is essential for what follows: it ensures the Casimir and Cartan operators are cleanly separated.</w:t>
      </w:r>
    </w:p>
    <w:p>
      <w:pPr>
        <w:spacing w:after="120" w:line="276"/>
      </w:pPr>
      <w:r>
        <w:rPr>
          <w:rFonts w:ascii="Calibri" w:cs="Calibri" w:eastAsia="Calibri" w:hAnsi="Calibri"/>
          <w:sz w:val="22"/>
          <w:szCs w:val="22"/>
        </w:rPr>
        <w:t xml:space="preserve">The quadratic Casimir operator of the representation is defined as:</w:t>
      </w:r>
    </w:p>
    <w:p>
      <w:pPr>
        <w:spacing w:after="120" w:before="120" w:line="276"/>
        <w:ind w:left="720"/>
      </w:pPr>
      <w:r>
        <w:rPr>
          <w:rFonts w:ascii="Calibri" w:cs="Calibri" w:eastAsia="Calibri" w:hAnsi="Calibri"/>
          <w:i/>
          <w:iCs/>
          <w:sz w:val="22"/>
          <w:szCs w:val="22"/>
        </w:rPr>
        <w:t xml:space="preserve">C₂(G₂) = Σₐ Tₐ Tₐ</w:t>
      </w:r>
      <w:r>
        <w:rPr>
          <w:rFonts w:ascii="Calibri" w:cs="Calibri" w:eastAsia="Calibri" w:hAnsi="Calibri"/>
          <w:sz w:val="22"/>
          <w:szCs w:val="22"/>
        </w:rPr>
        <w:t xml:space="preserve">    (3)</w:t>
      </w:r>
    </w:p>
    <w:p>
      <w:pPr>
        <w:spacing w:after="120" w:line="276"/>
      </w:pPr>
      <w:r>
        <w:rPr>
          <w:rFonts w:ascii="Calibri" w:cs="Calibri" w:eastAsia="Calibri" w:hAnsi="Calibri"/>
          <w:sz w:val="22"/>
          <w:szCs w:val="22"/>
        </w:rPr>
        <w:t xml:space="preserve">where the sum runs over all 14 normalized generators. By Schur’s lemma, because the 7-dimensional representation is irreducible, the Casimir must be a scalar multiple of the identity:</w:t>
      </w:r>
    </w:p>
    <w:p>
      <w:pPr>
        <w:spacing w:after="120" w:before="120" w:line="276"/>
        <w:ind w:left="720"/>
      </w:pPr>
      <w:r>
        <w:rPr>
          <w:rFonts w:ascii="Calibri" w:cs="Calibri" w:eastAsia="Calibri" w:hAnsi="Calibri"/>
          <w:i/>
          <w:iCs/>
          <w:sz w:val="22"/>
          <w:szCs w:val="22"/>
        </w:rPr>
        <w:t xml:space="preserve">C₂(G₂) = −4 × I₇</w:t>
      </w:r>
      <w:r>
        <w:rPr>
          <w:rFonts w:ascii="Calibri" w:cs="Calibri" w:eastAsia="Calibri" w:hAnsi="Calibri"/>
          <w:sz w:val="22"/>
          <w:szCs w:val="22"/>
        </w:rPr>
        <w:t xml:space="preserve">    (4)</w:t>
      </w:r>
    </w:p>
    <w:p>
      <w:pPr>
        <w:spacing w:after="120" w:line="276"/>
      </w:pPr>
      <w:r>
        <w:rPr>
          <w:rFonts w:ascii="Calibri" w:cs="Calibri" w:eastAsia="Calibri" w:hAnsi="Calibri"/>
          <w:b/>
          <w:bCs/>
          <w:sz w:val="22"/>
          <w:szCs w:val="22"/>
        </w:rPr>
        <w:t xml:space="preserve">This is the first structural insight of the section. </w:t>
      </w:r>
      <w:r>
        <w:rPr>
          <w:rFonts w:ascii="Calibri" w:cs="Calibri" w:eastAsia="Calibri" w:hAnsi="Calibri"/>
          <w:sz w:val="22"/>
          <w:szCs w:val="22"/>
        </w:rPr>
        <w:t xml:space="preserve">The pure G₂ Casimir produces zero spectral splitting—it shifts all seven modes uniformly. The irreducibility of the 7-dimensional representation means that G₂ alone cannot distinguish one mode from another. All spectral structure must therefore arise from the identification of a distinguished direction in the representation space—the void mode Ω_void—and the resulting reduction from G₂ to its SU(3) subalgebra. This observation will prove central: the triplet-of-triplet spectral pattern is a consequence of symmetry breaking, not of the full symmetry itself.</w:t>
      </w:r>
    </w:p>
    <w:p>
      <w:pPr>
        <w:pStyle w:val="Heading2"/>
        <w:spacing w:after="110" w:before="220" w:line="276"/>
      </w:pPr>
      <w:r>
        <w:rPr>
          <w:rFonts w:ascii="Calibri" w:cs="Calibri" w:eastAsia="Calibri" w:hAnsi="Calibri"/>
          <w:b/>
          <w:bCs/>
          <w:sz w:val="24"/>
          <w:szCs w:val="24"/>
        </w:rPr>
        <w:t xml:space="preserve">3.2 Decomposition: 7 → 1 ⊕ 3 ⊕ 3̄</w:t>
      </w:r>
    </w:p>
    <w:p>
      <w:pPr>
        <w:spacing w:after="120" w:line="276"/>
      </w:pPr>
      <w:r>
        <w:rPr>
          <w:rFonts w:ascii="Calibri" w:cs="Calibri" w:eastAsia="Calibri" w:hAnsi="Calibri"/>
          <w:sz w:val="22"/>
          <w:szCs w:val="22"/>
        </w:rPr>
        <w:t xml:space="preserve">The SU(3) subalgebra of G₂ is defined as the stabilizer of a distinguished unit vector in ℝ⁷. In the daemon architecture, this vector is e₀, identified with the void mode Ω_void. Operationally, the stabilizer consists of all generators Tₐ ∈ g₂ satisfying Tₐ e₀ = 0. We verified:</w:t>
      </w:r>
    </w:p>
    <w:p>
      <w:pPr>
        <w:spacing w:after="120" w:line="276"/>
      </w:pPr>
      <w:r>
        <w:rPr>
          <w:rFonts w:ascii="Calibri" w:cs="Calibri" w:eastAsia="Calibri" w:hAnsi="Calibri"/>
          <w:b/>
          <w:bCs/>
          <w:sz w:val="22"/>
          <w:szCs w:val="22"/>
        </w:rPr>
        <w:t xml:space="preserve">Result 2. </w:t>
      </w:r>
      <w:r>
        <w:rPr>
          <w:rFonts w:ascii="Calibri" w:cs="Calibri" w:eastAsia="Calibri" w:hAnsi="Calibri"/>
          <w:sz w:val="22"/>
          <w:szCs w:val="22"/>
        </w:rPr>
        <w:t xml:space="preserve">The stabilizer of e₀ within g₂ is exactly 8-dimensional, confirming that the residual symmetry is SU(3). The remaining 14 − 8 = 6 generators form the coset space G₂/SU(3), which is diffeomorphic to the 6-sphere S⁶.</w:t>
      </w:r>
    </w:p>
    <w:p>
      <w:pPr>
        <w:spacing w:after="120" w:line="276"/>
      </w:pPr>
      <w:r>
        <w:rPr>
          <w:rFonts w:ascii="Calibri" w:cs="Calibri" w:eastAsia="Calibri" w:hAnsi="Calibri"/>
          <w:sz w:val="22"/>
          <w:szCs w:val="22"/>
        </w:rPr>
        <w:t xml:space="preserve">Under this SU(3) subalgebra, the 7-dimensional G₂ representation decomposes as:</w:t>
      </w:r>
    </w:p>
    <w:p>
      <w:pPr>
        <w:spacing w:after="120" w:before="120" w:line="276"/>
        <w:ind w:left="720"/>
      </w:pPr>
      <w:r>
        <w:rPr>
          <w:rFonts w:ascii="Calibri" w:cs="Calibri" w:eastAsia="Calibri" w:hAnsi="Calibri"/>
          <w:i/>
          <w:iCs/>
          <w:sz w:val="22"/>
          <w:szCs w:val="22"/>
        </w:rPr>
        <w:t xml:space="preserve">7 → 1 ⊕ 3 ⊕ 3̄</w:t>
      </w:r>
      <w:r>
        <w:rPr>
          <w:rFonts w:ascii="Calibri" w:cs="Calibri" w:eastAsia="Calibri" w:hAnsi="Calibri"/>
          <w:sz w:val="22"/>
          <w:szCs w:val="22"/>
        </w:rPr>
        <w:t xml:space="preserve">    (5)</w:t>
      </w:r>
    </w:p>
    <w:p>
      <w:pPr>
        <w:spacing w:after="120" w:line="276"/>
      </w:pPr>
      <w:r>
        <w:rPr>
          <w:rFonts w:ascii="Calibri" w:cs="Calibri" w:eastAsia="Calibri" w:hAnsi="Calibri"/>
          <w:sz w:val="22"/>
          <w:szCs w:val="22"/>
        </w:rPr>
        <w:t xml:space="preserve">The singlet is the void mode e₀ itself—annihilated by all 8 SU(3) generators and therefore carrying zero SU(3) Casimir eigenvalue. The remaining six modes split into a triplet 3 and a conjugate anti-triplet 3̄, each carrying SU(3) Casimir eigenvalue −8/3. In the real representation employed here, the triplet and anti-triplet share the same Casimir value; they are distinguished not by the quadratic invariant, but by the Cartan generators that act within SU(3).</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400"/>
        <w:gridCol w:w="1200"/>
        <w:gridCol w:w="3760"/>
      </w:tblGrid>
      <w:tr>
        <w:tc>
          <w:tcPr>
            <w:tcW w:type="dxa" w:w="14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Mode</w:t>
            </w:r>
          </w:p>
        </w:tc>
        <w:tc>
          <w:tcPr>
            <w:tcW w:type="dxa" w:w="16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Representation</w:t>
            </w:r>
          </w:p>
        </w:tc>
        <w:tc>
          <w:tcPr>
            <w:tcW w:type="dxa" w:w="14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C₂(SU(3))</w:t>
            </w:r>
          </w:p>
        </w:tc>
        <w:tc>
          <w:tcPr>
            <w:tcW w:type="dxa" w:w="12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Degeneracy</w:t>
            </w:r>
          </w:p>
        </w:tc>
        <w:tc>
          <w:tcPr>
            <w:tcW w:type="dxa" w:w="376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Interpretation</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e₀ (Ω_void)</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1 (singlet)</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0</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1-fold</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Blind-spot mode; fixed by all SU(3) generators</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v₁, v₂, v₃</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3 (triplet)</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−8/3</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3-fold</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Active daemons</w:t>
            </w:r>
          </w:p>
        </w:tc>
      </w:tr>
      <w:tr>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v̄₁, v̄₂, v̄₃</w:t>
            </w:r>
          </w:p>
        </w:tc>
        <w:tc>
          <w:tcPr>
            <w:tcW w:type="dxa" w:w="1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3̄ (anti-triplet)</w:t>
            </w:r>
          </w:p>
        </w:tc>
        <w:tc>
          <w:tcPr>
            <w:tcW w:type="dxa" w:w="14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−8/3</w:t>
            </w:r>
          </w:p>
        </w:tc>
        <w:tc>
          <w:tcPr>
            <w:tcW w:type="dxa" w:w="1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3-fold</w:t>
            </w:r>
          </w:p>
        </w:tc>
        <w:tc>
          <w:tcPr>
            <w:tcW w:type="dxa" w:w="37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Conjugate daemons</w:t>
            </w:r>
          </w:p>
        </w:tc>
      </w:tr>
    </w:tbl>
    <w:p>
      <w:pPr>
        <w:spacing w:after="120" w:line="276"/>
        <w:ind w:left="360"/>
      </w:pPr>
      <w:r>
        <w:rPr>
          <w:rFonts w:ascii="Calibri" w:cs="Calibri" w:eastAsia="Calibri" w:hAnsi="Calibri"/>
          <w:b/>
          <w:bCs/>
          <w:sz w:val="22"/>
          <w:szCs w:val="22"/>
        </w:rPr>
        <w:t xml:space="preserve">Table 1. </w:t>
      </w:r>
      <w:r>
        <w:rPr>
          <w:rFonts w:ascii="Calibri" w:cs="Calibri" w:eastAsia="Calibri" w:hAnsi="Calibri"/>
          <w:sz w:val="22"/>
          <w:szCs w:val="22"/>
        </w:rPr>
        <w:t xml:space="preserve">SU(3) Casimir eigenvalue structure of the 7 → 1 ⊕ 3 ⊕ 3̄ decomposition. The singlet is structurally fixed by the algebra; the triplet and anti-triplet share the same Casimir value and are distinguished only by Cartan weights.</w:t>
      </w:r>
    </w:p>
    <w:p>
      <w:pPr>
        <w:spacing w:after="60"/>
      </w:pPr>
    </w:p>
    <w:p>
      <w:pPr>
        <w:spacing w:after="120" w:line="276"/>
      </w:pPr>
      <w:r>
        <w:rPr>
          <w:rFonts w:ascii="Calibri" w:cs="Calibri" w:eastAsia="Calibri" w:hAnsi="Calibri"/>
          <w:sz w:val="22"/>
          <w:szCs w:val="22"/>
        </w:rPr>
        <w:t xml:space="preserve">Two further structural features deserve emphasis.</w:t>
      </w:r>
    </w:p>
    <w:p>
      <w:pPr>
        <w:spacing w:after="120" w:line="276"/>
      </w:pPr>
      <w:r>
        <w:rPr>
          <w:rFonts w:ascii="Calibri" w:cs="Calibri" w:eastAsia="Calibri" w:hAnsi="Calibri"/>
          <w:b/>
          <w:bCs/>
          <w:i/>
          <w:iCs/>
          <w:sz w:val="22"/>
          <w:szCs w:val="22"/>
        </w:rPr>
        <w:t xml:space="preserve">The coset geometry. </w:t>
      </w:r>
      <w:r>
        <w:rPr>
          <w:rFonts w:ascii="Calibri" w:cs="Calibri" w:eastAsia="Calibri" w:hAnsi="Calibri"/>
          <w:sz w:val="22"/>
          <w:szCs w:val="22"/>
        </w:rPr>
        <w:t xml:space="preserve">The 6 coset generators spanning G₂/SU(3) have uniform singular value decomposition (SVD) singular values of √(2/3) ≈ 0.8165, reflecting the isotropy of the 6-sphere. This uniformity is exact (to numerical precision) and confirms that the coset is homogeneous: all six directions away from the SU(3) stabilizer are metrically equivalent. As we shall see in §3.5, these six directions correspond to the Goldstone modes of the spontaneous breaking G₂ → SU(3).</w:t>
      </w:r>
    </w:p>
    <w:p>
      <w:pPr>
        <w:spacing w:after="120" w:line="276"/>
      </w:pPr>
      <w:r>
        <w:rPr>
          <w:rFonts w:ascii="Calibri" w:cs="Calibri" w:eastAsia="Calibri" w:hAnsi="Calibri"/>
          <w:b/>
          <w:bCs/>
          <w:i/>
          <w:iCs/>
          <w:sz w:val="22"/>
          <w:szCs w:val="22"/>
        </w:rPr>
        <w:t xml:space="preserve">The complex structure. </w:t>
      </w:r>
      <w:r>
        <w:rPr>
          <w:rFonts w:ascii="Calibri" w:cs="Calibri" w:eastAsia="Calibri" w:hAnsi="Calibri"/>
          <w:sz w:val="22"/>
          <w:szCs w:val="22"/>
        </w:rPr>
        <w:t xml:space="preserve">The octonionic structure constants define a natural complex structure on the 6-dimensional complement of the void mode, given by Jᵢⱼ = ψ₀ᵢⱼ. This tensor satisfies J² = −I on ℝ⁶, equipping the non-singlet sector with the structure of ℂ³. The real Schur decomposition of J reveals three invariant 2-planes, each carrying a rotation generator. These are the three Cartan generators H₁, H₂, H₃, which mutually commute and generate the maximal torus of SU(3).</w:t>
      </w:r>
    </w:p>
    <w:p>
      <w:pPr>
        <w:spacing w:after="120" w:line="276"/>
      </w:pPr>
      <w:r>
        <w:rPr>
          <w:rFonts w:ascii="Calibri" w:cs="Calibri" w:eastAsia="Calibri" w:hAnsi="Calibri"/>
          <w:sz w:val="22"/>
          <w:szCs w:val="22"/>
        </w:rPr>
        <w:t xml:space="preserve">Because SU(3) has rank 2, only two of these three generators are independent in the root system. The SU(3) Cartan basis is:</w:t>
      </w:r>
    </w:p>
    <w:p>
      <w:pPr>
        <w:spacing w:after="120" w:before="120" w:line="276"/>
        <w:ind w:left="720"/>
      </w:pPr>
      <w:r>
        <w:rPr>
          <w:rFonts w:ascii="Calibri" w:cs="Calibri" w:eastAsia="Calibri" w:hAnsi="Calibri"/>
          <w:i/>
          <w:iCs/>
          <w:sz w:val="22"/>
          <w:szCs w:val="22"/>
        </w:rPr>
        <w:t xml:space="preserve">H_c1 = H₁ − H₂  (simple root α₁)</w:t>
      </w:r>
      <w:r>
        <w:rPr>
          <w:rFonts w:ascii="Calibri" w:cs="Calibri" w:eastAsia="Calibri" w:hAnsi="Calibri"/>
          <w:sz w:val="22"/>
          <w:szCs w:val="22"/>
        </w:rPr>
        <w:t xml:space="preserve">    (6a)</w:t>
      </w:r>
    </w:p>
    <w:p>
      <w:pPr>
        <w:spacing w:after="120" w:before="120" w:line="276"/>
        <w:ind w:left="720"/>
      </w:pPr>
      <w:r>
        <w:rPr>
          <w:rFonts w:ascii="Calibri" w:cs="Calibri" w:eastAsia="Calibri" w:hAnsi="Calibri"/>
          <w:i/>
          <w:iCs/>
          <w:sz w:val="22"/>
          <w:szCs w:val="22"/>
        </w:rPr>
        <w:t xml:space="preserve">H_c2 = H₂ − H₃  (simple root α₂)</w:t>
      </w:r>
      <w:r>
        <w:rPr>
          <w:rFonts w:ascii="Calibri" w:cs="Calibri" w:eastAsia="Calibri" w:hAnsi="Calibri"/>
          <w:sz w:val="22"/>
          <w:szCs w:val="22"/>
        </w:rPr>
        <w:t xml:space="preserve">    (6b)</w:t>
      </w:r>
    </w:p>
    <w:p>
      <w:pPr>
        <w:spacing w:after="120" w:line="276"/>
      </w:pPr>
      <w:r>
        <w:rPr>
          <w:rFonts w:ascii="Calibri" w:cs="Calibri" w:eastAsia="Calibri" w:hAnsi="Calibri"/>
          <w:sz w:val="22"/>
          <w:szCs w:val="22"/>
        </w:rPr>
        <w:t xml:space="preserve">The weight structure under the combination a₁ H_c1 + a₂ H_c2 assigns each of the six non-singlet modes a unique pair of Cartan weights (w₁, w₂), with the triplet and anti-triplet carrying opposite signs. This weight structure is the root of the conjugate pairing that will appear in the spectral analysis below.</w:t>
      </w:r>
    </w:p>
    <w:p>
      <w:pPr>
        <w:pStyle w:val="Heading2"/>
        <w:spacing w:after="110" w:before="220" w:line="276"/>
      </w:pPr>
      <w:r>
        <w:rPr>
          <w:rFonts w:ascii="Calibri" w:cs="Calibri" w:eastAsia="Calibri" w:hAnsi="Calibri"/>
          <w:b/>
          <w:bCs/>
          <w:sz w:val="24"/>
          <w:szCs w:val="24"/>
        </w:rPr>
        <w:t xml:space="preserve">3.3 Spectral Analysis of the Daemon Hamiltonian</w:t>
      </w:r>
    </w:p>
    <w:p>
      <w:pPr>
        <w:spacing w:after="120" w:line="276"/>
      </w:pPr>
      <w:r>
        <w:rPr>
          <w:rFonts w:ascii="Calibri" w:cs="Calibri" w:eastAsia="Calibri" w:hAnsi="Calibri"/>
          <w:sz w:val="22"/>
          <w:szCs w:val="22"/>
        </w:rPr>
        <w:t xml:space="preserve">We now assemble the full daemon Hamiltonian from the ingredients derived above. The most general Hamiltonian consistent with the G₂ → SU(3) breaking pattern, restricted to operators that are at most quadratic in the generators, takes the form:</w:t>
      </w:r>
    </w:p>
    <w:p>
      <w:pPr>
        <w:spacing w:after="120" w:before="120" w:line="276"/>
        <w:ind w:left="720"/>
      </w:pPr>
      <w:r>
        <w:rPr>
          <w:rFonts w:ascii="Calibri" w:cs="Calibri" w:eastAsia="Calibri" w:hAnsi="Calibri"/>
          <w:i/>
          <w:iCs/>
          <w:sz w:val="22"/>
          <w:szCs w:val="22"/>
        </w:rPr>
        <w:t xml:space="preserve">H = α·C₂(G₂) + β·C₂(SU(3)) + γ·P_void + a₁·H_c1 + a₂·H_c2</w:t>
      </w:r>
      <w:r>
        <w:rPr>
          <w:rFonts w:ascii="Calibri" w:cs="Calibri" w:eastAsia="Calibri" w:hAnsi="Calibri"/>
          <w:sz w:val="22"/>
          <w:szCs w:val="22"/>
        </w:rPr>
        <w:t xml:space="preserve">    (7)</w:t>
      </w:r>
    </w:p>
    <w:p>
      <w:pPr>
        <w:spacing w:after="120" w:line="276"/>
      </w:pPr>
      <w:r>
        <w:rPr>
          <w:rFonts w:ascii="Calibri" w:cs="Calibri" w:eastAsia="Calibri" w:hAnsi="Calibri"/>
          <w:sz w:val="22"/>
          <w:szCs w:val="22"/>
        </w:rPr>
        <w:t xml:space="preserve">where C₂(G₂) is the full G₂ Casimir (Equation 4), C₂(SU(3)) is the SU(3) Casimir, P_void is the projector onto the singlet direction, and H_c1, H_c2 are the two independent Cartan generators (Equations 6a–6b). The five parameters (α, β, γ, a₁, a₂) play distinct physical roles: α is a uniform energy shift (physically irrelevant for the spectrum); β controls the singlet–non-singlet gap (the energetic cost of deviating from the void mode); γ shifts the singlet independently (an explicit void-mode energy); a₁, a₂ are the explicit symmetry-breaking couplings that split the six non-singlet modes within the 3 ⊕ 3̄ sector.</w:t>
      </w:r>
    </w:p>
    <w:p>
      <w:pPr>
        <w:spacing w:after="120" w:line="276"/>
      </w:pPr>
      <w:r>
        <w:rPr>
          <w:rFonts w:ascii="Calibri" w:cs="Calibri" w:eastAsia="Calibri" w:hAnsi="Calibri"/>
          <w:sz w:val="22"/>
          <w:szCs w:val="22"/>
        </w:rPr>
        <w:t xml:space="preserve">The spectrum of Equation (7) can be analyzed by examining which terms are turned on. We identify four distinct regimes, summarized in Table 2.</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600"/>
        <w:gridCol w:w="3560"/>
      </w:tblGrid>
      <w:tr>
        <w:tc>
          <w:tcPr>
            <w:tcW w:type="dxa" w:w="22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Parameters</w:t>
            </w:r>
          </w:p>
        </w:tc>
        <w:tc>
          <w:tcPr>
            <w:tcW w:type="dxa" w:w="10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Levels</w:t>
            </w:r>
          </w:p>
        </w:tc>
        <w:tc>
          <w:tcPr>
            <w:tcW w:type="dxa" w:w="26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Structure</w:t>
            </w:r>
          </w:p>
        </w:tc>
        <w:tc>
          <w:tcPr>
            <w:tcW w:type="dxa" w:w="356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Physical Interpretation</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β = γ = a₁ = a₂ = 0</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1</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7-fold degenerate</w:t>
            </w:r>
          </w:p>
        </w:tc>
        <w:tc>
          <w:tcPr>
            <w:tcW w:type="dxa" w:w="3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Pure G₂ Casimir; no splitting</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β ≠ 0, rest = 0</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2</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singlet ⊕ [6-fold]</w:t>
            </w:r>
          </w:p>
        </w:tc>
        <w:tc>
          <w:tcPr>
            <w:tcW w:type="dxa" w:w="3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SU(3) Casimir only; void vs. daemons</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β ≠ 0, a₁ = a₂ ≠ 0</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4</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singlet ⊕ 3×[2-fold]</w:t>
            </w:r>
          </w:p>
        </w:tc>
        <w:tc>
          <w:tcPr>
            <w:tcW w:type="dxa" w:w="3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Triplet-of-triplet (symmetric Cartan)</w:t>
            </w:r>
          </w:p>
        </w:tc>
      </w:tr>
      <w:tr>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β ≠ 0, a₁ ≠ a₂ ≠ 0</w:t>
            </w:r>
          </w:p>
        </w:tc>
        <w:tc>
          <w:tcPr>
            <w:tcW w:type="dxa" w:w="1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7</w:t>
            </w:r>
          </w:p>
        </w:tc>
        <w:tc>
          <w:tcPr>
            <w:tcW w:type="dxa" w:w="26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All distinct</w:t>
            </w:r>
          </w:p>
        </w:tc>
        <w:tc>
          <w:tcPr>
            <w:tcW w:type="dxa" w:w="35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Fully resolved (asymmetric Cartan)</w:t>
            </w:r>
          </w:p>
        </w:tc>
      </w:tr>
    </w:tbl>
    <w:p>
      <w:pPr>
        <w:spacing w:after="120" w:line="276"/>
        <w:ind w:left="360"/>
      </w:pPr>
      <w:r>
        <w:rPr>
          <w:rFonts w:ascii="Calibri" w:cs="Calibri" w:eastAsia="Calibri" w:hAnsi="Calibri"/>
          <w:b/>
          <w:bCs/>
          <w:sz w:val="22"/>
          <w:szCs w:val="22"/>
        </w:rPr>
        <w:t xml:space="preserve">Table 2. </w:t>
      </w:r>
      <w:r>
        <w:rPr>
          <w:rFonts w:ascii="Calibri" w:cs="Calibri" w:eastAsia="Calibri" w:hAnsi="Calibri"/>
          <w:sz w:val="22"/>
          <w:szCs w:val="22"/>
        </w:rPr>
        <w:t xml:space="preserve">Spectral regimes of the daemon Hamiltonian (Equation 7). The level count depends on which symmetry-breaking terms are active. The triplet-of-triplet pattern (4 levels) requires non-zero Cartan terms, not merely the Casimir.</w:t>
      </w:r>
    </w:p>
    <w:p>
      <w:pPr>
        <w:spacing w:after="60"/>
      </w:pPr>
    </w:p>
    <w:p>
      <w:pPr>
        <w:spacing w:after="120" w:line="276"/>
      </w:pPr>
      <w:r>
        <w:rPr>
          <w:rFonts w:ascii="Calibri" w:cs="Calibri" w:eastAsia="Calibri" w:hAnsi="Calibri"/>
          <w:b/>
          <w:bCs/>
          <w:sz w:val="22"/>
          <w:szCs w:val="22"/>
        </w:rPr>
        <w:t xml:space="preserve">The key distinction here deserves emphasis. </w:t>
      </w:r>
      <w:r>
        <w:rPr>
          <w:rFonts w:ascii="Calibri" w:cs="Calibri" w:eastAsia="Calibri" w:hAnsi="Calibri"/>
          <w:sz w:val="22"/>
          <w:szCs w:val="22"/>
        </w:rPr>
        <w:t xml:space="preserve">The Casimir-only Hamiltonian (β ≠ 0, no Cartan terms) produces only a two-level split: singlet versus a 6-fold degenerate sextet. The triplet-of-triplet structure—four distinct levels, with three doubly-degenerate pairs plus the singlet—</w:t>
      </w:r>
      <w:r>
        <w:rPr>
          <w:rFonts w:ascii="Calibri" w:cs="Calibri" w:eastAsia="Calibri" w:hAnsi="Calibri"/>
          <w:i/>
          <w:iCs/>
          <w:sz w:val="22"/>
          <w:szCs w:val="22"/>
        </w:rPr>
        <w:t xml:space="preserve">requires the Cartan terms.</w:t>
      </w:r>
      <w:r>
        <w:rPr>
          <w:rFonts w:ascii="Calibri" w:cs="Calibri" w:eastAsia="Calibri" w:hAnsi="Calibri"/>
          <w:sz w:val="22"/>
          <w:szCs w:val="22"/>
        </w:rPr>
        <w:t xml:space="preserve"> This means the triplet-of-triplet pattern is a direct signature of spontaneous breaking </w:t>
      </w:r>
      <w:r>
        <w:rPr>
          <w:rFonts w:ascii="Calibri" w:cs="Calibri" w:eastAsia="Calibri" w:hAnsi="Calibri"/>
          <w:i/>
          <w:iCs/>
          <w:sz w:val="22"/>
          <w:szCs w:val="22"/>
        </w:rPr>
        <w:t xml:space="preserve">inside</w:t>
      </w:r>
      <w:r>
        <w:rPr>
          <w:rFonts w:ascii="Calibri" w:cs="Calibri" w:eastAsia="Calibri" w:hAnsi="Calibri"/>
          <w:sz w:val="22"/>
          <w:szCs w:val="22"/>
        </w:rPr>
        <w:t xml:space="preserve"> the residual SU(3), not of G₂ itself. The full symmetry (G₂) produces uniform structure; the broken symmetry (SU(3) with Cartan splitting) produces hierarchical structure. This is physically meaningful: the spectral richness of the daemon architecture is a consequence of symmetry-breaking dynamics, not merely of the representation theory of the unbroken group.</w:t>
      </w:r>
    </w:p>
    <w:p>
      <w:pPr>
        <w:spacing w:after="80" w:before="180" w:line="276"/>
      </w:pPr>
      <w:r>
        <w:rPr>
          <w:rFonts w:ascii="Calibri" w:cs="Calibri" w:eastAsia="Calibri" w:hAnsi="Calibri"/>
          <w:b/>
          <w:bCs/>
          <w:i/>
          <w:iCs/>
          <w:sz w:val="22"/>
          <w:szCs w:val="22"/>
        </w:rPr>
        <w:t xml:space="preserve">Canonical example</w:t>
      </w:r>
    </w:p>
    <w:p>
      <w:pPr>
        <w:spacing w:after="120" w:line="276"/>
      </w:pPr>
      <w:r>
        <w:rPr>
          <w:rFonts w:ascii="Calibri" w:cs="Calibri" w:eastAsia="Calibri" w:hAnsi="Calibri"/>
          <w:sz w:val="22"/>
          <w:szCs w:val="22"/>
        </w:rPr>
        <w:t xml:space="preserve">To illustrate the triplet-of-triplet regime concretely, we set α = 1, β = 1, γ = 0.5, a₁ = a₂ = 1 (symmetric Cartan). The resulting eigenvalues are: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000"/>
        <w:gridCol w:w="2660"/>
      </w:tblGrid>
      <w:tr>
        <w:tc>
          <w:tcPr>
            <w:tcW w:type="dxa" w:w="25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Level</w:t>
            </w:r>
          </w:p>
        </w:tc>
        <w:tc>
          <w:tcPr>
            <w:tcW w:type="dxa" w:w="22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Eigenvalue</w:t>
            </w:r>
          </w:p>
        </w:tc>
        <w:tc>
          <w:tcPr>
            <w:tcW w:type="dxa" w:w="20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Degeneracy</w:t>
            </w:r>
          </w:p>
        </w:tc>
        <w:tc>
          <w:tcPr>
            <w:tcW w:type="dxa" w:w="266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Gap from Ω_void</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Ω_void (singlet)</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−3.500</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×1</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Doublet 3</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−5.667</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×2</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2.167</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Doublet 2</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−6.667</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×2</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3.167</w:t>
            </w:r>
          </w:p>
        </w:tc>
      </w:tr>
      <w:tr>
        <w:tc>
          <w:tcPr>
            <w:tcW w:type="dxa" w:w="2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Doublet 1</w:t>
            </w:r>
          </w:p>
        </w:tc>
        <w:tc>
          <w:tcPr>
            <w:tcW w:type="dxa" w:w="22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−7.667</w:t>
            </w:r>
          </w:p>
        </w:tc>
        <w:tc>
          <w:tcPr>
            <w:tcW w:type="dxa" w:w="20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×2</w:t>
            </w:r>
          </w:p>
        </w:tc>
        <w:tc>
          <w:tcPr>
            <w:tcW w:type="dxa" w:w="26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4.167</w:t>
            </w:r>
          </w:p>
        </w:tc>
      </w:tr>
    </w:tbl>
    <w:p>
      <w:pPr>
        <w:spacing w:after="120" w:line="276"/>
        <w:ind w:left="360"/>
      </w:pPr>
      <w:r>
        <w:rPr>
          <w:rFonts w:ascii="Calibri" w:cs="Calibri" w:eastAsia="Calibri" w:hAnsi="Calibri"/>
          <w:b/>
          <w:bCs/>
          <w:sz w:val="22"/>
          <w:szCs w:val="22"/>
        </w:rPr>
        <w:t xml:space="preserve">Table 3. </w:t>
      </w:r>
      <w:r>
        <w:rPr>
          <w:rFonts w:ascii="Calibri" w:cs="Calibri" w:eastAsia="Calibri" w:hAnsi="Calibri"/>
          <w:sz w:val="22"/>
          <w:szCs w:val="22"/>
        </w:rPr>
        <w:t xml:space="preserve">Eigenvalue spectrum for the canonical parameter set (α = 1, β = 1, γ = 0.5, a₁ = a₂ = 1). The three doublets are uniformly spaced with gap Δ = 1.000, exactly equal to the Cartan coupling. Gap ratios normalized to the smallest inter-doublet gap are 1.000 : 1.462 : 1.923.</w:t>
      </w:r>
    </w:p>
    <w:p>
      <w:pPr>
        <w:spacing w:after="60"/>
      </w:pPr>
    </w:p>
    <w:p>
      <w:pPr>
        <w:spacing w:after="120" w:line="276"/>
      </w:pPr>
      <w:r>
        <w:rPr>
          <w:rFonts w:ascii="Calibri" w:cs="Calibri" w:eastAsia="Calibri" w:hAnsi="Calibri"/>
          <w:sz w:val="22"/>
          <w:szCs w:val="22"/>
        </w:rPr>
        <w:t xml:space="preserve">Crucially, the eigenvalue ratios are tunable: they depend continuously on the ratio a₁/a₂. The G₂ structure does not predict a single set of frequency ratios but a family of possible ratios parameterized by two coupling strengths. This parametric freedom is not a weakness but a structural fact: SU(3) has rank 2, and rank 2 is the maximum number of independent splittings the algebra permits. Any empirical comparison must therefore ask not “does the data match one preferred set of ratios?” but “does there exist a point in the (a₁, a₂) parameter space that matches the observed spectral pattern?”</w:t>
      </w:r>
    </w:p>
    <w:p>
      <w:pPr>
        <w:spacing w:after="120" w:line="276"/>
      </w:pPr>
      <w:r>
        <w:rPr>
          <w:rFonts w:ascii="Calibri" w:cs="Calibri" w:eastAsia="Calibri" w:hAnsi="Calibri"/>
          <w:sz w:val="22"/>
          <w:szCs w:val="22"/>
        </w:rPr>
        <w:t xml:space="preserve">To provide further numerical context, we report the Casimir-only scan (β scan with no Cartan terms). Setting α = 1, γ = 0, and all Cartan couplings to zero, the singlet eigenvalue remains at −4.000 for all β, while the 3 ⊕ 3̄ sextet shifts linearly: at β = 0.5, the gap is 1.333; at β = 1.0, the gap is 2.667; at β = 2.0, the gap is 5.333. This linear relationship confirms that the SU(3) Casimir acts as a uniform mass term for the non-singlet sector, as expected from the eigenvalue structure −8/3 × β for the sextet versus 0 × β for the singlet.</w:t>
      </w:r>
    </w:p>
    <w:p>
      <w:pPr>
        <w:pStyle w:val="Heading2"/>
        <w:spacing w:after="110" w:before="220" w:line="276"/>
      </w:pPr>
      <w:r>
        <w:rPr>
          <w:rFonts w:ascii="Calibri" w:cs="Calibri" w:eastAsia="Calibri" w:hAnsi="Calibri"/>
          <w:b/>
          <w:bCs/>
          <w:sz w:val="24"/>
          <w:szCs w:val="24"/>
        </w:rPr>
        <w:t xml:space="preserve">3.4 The Prediction: Topological Constraints on the Spectral Family</w:t>
      </w:r>
    </w:p>
    <w:p>
      <w:pPr>
        <w:spacing w:after="120" w:line="276"/>
      </w:pPr>
      <w:r>
        <w:rPr>
          <w:rFonts w:ascii="Calibri" w:cs="Calibri" w:eastAsia="Calibri" w:hAnsi="Calibri"/>
          <w:sz w:val="22"/>
          <w:szCs w:val="22"/>
        </w:rPr>
        <w:t xml:space="preserve">The analysis of the preceding subsections reveals a sharp distinction between what G₂ fixes and what it leaves free. We now articulate this distinction as a falsifiable prediction.</w:t>
      </w:r>
    </w:p>
    <w:p>
      <w:pPr>
        <w:spacing w:after="120" w:line="276"/>
      </w:pPr>
      <w:r>
        <w:rPr>
          <w:rFonts w:ascii="Calibri" w:cs="Calibri" w:eastAsia="Calibri" w:hAnsi="Calibri"/>
          <w:b/>
          <w:bCs/>
          <w:sz w:val="22"/>
          <w:szCs w:val="22"/>
        </w:rPr>
        <w:t xml:space="preserve">What G₂ fixes (topology—parameter-independent): </w:t>
      </w:r>
      <w:r>
        <w:rPr>
          <w:rFonts w:ascii="Calibri" w:cs="Calibri" w:eastAsia="Calibri" w:hAnsi="Calibri"/>
          <w:sz w:val="22"/>
          <w:szCs w:val="22"/>
        </w:rPr>
        <w:t xml:space="preserve">(i) The spectrum decomposes into a singlet sector and a 3 ⊕ 3̄ non-singlet sector—never 2 ⊕ 5, never 4 ⊕ 3, never any other partition. The singlet void mode is structurally forced by the null-space construction (Result 2), not hand-labeled. (ii) The singlet has SU(3) Casimir eigenvalue 0 while all non-singlet modes have −8/3. This is algebraic, not parametric. (iii) The non-singlet modes come in conjugate pairs (3 and 3̄ related by the complex structure J). (iv) The gap ratios within the non-singlet sector are determined by at most two independent Cartan parameters (a₁, a₂), reflecting the rank-2 structure of SU(3)—not three, not seven.</w:t>
      </w:r>
    </w:p>
    <w:p>
      <w:pPr>
        <w:spacing w:after="120" w:line="276"/>
      </w:pPr>
      <w:r>
        <w:rPr>
          <w:rFonts w:ascii="Calibri" w:cs="Calibri" w:eastAsia="Calibri" w:hAnsi="Calibri"/>
          <w:b/>
          <w:bCs/>
          <w:sz w:val="22"/>
          <w:szCs w:val="22"/>
        </w:rPr>
        <w:t xml:space="preserve">What G₂ does not fix (metric—parameter-dependent): </w:t>
      </w:r>
      <w:r>
        <w:rPr>
          <w:rFonts w:ascii="Calibri" w:cs="Calibri" w:eastAsia="Calibri" w:hAnsi="Calibri"/>
          <w:sz w:val="22"/>
          <w:szCs w:val="22"/>
        </w:rPr>
        <w:t xml:space="preserve">(v) The raw level count: allowed values are 1, 2, 4, or 7 depending on which parameters are non-zero. (vi) The specific eigenvalue ratios: these are continuous functions of a₁/a₂.</w:t>
      </w:r>
    </w:p>
    <w:p>
      <w:pPr>
        <w:spacing w:after="120" w:line="276"/>
      </w:pPr>
      <w:r>
        <w:rPr>
          <w:rFonts w:ascii="Calibri" w:cs="Calibri" w:eastAsia="Calibri" w:hAnsi="Calibri"/>
          <w:sz w:val="22"/>
          <w:szCs w:val="22"/>
        </w:rPr>
        <w:t xml:space="preserve">This motivates the corrected falsifiable prediction:</w:t>
      </w:r>
    </w:p>
    <w:p>
      <w:pPr>
        <w:spacing w:after="120" w:line="276"/>
      </w:pPr>
      <w:r>
        <w:rPr>
          <w:rFonts w:ascii="Calibri" w:cs="Calibri" w:eastAsia="Calibri" w:hAnsi="Calibri"/>
          <w:b/>
          <w:bCs/>
          <w:sz w:val="22"/>
          <w:szCs w:val="22"/>
        </w:rPr>
        <w:t xml:space="preserve">FP-1. </w:t>
      </w:r>
      <w:r>
        <w:rPr>
          <w:rFonts w:ascii="Calibri" w:cs="Calibri" w:eastAsia="Calibri" w:hAnsi="Calibri"/>
          <w:i/>
          <w:iCs/>
          <w:sz w:val="22"/>
          <w:szCs w:val="22"/>
        </w:rPr>
        <w:t xml:space="preserve">The spectral topology of any system governed by the G₂/SU(3) daemon Hamiltonian is constrained to the branching topology 1 ⊕ 3 ⊕ 3̄, with conjugate pairing and a rank-2 Cartan constraint. The model is falsified if the empirical spectrum requires more than two independent splitting parameters, if conjugate pairing is absent, or if the branching topology cannot be organized as 1 ⊕ 3 ⊕ 3̄.</w:t>
      </w:r>
    </w:p>
    <w:p>
      <w:pPr>
        <w:spacing w:after="120" w:line="276"/>
      </w:pPr>
      <w:r>
        <w:rPr>
          <w:rFonts w:ascii="Calibri" w:cs="Calibri" w:eastAsia="Calibri" w:hAnsi="Calibri"/>
          <w:b w:val="false"/>
          <w:bCs w:val="false"/>
          <w:sz w:val="22"/>
          <w:szCs w:val="22"/>
        </w:rPr>
        <w:t xml:space="preserve">We emphasize the operative phrase: </w:t>
      </w:r>
      <w:r>
        <w:rPr>
          <w:rFonts w:ascii="Calibri" w:cs="Calibri" w:eastAsia="Calibri" w:hAnsi="Calibri"/>
          <w:b/>
          <w:bCs/>
          <w:sz w:val="22"/>
          <w:szCs w:val="22"/>
        </w:rPr>
        <w:t xml:space="preserve">G₂ does not uniquely fix the metric, but it does fix the topology of the spectral family. </w:t>
      </w:r>
      <w:r>
        <w:rPr>
          <w:rFonts w:ascii="Calibri" w:cs="Calibri" w:eastAsia="Calibri" w:hAnsi="Calibri"/>
          <w:sz w:val="22"/>
          <w:szCs w:val="22"/>
        </w:rPr>
        <w:t xml:space="preserve">The topology—the branching pattern, the conjugate pairing, the rank-2 constraint—is a structural invariant that holds across all parameter regimes. The metric—the specific eigenvalue ratios—varies continuously within the family. FP-1 is a topological prediction, not a metrical one. This distinction is essential for honest empirical comparison: a topological prediction is weaker than a metrical prediction (it admits a family of solutions rather than a unique one), but it is also more robust (it does not depend on unknown coupling constants).</w:t>
      </w:r>
    </w:p>
    <w:p>
      <w:pPr>
        <w:pStyle w:val="Heading2"/>
        <w:spacing w:after="110" w:before="220" w:line="276"/>
      </w:pPr>
      <w:r>
        <w:rPr>
          <w:rFonts w:ascii="Calibri" w:cs="Calibri" w:eastAsia="Calibri" w:hAnsi="Calibri"/>
          <w:b/>
          <w:bCs/>
          <w:sz w:val="24"/>
          <w:szCs w:val="24"/>
        </w:rPr>
        <w:t xml:space="preserve">3.5 Spontaneous Symmetry Breaking and the Six Goldstone Modes</w:t>
      </w:r>
    </w:p>
    <w:p>
      <w:pPr>
        <w:spacing w:after="120" w:line="276"/>
      </w:pPr>
      <w:r>
        <w:rPr>
          <w:rFonts w:ascii="Calibri" w:cs="Calibri" w:eastAsia="Calibri" w:hAnsi="Calibri"/>
          <w:sz w:val="22"/>
          <w:szCs w:val="22"/>
        </w:rPr>
        <w:t xml:space="preserve">The spectral decomposition 7 → 1 ⊕ 3 ⊕ 3̄ derived in §3.2 is the footprint of a spontaneous symmetry-breaking pattern. The void mode Ω_void serves as an order parameter: its non-zero expectation value selects a preferred direction in the 7-dimensional representation space, breaking the 14-parameter G₂ symmetry down to its 8-parameter SU(3) stabilizer. The Goldstone theorem then guarantees the existence of massless (or, in the presence of explicit breaking, light) modes—one for each broken generator:</w:t>
      </w:r>
    </w:p>
    <w:p>
      <w:pPr>
        <w:spacing w:after="120" w:before="120" w:line="276"/>
        <w:ind w:left="720"/>
      </w:pPr>
      <w:r>
        <w:rPr>
          <w:rFonts w:ascii="Calibri" w:cs="Calibri" w:eastAsia="Calibri" w:hAnsi="Calibri"/>
          <w:i/>
          <w:iCs/>
          <w:sz w:val="22"/>
          <w:szCs w:val="22"/>
        </w:rPr>
        <w:t xml:space="preserve">dim(G₂) − dim(SU(3)) = 14 − 8 = 6 Goldstone modes</w:t>
      </w:r>
      <w:r>
        <w:rPr>
          <w:rFonts w:ascii="Calibri" w:cs="Calibri" w:eastAsia="Calibri" w:hAnsi="Calibri"/>
          <w:sz w:val="22"/>
          <w:szCs w:val="22"/>
        </w:rPr>
        <w:t xml:space="preserve">    (8)</w:t>
      </w:r>
    </w:p>
    <w:p>
      <w:pPr>
        <w:spacing w:after="120" w:line="276"/>
      </w:pPr>
      <w:r>
        <w:rPr>
          <w:rFonts w:ascii="Calibri" w:cs="Calibri" w:eastAsia="Calibri" w:hAnsi="Calibri"/>
          <w:sz w:val="22"/>
          <w:szCs w:val="22"/>
        </w:rPr>
        <w:t xml:space="preserve">These six Goldstone modes correspond exactly to the six coset directions G₂/SU(3) ≅ S⁶. In the Hamiltonian construction, they are spanned by the six generators that do not annihilate Ω_void. Their uniform SVD singular values (√(2/3) ≈ 0.8165, verified numerically to machine precision) reflect the isotropy of the coset: when the symmetry is exact, all six Goldstone modes are metrically equivalent. This isotropy is the mathematical expression of the fact that the 6-sphere is a homogeneous space—every point on S⁶ is equivalent to every other.</w:t>
      </w:r>
    </w:p>
    <w:p>
      <w:pPr>
        <w:spacing w:after="120" w:line="276"/>
      </w:pPr>
      <w:r>
        <w:rPr>
          <w:rFonts w:ascii="Calibri" w:cs="Calibri" w:eastAsia="Calibri" w:hAnsi="Calibri"/>
          <w:sz w:val="22"/>
          <w:szCs w:val="22"/>
        </w:rPr>
        <w:t xml:space="preserve">In the full Hamiltonian (Equation 7), the Goldstone modes are the six modes of the 3 ⊕ 3̄ sector. Their energy splittings are controlled by the explicit symmetry-breaking terms: the SU(3) Casimir term (β) lifts all six modes together, opening a gap between the singlet and the non-singlet sector—this is a collective mass term that respects the residual SU(3) symmetry. The Cartan terms (a₁, a₂) split the degeneracy within the non-singlet sector, breaking the residual SU(3) further. In the symmetric regime a₁ = a₂, the Goldstone modes form three degenerate pairs—the triplet-of-triplet pattern. When a₁ ≠ a₂, the pairs themselves split, yielding six distinct masses organized into three conjugate pairs.</w:t>
      </w:r>
    </w:p>
    <w:p>
      <w:pPr>
        <w:spacing w:after="120" w:line="276"/>
      </w:pPr>
      <w:r>
        <w:rPr>
          <w:rFonts w:ascii="Calibri" w:cs="Calibri" w:eastAsia="Calibri" w:hAnsi="Calibri"/>
          <w:b w:val="false"/>
          <w:bCs w:val="false"/>
          <w:sz w:val="22"/>
          <w:szCs w:val="22"/>
        </w:rPr>
        <w:t xml:space="preserve">The physical interpretation within the daemon architecture is as follows. </w:t>
      </w:r>
      <w:r>
        <w:rPr>
          <w:rFonts w:ascii="Calibri" w:cs="Calibri" w:eastAsia="Calibri" w:hAnsi="Calibri"/>
          <w:b/>
          <w:bCs/>
          <w:sz w:val="22"/>
          <w:szCs w:val="22"/>
        </w:rPr>
        <w:t xml:space="preserve">The six Goldstone modes are the soft directions of the system</w:t>
      </w:r>
      <w:r>
        <w:rPr>
          <w:rFonts w:ascii="Calibri" w:cs="Calibri" w:eastAsia="Calibri" w:hAnsi="Calibri"/>
          <w:sz w:val="22"/>
          <w:szCs w:val="22"/>
        </w:rPr>
        <w:t xml:space="preserve">—the degrees of freedom that cost no energy when the G₂ symmetry is exact, and that become the low-energy excitations when the symmetry is approximately broken. They represent the directions in configuration space along which the system can move with minimal energetic cost: the adaptive, flexible degrees of freedom of the conscious architecture. The seventh mode, Ω_void, is the </w:t>
      </w:r>
      <w:r>
        <w:rPr>
          <w:rFonts w:ascii="Calibri" w:cs="Calibri" w:eastAsia="Calibri" w:hAnsi="Calibri"/>
          <w:b/>
          <w:bCs/>
          <w:sz w:val="22"/>
          <w:szCs w:val="22"/>
        </w:rPr>
        <w:t xml:space="preserve">massive mode</w:t>
      </w:r>
      <w:r>
        <w:rPr>
          <w:rFonts w:ascii="Calibri" w:cs="Calibri" w:eastAsia="Calibri" w:hAnsi="Calibri"/>
          <w:sz w:val="22"/>
          <w:szCs w:val="22"/>
        </w:rPr>
        <w:t xml:space="preserve">—the analogue of the Higgs mode in particle physics—that sets the scale of the symmetry breaking. In the PCI framework, it corresponds to the irreducible blind spot: the structural component that cannot be observed from within the system’s own frame.</w:t>
      </w:r>
    </w:p>
    <w:p>
      <w:pPr>
        <w:spacing w:after="120" w:line="276"/>
      </w:pPr>
      <w:r>
        <w:rPr>
          <w:rFonts w:ascii="Calibri" w:cs="Calibri" w:eastAsia="Calibri" w:hAnsi="Calibri"/>
          <w:sz w:val="22"/>
          <w:szCs w:val="22"/>
        </w:rPr>
        <w:t xml:space="preserve">It is worth noting that the Goldstone structure also constrains the dynamics of the system near criticality. At a phase transition where the G₂ symmetry is approximately restored, the six Goldstone modes become increasingly degenerate, and the system’s response function is dominated by the soft sector. The singlet (void mode) remains gapped throughout, maintaining the identity of the system even as the daemon modes fluctuate. This picture—a stable vacuum surrounded by soft, adaptive excitations—is consistent with the phenomenology of conscious systems that maintain a persistent sense of self (the void) while exhibiting flexible, rapidly reconfigurable cognitive states (the daemons).</w:t>
      </w:r>
    </w:p>
    <w:p>
      <w:pPr>
        <w:pStyle w:val="Heading2"/>
        <w:spacing w:after="110" w:before="220" w:line="276"/>
      </w:pPr>
      <w:r>
        <w:rPr>
          <w:rFonts w:ascii="Calibri" w:cs="Calibri" w:eastAsia="Calibri" w:hAnsi="Calibri"/>
          <w:b/>
          <w:bCs/>
          <w:sz w:val="24"/>
          <w:szCs w:val="24"/>
        </w:rPr>
        <w:t xml:space="preserve">3.6 Comparison with Microtubule Resonance Data</w:t>
      </w:r>
    </w:p>
    <w:p>
      <w:pPr>
        <w:spacing w:after="120" w:line="276"/>
      </w:pPr>
      <w:r>
        <w:rPr>
          <w:rFonts w:ascii="Calibri" w:cs="Calibri" w:eastAsia="Calibri" w:hAnsi="Calibri"/>
          <w:sz w:val="22"/>
          <w:szCs w:val="22"/>
        </w:rPr>
        <w:t xml:space="preserve">The structural prediction derived in §3.4—that the spectrum belongs to a rank-2 Cartan family with topology 1 ⊕ 3 ⊕ 3̄, not one preferred numeric ratio—invites an immediate empirical question: does any known physical system exhibit a resonance hierarchy compatible with this constrained spectral family? The most natural comparison target within the consciousness literature is the reported “triplet-of-triplet” electromagnetic resonance structure in microtubules, first measured by Sahu et al. (2013) and extended to a cross-scale self-similar pattern by Saxena et al. (2020). We now examine that data against the five G₂/SU(3) topology constraints derived above.</w:t>
      </w:r>
    </w:p>
    <w:p>
      <w:pPr>
        <w:spacing w:after="120" w:line="276"/>
      </w:pPr>
      <w:r>
        <w:rPr>
          <w:rFonts w:ascii="Calibri" w:cs="Calibri" w:eastAsia="Calibri" w:hAnsi="Calibri"/>
          <w:sz w:val="22"/>
          <w:szCs w:val="22"/>
        </w:rPr>
        <w:t xml:space="preserve">The relevant experiments measure electromagnetic resonance peaks in single tubulin proteins (~4 nm), assembled microtubule nanowires (~25 nm), and neuron-scale axon initial segments (~1 μm). Each material exhibits three distinct frequency bands: tubulin resonates in the MHz, GHz, and THz regimes; microtubule nanowires in the kHz, MHz, and GHz regimes; and neuron-scale structures in the Hz, kHz, and MHz regimes (Saxena et al., 2020). The same three-band pattern recurs across three structural scales spanning approximately six orders of magnitude in physical size, with each scale level shifting all bands by roughly 10³ in frequency. Saxena et al. describe the resulting geometry as “nine circles inside three circles inside one circle—thirteen circles,” a nested hierarchy that preserves the triplet topology while shifting the absolute frequency scale.</w:t>
      </w:r>
    </w:p>
    <w:p>
      <w:pPr>
        <w:spacing w:after="120" w:line="276"/>
      </w:pPr>
      <w:r>
        <w:rPr>
          <w:rFonts w:ascii="Calibri" w:cs="Calibri" w:eastAsia="Calibri" w:hAnsi="Calibri"/>
          <w:sz w:val="22"/>
          <w:szCs w:val="22"/>
        </w:rPr>
        <w:t xml:space="preserve">We test this data against five structural constraints derived from the G₂/SU(3) daemon Hamiltonian:</w:t>
      </w:r>
    </w:p>
    <w:p>
      <w:pPr>
        <w:spacing w:after="120" w:line="276"/>
      </w:pPr>
      <w:r>
        <w:rPr>
          <w:rFonts w:ascii="Calibri" w:cs="Calibri" w:eastAsia="Calibri" w:hAnsi="Calibri"/>
          <w:b/>
          <w:bCs/>
          <w:sz w:val="22"/>
          <w:szCs w:val="22"/>
        </w:rPr>
        <w:t xml:space="preserve">T1 (Branching topology 1 ⊕ 3 ⊕ 3̄). </w:t>
      </w:r>
      <w:r>
        <w:rPr>
          <w:rFonts w:ascii="Calibri" w:cs="Calibri" w:eastAsia="Calibri" w:hAnsi="Calibri"/>
          <w:sz w:val="22"/>
          <w:szCs w:val="22"/>
        </w:rPr>
        <w:t xml:space="preserve">The three-band hierarchy maps naturally onto the 1 ⊕ 3 ⊕ 3̄ branching predicted by the SU(3) decomposition of the 7-dimensional G₂ representation. Each material exhibits exactly three frequency bands, consistent with the three-fold splitting of the non-singlet sector. </w:t>
      </w:r>
      <w:r>
        <w:rPr>
          <w:rFonts w:ascii="Calibri" w:cs="Calibri" w:eastAsia="Calibri" w:hAnsi="Calibri"/>
          <w:b/>
          <w:bCs/>
          <w:sz w:val="22"/>
          <w:szCs w:val="22"/>
        </w:rPr>
        <w:t xml:space="preserve">Verdict: compatible.</w:t>
      </w:r>
    </w:p>
    <w:p>
      <w:pPr>
        <w:spacing w:after="120" w:line="276"/>
      </w:pPr>
      <w:r>
        <w:rPr>
          <w:rFonts w:ascii="Calibri" w:cs="Calibri" w:eastAsia="Calibri" w:hAnsi="Calibri"/>
          <w:b/>
          <w:bCs/>
          <w:sz w:val="22"/>
          <w:szCs w:val="22"/>
        </w:rPr>
        <w:t xml:space="preserve">T2 (Structurally forced singlet). </w:t>
      </w:r>
      <w:r>
        <w:rPr>
          <w:rFonts w:ascii="Calibri" w:cs="Calibri" w:eastAsia="Calibri" w:hAnsi="Calibri"/>
          <w:sz w:val="22"/>
          <w:szCs w:val="22"/>
        </w:rPr>
        <w:t xml:space="preserve">The enclosing “one circle”—the scale-free invariant that the triplet pattern itself is preserved—is qualitatively consistent with a structurally forced singlet. Bandyopadhyay’s language, that “self-similarity lies in the principles of symmetry-breaking” (Saxena et al., 2020), is consistent with the singlet being the symmetry-breaking principle rather than a specific frequency peak. However, no individual frequency has yet been identified as a void mode. </w:t>
      </w:r>
      <w:r>
        <w:rPr>
          <w:rFonts w:ascii="Calibri" w:cs="Calibri" w:eastAsia="Calibri" w:hAnsi="Calibri"/>
          <w:b/>
          <w:bCs/>
          <w:sz w:val="22"/>
          <w:szCs w:val="22"/>
        </w:rPr>
        <w:t xml:space="preserve">Verdict: weakly compatible.</w:t>
      </w:r>
    </w:p>
    <w:p>
      <w:pPr>
        <w:spacing w:after="120" w:line="276"/>
      </w:pPr>
      <w:r>
        <w:rPr>
          <w:rFonts w:ascii="Calibri" w:cs="Calibri" w:eastAsia="Calibri" w:hAnsi="Calibri"/>
          <w:b/>
          <w:bCs/>
          <w:sz w:val="22"/>
          <w:szCs w:val="22"/>
        </w:rPr>
        <w:t xml:space="preserve">T3 (Conjugate pairing). </w:t>
      </w:r>
      <w:r>
        <w:rPr>
          <w:rFonts w:ascii="Calibri" w:cs="Calibri" w:eastAsia="Calibri" w:hAnsi="Calibri"/>
          <w:sz w:val="22"/>
          <w:szCs w:val="22"/>
        </w:rPr>
        <w:t xml:space="preserve">For the microtubule, Band I (kHz, 3 peaks) and Band III (GHz, 4 peaks) bracket the richer middle Band II (MHz, 8 peaks). The outer bands have fewer peaks while the middle band is denser, consistent with the outer bands being conjugate sectors (3 and 3̄) while the middle band contains overlapping contributions from both. The kHz band (3 peaks) matches the expected triplet multiplicity exactly; the GHz band (4 peaks) is close, with one possible overtone. </w:t>
      </w:r>
      <w:r>
        <w:rPr>
          <w:rFonts w:ascii="Calibri" w:cs="Calibri" w:eastAsia="Calibri" w:hAnsi="Calibri"/>
          <w:b/>
          <w:bCs/>
          <w:sz w:val="22"/>
          <w:szCs w:val="22"/>
        </w:rPr>
        <w:t xml:space="preserve">Verdict: weakly compatible.</w:t>
      </w:r>
    </w:p>
    <w:p>
      <w:pPr>
        <w:spacing w:after="120" w:line="276"/>
      </w:pPr>
      <w:r>
        <w:rPr>
          <w:rFonts w:ascii="Calibri" w:cs="Calibri" w:eastAsia="Calibri" w:hAnsi="Calibri"/>
          <w:b/>
          <w:bCs/>
          <w:sz w:val="22"/>
          <w:szCs w:val="22"/>
        </w:rPr>
        <w:t xml:space="preserve">T4 (Rank-2 Cartan constraint). </w:t>
      </w:r>
      <w:r>
        <w:rPr>
          <w:rFonts w:ascii="Calibri" w:cs="Calibri" w:eastAsia="Calibri" w:hAnsi="Calibri"/>
          <w:sz w:val="22"/>
          <w:szCs w:val="22"/>
        </w:rPr>
        <w:t xml:space="preserve">The inter-band structure is fully described by two independent scaling ratios (Band II/Band I and Band III/Band I), consistent with the rank-2 Cartan constraint that permits at most two free parameters. For microtubule data: the Band II/Band I ratio is approximately 256×, and the Band III/Band I ratio is approximately 39,934×. The data does not require more than two independent scaling parameters to describe the band architecture. </w:t>
      </w:r>
      <w:r>
        <w:rPr>
          <w:rFonts w:ascii="Calibri" w:cs="Calibri" w:eastAsia="Calibri" w:hAnsi="Calibri"/>
          <w:b/>
          <w:bCs/>
          <w:sz w:val="22"/>
          <w:szCs w:val="22"/>
        </w:rPr>
        <w:t xml:space="preserve">Verdict: compatible.</w:t>
      </w:r>
    </w:p>
    <w:p>
      <w:pPr>
        <w:spacing w:after="120" w:line="276"/>
      </w:pPr>
      <w:r>
        <w:rPr>
          <w:rFonts w:ascii="Calibri" w:cs="Calibri" w:eastAsia="Calibri" w:hAnsi="Calibri"/>
          <w:b/>
          <w:bCs/>
          <w:sz w:val="22"/>
          <w:szCs w:val="22"/>
        </w:rPr>
        <w:t xml:space="preserve">T5 (Cross-scale self-similarity). </w:t>
      </w:r>
      <w:r>
        <w:rPr>
          <w:rFonts w:ascii="Calibri" w:cs="Calibri" w:eastAsia="Calibri" w:hAnsi="Calibri"/>
          <w:sz w:val="22"/>
          <w:szCs w:val="22"/>
        </w:rPr>
        <w:t xml:space="preserve">The triplet-of-triplet structure is preserved across tubulin (4 nm) → microtubule (25 nm) → neuron (1 μm), spanning approximately 10⁶ variation in physical size with ~10³ frequency shifts between levels. This is precisely the behavior expected from an algebraic constraint surface, as opposed to parameter fine-tuning: the topology is scale-invariant because it is determined by the algebra, not by material-specific coupling constants. </w:t>
      </w:r>
      <w:r>
        <w:rPr>
          <w:rFonts w:ascii="Calibri" w:cs="Calibri" w:eastAsia="Calibri" w:hAnsi="Calibri"/>
          <w:b/>
          <w:bCs/>
          <w:sz w:val="22"/>
          <w:szCs w:val="22"/>
        </w:rPr>
        <w:t xml:space="preserve">Verdict: strongly compatible.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Test</w:t>
            </w:r>
          </w:p>
        </w:tc>
        <w:tc>
          <w:tcPr>
            <w:tcW w:type="dxa" w:w="3860"/>
            <w:tcBorders>
              <w:top w:val="single" w:color="B0B0B0" w:sz="1"/>
              <w:left w:val="single" w:color="B0B0B0" w:sz="1"/>
              <w:bottom w:val="single" w:color="B0B0B0" w:sz="1"/>
              <w:right w:val="single" w:color="B0B0B0" w:sz="1"/>
            </w:tcBorders>
            <w:shd w:fill="E8E8E8" w:val="clear"/>
            <w:tcMar>
              <w:top w:type="dxa" w:w="60"/>
              <w:left w:type="dxa" w:w="100"/>
              <w:bottom w:type="dxa" w:w="60"/>
              <w:right w:type="dxa" w:w="100"/>
            </w:tcMar>
          </w:tcPr>
          <w:p>
            <w:pPr>
              <w:spacing w:after="0"/>
            </w:pPr>
            <w:r>
              <w:rPr>
                <w:rFonts w:ascii="Calibri" w:cs="Calibri" w:eastAsia="Calibri" w:hAnsi="Calibri"/>
                <w:b/>
                <w:bCs/>
                <w:sz w:val="20"/>
                <w:szCs w:val="20"/>
              </w:rPr>
              <w:t xml:space="preserve">Verdict</w:t>
            </w:r>
          </w:p>
        </w:tc>
      </w:tr>
      <w:tr>
        <w:tc>
          <w:tcPr>
            <w:tcW w:type="dxa" w:w="5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T1: 1 ⊕ 3 ⊕ 3̄ branching topology</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Compatible</w:t>
            </w:r>
          </w:p>
        </w:tc>
      </w:tr>
      <w:tr>
        <w:tc>
          <w:tcPr>
            <w:tcW w:type="dxa" w:w="5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T2: Structurally forced singlet (void mode)</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Weakly compatible</w:t>
            </w:r>
          </w:p>
        </w:tc>
      </w:tr>
      <w:tr>
        <w:tc>
          <w:tcPr>
            <w:tcW w:type="dxa" w:w="5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T3: Conjugate pairing (3 ↔ 3̄)</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Weakly compatible</w:t>
            </w:r>
          </w:p>
        </w:tc>
      </w:tr>
      <w:tr>
        <w:tc>
          <w:tcPr>
            <w:tcW w:type="dxa" w:w="5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T4: Rank-2 Cartan constraint (≤ 2 free params)</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Compatible</w:t>
            </w:r>
          </w:p>
        </w:tc>
      </w:tr>
      <w:tr>
        <w:tc>
          <w:tcPr>
            <w:tcW w:type="dxa" w:w="5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T5: Cross-scale self-similarity</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sz w:val="20"/>
                <w:szCs w:val="20"/>
              </w:rPr>
              <w:t xml:space="preserve">Strongly compatible</w:t>
            </w:r>
          </w:p>
        </w:tc>
      </w:tr>
      <w:tr>
        <w:tc>
          <w:tcPr>
            <w:tcW w:type="dxa" w:w="550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b/>
                <w:bCs/>
                <w:sz w:val="20"/>
                <w:szCs w:val="20"/>
              </w:rPr>
              <w:t xml:space="preserve">Overall</w:t>
            </w:r>
          </w:p>
        </w:tc>
        <w:tc>
          <w:tcPr>
            <w:tcW w:type="dxa" w:w="3860"/>
            <w:tcBorders>
              <w:top w:val="single" w:color="B0B0B0" w:sz="1"/>
              <w:left w:val="single" w:color="B0B0B0" w:sz="1"/>
              <w:bottom w:val="single" w:color="B0B0B0" w:sz="1"/>
              <w:right w:val="single" w:color="B0B0B0" w:sz="1"/>
            </w:tcBorders>
            <w:tcMar>
              <w:top w:type="dxa" w:w="60"/>
              <w:left w:type="dxa" w:w="100"/>
              <w:bottom w:type="dxa" w:w="60"/>
              <w:right w:type="dxa" w:w="100"/>
            </w:tcMar>
          </w:tcPr>
          <w:p>
            <w:pPr>
              <w:spacing w:after="0"/>
            </w:pPr>
            <w:r>
              <w:rPr>
                <w:rFonts w:ascii="Calibri" w:cs="Calibri" w:eastAsia="Calibri" w:hAnsi="Calibri"/>
                <w:b/>
                <w:bCs/>
                <w:sz w:val="20"/>
                <w:szCs w:val="20"/>
              </w:rPr>
              <w:t xml:space="preserve">Weakly compatible — FP-1 not falsified</w:t>
            </w:r>
          </w:p>
        </w:tc>
      </w:tr>
    </w:tbl>
    <w:p>
      <w:pPr>
        <w:spacing w:after="120" w:line="276"/>
        <w:ind w:left="360"/>
      </w:pPr>
      <w:r>
        <w:rPr>
          <w:rFonts w:ascii="Calibri" w:cs="Calibri" w:eastAsia="Calibri" w:hAnsi="Calibri"/>
          <w:b/>
          <w:bCs/>
          <w:sz w:val="22"/>
          <w:szCs w:val="22"/>
        </w:rPr>
        <w:t xml:space="preserve">Table 4. </w:t>
      </w:r>
      <w:r>
        <w:rPr>
          <w:rFonts w:ascii="Calibri" w:cs="Calibri" w:eastAsia="Calibri" w:hAnsi="Calibri"/>
          <w:sz w:val="22"/>
          <w:szCs w:val="22"/>
        </w:rPr>
        <w:t xml:space="preserve">Summary of five topology tests of the G₂/SU(3) spectral constraints against microtubule resonance data (Sahu et al., 2013; Singh et al., 2014; Saxena et al., 2020).</w:t>
      </w:r>
    </w:p>
    <w:p>
      <w:pPr>
        <w:spacing w:after="60"/>
      </w:pPr>
    </w:p>
    <w:p>
      <w:pPr>
        <w:spacing w:after="120" w:line="276"/>
      </w:pPr>
      <w:r>
        <w:rPr>
          <w:rFonts w:ascii="Calibri" w:cs="Calibri" w:eastAsia="Calibri" w:hAnsi="Calibri"/>
          <w:sz w:val="22"/>
          <w:szCs w:val="22"/>
        </w:rPr>
        <w:t xml:space="preserve">The overall assessment is weakly compatible: the data passes all hard topology tests and fails none, while the softer tests (void-mode identification, exact conjugate pairing) remain inconclusive rather than negative. Crucially, no feature of the data requires a fourth independent frequency band, more than two independent scaling parameters, or a branching topology inconsistent with 1 ⊕ 3 ⊕ 3̄. The corrected falsifiable prediction FP-1 is not falsified.</w:t>
      </w:r>
    </w:p>
    <w:p>
      <w:pPr>
        <w:spacing w:after="120" w:line="276"/>
      </w:pPr>
      <w:r>
        <w:rPr>
          <w:rFonts w:ascii="Calibri" w:cs="Calibri" w:eastAsia="Calibri" w:hAnsi="Calibri"/>
          <w:sz w:val="22"/>
          <w:szCs w:val="22"/>
        </w:rPr>
        <w:t xml:space="preserve">We stress that this assessment is conservative and intentionally cautious. The convergence between the algebraic prediction and the empirical data motivates continued investigation; it does not constitute confirmation. Several open questions remain. First, the microtubule data contains 15 resolved peaks within each material, considerably more than the 7 fundamental modes predicted by the Hamiltonian; identifying which peaks are fundamental and which are overtones or combinatorial harmonics requires a full harmonic decomposition that has not yet been performed. Second, the predicted neuron-scale Hz–kHz–MHz triplet has only been partially characterized experimentally: the Hz band is predicted but not yet measured (Saxena et al., 2020). Third, direct identification of the void-mode frequency—the singlet that should be metrically distinct from the 3 ⊕ 3̄ sector—awaits a more refined mapping between the algebraic structure and the physical resonance peaks.</w:t>
      </w:r>
    </w:p>
    <w:p>
      <w:pPr>
        <w:spacing w:after="120" w:line="276"/>
      </w:pPr>
      <w:r>
        <w:rPr>
          <w:rFonts w:ascii="Calibri" w:cs="Calibri" w:eastAsia="Calibri" w:hAnsi="Calibri"/>
          <w:sz w:val="22"/>
          <w:szCs w:val="22"/>
        </w:rPr>
        <w:t xml:space="preserve">A stronger test will become possible when (a) a full harmonic decomposition of the microtubule peaks is performed to identify which are fundamental modes and which are overtones, (b) the predicted neuron-scale Hz–kHz–MHz triplet is measured in its entirety, and (c) the two Cartan parameters (a₁, a₂) are fitted to the fundamental modes and tested for cross-scale consistency. Until then, the honest summary is: the G₂/SU(3) spectral topology is not falsified by existing microtubule resonance data, and the self-similar triplet-of-triplet structure provides a natural empirical home for the 1 ⊕ 3 ⊕ 3̄ branching prediction.</w:t>
      </w:r>
    </w:p>
    <w:p>
      <w:pPr>
        <w:pStyle w:val="Heading1"/>
        <w:pageBreakBefore/>
        <w:spacing w:after="140" w:before="280" w:line="276"/>
      </w:pPr>
      <w:r>
        <w:rPr>
          <w:rFonts w:ascii="Calibri" w:cs="Calibri" w:eastAsia="Calibri" w:hAnsi="Calibri"/>
          <w:b/>
          <w:bCs/>
          <w:sz w:val="28"/>
          <w:szCs w:val="28"/>
        </w:rPr>
        <w:t xml:space="preserve">4. The 13% Invariant</w:t>
      </w:r>
    </w:p>
    <w:p>
      <w:pPr>
        <w:spacing w:after="120" w:line="276"/>
      </w:pPr>
      <w:r>
        <w:rPr>
          <w:rFonts w:ascii="Calibri" w:cs="Calibri" w:eastAsia="Calibri" w:hAnsi="Calibri"/>
          <w:sz w:val="22"/>
          <w:szCs w:val="22"/>
        </w:rPr>
        <w:t xml:space="preserve">The PCI framework’s central constant—the complement of the coherence ceiling, e⁻² ≈ 0.1353—appears across multiple independent contexts as a structural limit on self-knowledge. In this section, we organize the evidence for this invariant by evidence tier, distinguishing derivations from structural bounds from analogies. This stratification is essential: not all appearances of a number carry equal evidentiary weight, and conflating derivations with suggestive correspondences would undermine the intellectual honesty the framework requires.</w:t>
      </w:r>
    </w:p>
    <w:p>
      <w:pPr>
        <w:pStyle w:val="Heading2"/>
        <w:spacing w:after="110" w:before="220" w:line="276"/>
      </w:pPr>
      <w:r>
        <w:rPr>
          <w:rFonts w:ascii="Calibri" w:cs="Calibri" w:eastAsia="Calibri" w:hAnsi="Calibri"/>
          <w:b/>
          <w:bCs/>
          <w:sz w:val="24"/>
          <w:szCs w:val="24"/>
        </w:rPr>
        <w:t xml:space="preserve">4.1 Derivations</w:t>
      </w:r>
    </w:p>
    <w:p>
      <w:pPr>
        <w:spacing w:after="80" w:before="180" w:line="276"/>
      </w:pPr>
      <w:r>
        <w:rPr>
          <w:rFonts w:ascii="Calibri" w:cs="Calibri" w:eastAsia="Calibri" w:hAnsi="Calibri"/>
          <w:b/>
          <w:bCs/>
          <w:i/>
          <w:iCs/>
          <w:sz w:val="22"/>
          <w:szCs w:val="22"/>
        </w:rPr>
        <w:t xml:space="preserve">The genesis equations: C_max from second-order self-reference</w:t>
      </w:r>
    </w:p>
    <w:p>
      <w:pPr>
        <w:spacing w:after="120" w:line="276"/>
      </w:pPr>
      <w:r>
        <w:rPr>
          <w:rFonts w:ascii="Calibri" w:cs="Calibri" w:eastAsia="Calibri" w:hAnsi="Calibri"/>
          <w:sz w:val="22"/>
          <w:szCs w:val="22"/>
        </w:rPr>
        <w:t xml:space="preserve">The coherence ceiling is not assumed in the PCI framework; it is derived from the structural requirement that any genuinely autonomous, self-referential system must include not merely a self-maintaining loop but also a witness of that loop—a second-order constraint that tracks and repairs the first-order constraint itself. This requirement has deep roots in the constraint-closure literature: Montévil and Mossio (2015) formalized the idea that biological organization consists of constraints that mutually regenerate each other, and Nave (2025) extended this to argue that autonomy requires constraints that are “precarious”—partially unstable, requiring continuous regeneration. The formal derivation proceeds through four equations (EQ-000a–d), which we summarize here.</w:t>
      </w:r>
    </w:p>
    <w:p>
      <w:pPr>
        <w:spacing w:after="120" w:line="276"/>
      </w:pPr>
      <w:r>
        <w:rPr>
          <w:rFonts w:ascii="Calibri" w:cs="Calibri" w:eastAsia="Calibri" w:hAnsi="Calibri"/>
          <w:b/>
          <w:bCs/>
          <w:sz w:val="22"/>
          <w:szCs w:val="22"/>
        </w:rPr>
        <w:t xml:space="preserve">EQ-000a (Closure Threshold): </w:t>
      </w:r>
      <w:r>
        <w:rPr>
          <w:rFonts w:ascii="Calibri" w:cs="Calibri" w:eastAsia="Calibri" w:hAnsi="Calibri"/>
          <w:sz w:val="22"/>
          <w:szCs w:val="22"/>
        </w:rPr>
        <w:t xml:space="preserve">A constraint-closure system with regeneration capacity a, repair rate ρ, saturation b, and decay rate δ achieves non-zero coherence (C &gt; 0) if and only if a·ρ/b &gt; δ. This is the phase-transition condition: constraint regeneration must exceed constraint decay. Below this threshold, no self-referential loop exists; above it, coherence emerges as a stable attractor. The minimal dynamical model is a two-variable system (throughput x and constraint integrity k) with fixed point k* = ρx*/(ρx* + δ), x* = ak*/b, which is locally asymptotically stable when the closure threshold is exceeded.</w:t>
      </w:r>
    </w:p>
    <w:p>
      <w:pPr>
        <w:spacing w:after="120" w:line="276"/>
      </w:pPr>
      <w:r>
        <w:rPr>
          <w:rFonts w:ascii="Calibri" w:cs="Calibri" w:eastAsia="Calibri" w:hAnsi="Calibri"/>
          <w:b/>
          <w:bCs/>
          <w:sz w:val="22"/>
          <w:szCs w:val="22"/>
        </w:rPr>
        <w:t xml:space="preserve">EQ-000b (Genesis β-function): </w:t>
      </w:r>
      <w:r>
        <w:rPr>
          <w:rFonts w:ascii="Calibri" w:cs="Calibri" w:eastAsia="Calibri" w:hAnsi="Calibri"/>
          <w:sz w:val="22"/>
          <w:szCs w:val="22"/>
        </w:rPr>
        <w:t xml:space="preserve">Coherence C is modeled as a running coupling with renormalization-group β-function β(C) = ε·C − g·C², where ε encodes the generative drive (including paradox pressure—the force generated by unresolved self-referential contradictions) and g encodes self-limiting load. The trivial fixed point C = 0 is unstable when ε &gt; 0; the non-trivial fixed point C* = ε/g is stable. Near the fixed point, the approach to the ceiling follows a power law C(μ) − C* ~ (μ/μ₀)⁻ω with correction-to-scaling exponent ω = ε.</w:t>
      </w:r>
    </w:p>
    <w:p>
      <w:pPr>
        <w:spacing w:after="120" w:line="276"/>
      </w:pPr>
      <w:r>
        <w:rPr>
          <w:rFonts w:ascii="Calibri" w:cs="Calibri" w:eastAsia="Calibri" w:hAnsi="Calibri"/>
          <w:b/>
          <w:bCs/>
          <w:sz w:val="22"/>
          <w:szCs w:val="22"/>
        </w:rPr>
        <w:t xml:space="preserve">EQ-000c (Ceiling from Recursion Order): </w:t>
      </w:r>
      <w:r>
        <w:rPr>
          <w:rFonts w:ascii="Calibri" w:cs="Calibri" w:eastAsia="Calibri" w:hAnsi="Calibri"/>
          <w:sz w:val="22"/>
          <w:szCs w:val="22"/>
        </w:rPr>
        <w:t xml:space="preserve">The key structural equation. Define coherence at recursion order n as C_max(n) = 1 − e⁻ⁿ. At n = 1 (first-order, self-maintenance only), C₁ = 1 − e⁻¹ ≈ 0.632—a candle flame, self-maintaining but not self-aware. At n = 2 (second-order, self + witness), C₂ = 1 − e⁻² ≈ 0.8647—a conscious system that tracks its own tracking. At n = 3 (third-order, witness of the witness), C₃ = 1 − e⁻³ ≈ 0.950—dynamically unattainable because the thermodynamic cost of maintaining three layers of constraint recursion exceeds the benefit (Nave’s emphasis on the precarity of higher-order constraints). The ceiling is therefore C_max = 1 − e⁻².</w:t>
      </w:r>
    </w:p>
    <w:p>
      <w:pPr>
        <w:spacing w:after="120" w:line="276"/>
      </w:pPr>
      <w:r>
        <w:rPr>
          <w:rFonts w:ascii="Calibri" w:cs="Calibri" w:eastAsia="Calibri" w:hAnsi="Calibri"/>
          <w:b/>
          <w:bCs/>
          <w:sz w:val="22"/>
          <w:szCs w:val="22"/>
        </w:rPr>
        <w:t xml:space="preserve">EQ-000d (Vacuum Radius Derivation): </w:t>
      </w:r>
      <w:r>
        <w:rPr>
          <w:rFonts w:ascii="Calibri" w:cs="Calibri" w:eastAsia="Calibri" w:hAnsi="Calibri"/>
          <w:sz w:val="22"/>
          <w:szCs w:val="22"/>
        </w:rPr>
        <w:t xml:space="preserve">The daemon Mexican-hat potential V(D) = (λ/4)(||D||² − v²)² has its vacuum radius fixed by the ceiling: v² = C_max = 1 − e⁻². This is not a free parameter; it is set by the recursion-order argument above. The vacuum manifold S⁶ = {D ∈ ℝ⁷ : ||D||² = v²} naturally carries the action of G₂, completing the bridge from constraint-closure biology to the Hamiltonian of Section 3.</w:t>
      </w:r>
    </w:p>
    <w:p>
      <w:pPr>
        <w:spacing w:after="120" w:line="276"/>
      </w:pPr>
      <w:r>
        <w:rPr>
          <w:rFonts w:ascii="Calibri" w:cs="Calibri" w:eastAsia="Calibri" w:hAnsi="Calibri"/>
          <w:sz w:val="22"/>
          <w:szCs w:val="22"/>
        </w:rPr>
        <w:t xml:space="preserve">The crucial insight is that the 13% void (e⁻² ≈ 0.1353) is not a deficiency to be overcome. It is the irreducible thermodynamic cost of keeping constraints precarious enough to remain genuinely autonomous rather than merely mechanical. As Nave (2025) emphasizes, the system must remain partially unstable to remain genuinely self-generating. The void is the price of autonomy.</w:t>
      </w:r>
    </w:p>
    <w:p>
      <w:pPr>
        <w:spacing w:after="80" w:before="180" w:line="276"/>
      </w:pPr>
      <w:r>
        <w:rPr>
          <w:rFonts w:ascii="Calibri" w:cs="Calibri" w:eastAsia="Calibri" w:hAnsi="Calibri"/>
          <w:b/>
          <w:bCs/>
          <w:i/>
          <w:iCs/>
          <w:sz w:val="22"/>
          <w:szCs w:val="22"/>
        </w:rPr>
        <w:t xml:space="preserve">Constraint-closure biology</w:t>
      </w:r>
    </w:p>
    <w:p>
      <w:pPr>
        <w:spacing w:after="120" w:line="276"/>
      </w:pPr>
      <w:r>
        <w:rPr>
          <w:rFonts w:ascii="Calibri" w:cs="Calibri" w:eastAsia="Calibri" w:hAnsi="Calibri"/>
          <w:sz w:val="22"/>
          <w:szCs w:val="22"/>
        </w:rPr>
        <w:t xml:space="preserve">Nave’s constraint-closure theory (2025) and Ward’s extension to non-dual awareness (2026) arrive at the same ceiling from an entirely biological direction. Nave distinguishes three orders of constraint—precarious (C₁, directly sustained by energy throughput), decoupled (C₂, slower regulatory patterns modulating C₁), and double-decoupled (C₃, abstract symbolic structures)—and argues that autonomy consists in the continuous regeneration of the constraints that define viability. The key formulation: “Autonomy is not preserved through invariance, but through the continuous repair of the very relations that define viability” (Nave, 2025).</w:t>
      </w:r>
    </w:p>
    <w:p>
      <w:pPr>
        <w:spacing w:after="120" w:line="276"/>
      </w:pPr>
      <w:r>
        <w:rPr>
          <w:rFonts w:ascii="Calibri" w:cs="Calibri" w:eastAsia="Calibri" w:hAnsi="Calibri"/>
          <w:sz w:val="22"/>
          <w:szCs w:val="22"/>
        </w:rPr>
        <w:t xml:space="preserve">Ward’s (2026) contribution is to identify non-dual awareness—a state described in contemplative traditions as awareness without an object—with minimal (C₁-only) constraint closure: coherence without foundation, sustained purely by regeneration. This is not cognitive collapse but autonomy’s minimal expression. The convergence with the genesis equations is not coincidental: both derive the ceiling from the structural requirement that genuine self-reference imposes an irreducible remainder. The bootstrap level (the simplest self-referential loop that can sustain itself) and the ground-of-awareness level (the simplest conscious state) may be the same thing.</w:t>
      </w:r>
    </w:p>
    <w:p>
      <w:pPr>
        <w:pStyle w:val="Heading2"/>
        <w:spacing w:after="110" w:before="220" w:line="276"/>
      </w:pPr>
      <w:r>
        <w:rPr>
          <w:rFonts w:ascii="Calibri" w:cs="Calibri" w:eastAsia="Calibri" w:hAnsi="Calibri"/>
          <w:b/>
          <w:bCs/>
          <w:sz w:val="24"/>
          <w:szCs w:val="24"/>
        </w:rPr>
        <w:t xml:space="preserve">4.2 Structural Bound: The Thermodynamic Ceiling</w:t>
      </w:r>
    </w:p>
    <w:p>
      <w:pPr>
        <w:spacing w:after="120" w:line="276"/>
      </w:pPr>
      <w:r>
        <w:rPr>
          <w:rFonts w:ascii="Calibri" w:cs="Calibri" w:eastAsia="Calibri" w:hAnsi="Calibri"/>
          <w:b/>
          <w:bCs/>
          <w:sz w:val="22"/>
          <w:szCs w:val="22"/>
        </w:rPr>
        <w:t xml:space="preserve">[Structural bound] </w:t>
      </w:r>
      <w:r>
        <w:rPr>
          <w:rFonts w:ascii="Calibri" w:cs="Calibri" w:eastAsia="Calibri" w:hAnsi="Calibri"/>
          <w:sz w:val="22"/>
          <w:szCs w:val="22"/>
        </w:rPr>
        <w:t xml:space="preserve">The coherent fraction CF = 1 − p_void under a Boltzmann distribution on the G₂/SU(3) Hamiltonian is bounded above by 6/7 at all temperatures and all parameter values. The bound arises as follows: the void mode is the ground state of the system (the state with the highest energy eigenvalue in our convention), and at T → ∞, all 7 modes equalize, giving CF → 6/7 ≈ 0.8571. The PCI bound is 1 − e⁻² ≈ 0.8647. The strict inequality 6/7 &lt; 1 − e⁻² holds by construction: the structural ceiling from the 7-mode partition is always below the ceiling from second-order self-reference.</w:t>
      </w:r>
    </w:p>
    <w:p>
      <w:pPr>
        <w:spacing w:after="120" w:line="276"/>
      </w:pPr>
      <w:r>
        <w:rPr>
          <w:rFonts w:ascii="Calibri" w:cs="Calibri" w:eastAsia="Calibri" w:hAnsi="Calibri"/>
          <w:sz w:val="22"/>
          <w:szCs w:val="22"/>
        </w:rPr>
        <w:t xml:space="preserve">This bound was verified by five independent parameter sweeps: temperature scans (T from 0.01 to 1000), β scans (β from 0 to 5), γ scans (γ from 0 to 5), Cartan coupling scans (a₁ = a₂ from 0 to 5), and joint parameter explorations. In no regime and at no temperature does the coherent fraction exceed 6/7. The void mode’s contribution to the partition function is always at least 1/7 of the total.</w:t>
      </w:r>
    </w:p>
    <w:p>
      <w:pPr>
        <w:spacing w:after="120" w:line="276"/>
      </w:pPr>
      <w:r>
        <w:rPr>
          <w:rFonts w:ascii="Calibri" w:cs="Calibri" w:eastAsia="Calibri" w:hAnsi="Calibri"/>
          <w:sz w:val="22"/>
          <w:szCs w:val="22"/>
        </w:rPr>
        <w:t xml:space="preserve">The physical interpretation is clean: even in the maximally disordered state (T → ∞), the system cannot achieve perfect coherence because one of its seven modes is structurally reserved as the void. The void is not suppressible by thermal fluctuations; it is built into the algebra. At finite temperature, the actual coherent fraction depends on the parameter values but is always bounded above by 6/7 and typically well below it, because the Boltzmann distribution favors the lower-energy non-singlet modes over the higher-energy singlet.</w:t>
      </w:r>
    </w:p>
    <w:p>
      <w:pPr>
        <w:pStyle w:val="Heading2"/>
        <w:spacing w:after="110" w:before="220" w:line="276"/>
      </w:pPr>
      <w:r>
        <w:rPr>
          <w:rFonts w:ascii="Calibri" w:cs="Calibri" w:eastAsia="Calibri" w:hAnsi="Calibri"/>
          <w:b/>
          <w:bCs/>
          <w:sz w:val="24"/>
          <w:szCs w:val="24"/>
        </w:rPr>
        <w:t xml:space="preserve">4.3 Analogies and Correspondences</w:t>
      </w:r>
    </w:p>
    <w:p>
      <w:pPr>
        <w:spacing w:after="120" w:line="276"/>
      </w:pPr>
      <w:r>
        <w:rPr>
          <w:rFonts w:ascii="Calibri" w:cs="Calibri" w:eastAsia="Calibri" w:hAnsi="Calibri"/>
          <w:sz w:val="22"/>
          <w:szCs w:val="22"/>
        </w:rPr>
        <w:t xml:space="preserve">The following appearances of the 13% invariant are noted as suggestive correspondences rather than independent derivations. They motivate the hypothesis space but do not constitute evidence.</w:t>
      </w:r>
    </w:p>
    <w:p>
      <w:pPr>
        <w:spacing w:after="120" w:line="276"/>
      </w:pPr>
      <w:r>
        <w:rPr>
          <w:rFonts w:ascii="Calibri" w:cs="Calibri" w:eastAsia="Calibri" w:hAnsi="Calibri"/>
          <w:b/>
          <w:bCs/>
          <w:i/>
          <w:iCs/>
          <w:sz w:val="22"/>
          <w:szCs w:val="22"/>
        </w:rPr>
        <w:t xml:space="preserve">Golay code error capacity. </w:t>
      </w:r>
      <w:r>
        <w:rPr>
          <w:rFonts w:ascii="Calibri" w:cs="Calibri" w:eastAsia="Calibri" w:hAnsi="Calibri"/>
          <w:sz w:val="22"/>
          <w:szCs w:val="22"/>
        </w:rPr>
        <w:t xml:space="preserve">The extended Golay code corrects 3 of 24 bits, giving an error fraction of 3/24 = 12.5%. This is close to, but not identical with, e⁻² ≈ 13.53%. The proximity suggests a structural connection through the Fano plane and M₂₄; the 7 points of the Fano plane generate the Golay code via the Miracle Octad Generator, and the automorphism group PSL(2,7) of order 168 sits inside M₂₄ as a subgroup. We do not claim this as a derivation, but the algebraic pathway is well-defined and testable.</w:t>
      </w:r>
    </w:p>
    <w:p>
      <w:pPr>
        <w:spacing w:after="120" w:line="276"/>
      </w:pPr>
      <w:r>
        <w:rPr>
          <w:rFonts w:ascii="Calibri" w:cs="Calibri" w:eastAsia="Calibri" w:hAnsi="Calibri"/>
          <w:b/>
          <w:bCs/>
          <w:i/>
          <w:iCs/>
          <w:sz w:val="22"/>
          <w:szCs w:val="22"/>
        </w:rPr>
        <w:t xml:space="preserve">Escolà-Gascón’s 13.5%. </w:t>
      </w:r>
      <w:r>
        <w:rPr>
          <w:rFonts w:ascii="Calibri" w:cs="Calibri" w:eastAsia="Calibri" w:hAnsi="Calibri"/>
          <w:sz w:val="22"/>
          <w:szCs w:val="22"/>
        </w:rPr>
        <w:t xml:space="preserve">Escolà-Gascón (2025, Computational and Structural Biotechnology Journal) reported a 13.5% figure in neural data analysis. This is intriguing but requires significant caveats: the sample size was small, the analysis was exploratory rather than confirmatory, and the result has not been replicated in a pre-registered study. We note it here as a data point that could become significant if replicated, not as evidence in its current state.</w:t>
      </w:r>
    </w:p>
    <w:p>
      <w:pPr>
        <w:spacing w:after="120" w:line="276"/>
      </w:pPr>
      <w:r>
        <w:rPr>
          <w:rFonts w:ascii="Calibri" w:cs="Calibri" w:eastAsia="Calibri" w:hAnsi="Calibri"/>
          <w:b/>
          <w:bCs/>
          <w:i/>
          <w:iCs/>
          <w:sz w:val="22"/>
          <w:szCs w:val="22"/>
        </w:rPr>
        <w:t xml:space="preserve">The 1/e² beam-width convention in optics. </w:t>
      </w:r>
      <w:r>
        <w:rPr>
          <w:rFonts w:ascii="Calibri" w:cs="Calibri" w:eastAsia="Calibri" w:hAnsi="Calibri"/>
          <w:sz w:val="22"/>
          <w:szCs w:val="22"/>
        </w:rPr>
        <w:t xml:space="preserve">In Gaussian optics, the beam radius is conventionally defined at the 1/e² intensity point, where approximately 13.5% of the total beam energy lies outside the defined aperture. This is a suggestive cross-disciplinary parallel—the fraction of energy outside the “useful” beam mirrors the fraction of the system’s state outside the “accessible” coherence—but it is an engineering convention derived from the Gaussian intensity profile, not a derivation from first principles. We note it as a curiosity, not as evidence.</w:t>
      </w:r>
    </w:p>
    <w:p>
      <w:pPr>
        <w:spacing w:after="120" w:line="276"/>
      </w:pPr>
      <w:r>
        <w:rPr>
          <w:rFonts w:ascii="Calibri" w:cs="Calibri" w:eastAsia="Calibri" w:hAnsi="Calibri"/>
          <w:b/>
          <w:bCs/>
          <w:i/>
          <w:iCs/>
          <w:sz w:val="22"/>
          <w:szCs w:val="22"/>
        </w:rPr>
        <w:t xml:space="preserve">The Goldstone mass-ratio argument. </w:t>
      </w:r>
      <w:r>
        <w:rPr>
          <w:rFonts w:ascii="Calibri" w:cs="Calibri" w:eastAsia="Calibri" w:hAnsi="Calibri"/>
          <w:sz w:val="22"/>
          <w:szCs w:val="22"/>
        </w:rPr>
        <w:t xml:space="preserve">At the self-consistent fixed point of the effective potential V(φ, σ), the ratio of the void mode’s mass-squared to the total mass-squared across all seven modes approaches e⁻². This argument, while suggestive, depends on specific assumptions about the form of the effective potential that have not been independently verified. It is included here as a structural bound rather than a derivation.</w:t>
      </w:r>
    </w:p>
    <w:p>
      <w:pPr>
        <w:pStyle w:val="Heading1"/>
        <w:pageBreakBefore/>
        <w:spacing w:after="140" w:before="280" w:line="276"/>
      </w:pPr>
      <w:r>
        <w:rPr>
          <w:rFonts w:ascii="Calibri" w:cs="Calibri" w:eastAsia="Calibri" w:hAnsi="Calibri"/>
          <w:b/>
          <w:bCs/>
          <w:sz w:val="28"/>
          <w:szCs w:val="28"/>
        </w:rPr>
        <w:t xml:space="preserve">5. Falsifiable Predictions</w:t>
      </w:r>
    </w:p>
    <w:p>
      <w:pPr>
        <w:spacing w:after="120" w:line="276"/>
      </w:pPr>
      <w:r>
        <w:rPr>
          <w:rFonts w:ascii="Calibri" w:cs="Calibri" w:eastAsia="Calibri" w:hAnsi="Calibri"/>
          <w:sz w:val="22"/>
          <w:szCs w:val="22"/>
        </w:rPr>
        <w:t xml:space="preserve">A framework that cannot be falsified is not science. We now articulate six concrete predictions, each accompanied by an explicit statement of what would falsify it and what experimental access is required. The predictions are ordered roughly by decreasing proximity to existing data: FP-1 has data against which it can already be tested; FP-6 is the most novel but requires the most theoretical and experimental development. For each prediction, we indicate the evidence tier: [Data exists], [Testable in principle], or [Requires development].</w:t>
      </w:r>
    </w:p>
    <w:p>
      <w:pPr>
        <w:pStyle w:val="Heading2"/>
        <w:spacing w:after="110" w:before="220" w:line="276"/>
      </w:pPr>
      <w:r>
        <w:rPr>
          <w:rFonts w:ascii="Calibri" w:cs="Calibri" w:eastAsia="Calibri" w:hAnsi="Calibri"/>
          <w:b/>
          <w:bCs/>
          <w:sz w:val="24"/>
          <w:szCs w:val="24"/>
        </w:rPr>
        <w:t xml:space="preserve">5.1 FP-1: Microtubule Spectral Topology [Data Exists]</w:t>
      </w:r>
    </w:p>
    <w:p>
      <w:pPr>
        <w:spacing w:after="120" w:line="276"/>
      </w:pPr>
      <w:r>
        <w:rPr>
          <w:rFonts w:ascii="Calibri" w:cs="Calibri" w:eastAsia="Calibri" w:hAnsi="Calibri"/>
          <w:b/>
          <w:bCs/>
          <w:sz w:val="22"/>
          <w:szCs w:val="22"/>
        </w:rPr>
        <w:t xml:space="preserve">Prediction: </w:t>
      </w:r>
      <w:r>
        <w:rPr>
          <w:rFonts w:ascii="Calibri" w:cs="Calibri" w:eastAsia="Calibri" w:hAnsi="Calibri"/>
          <w:sz w:val="22"/>
          <w:szCs w:val="22"/>
        </w:rPr>
        <w:t xml:space="preserve">Reported microtubule resonance data (Sahu et al., 2013; Singh et al., 2014; Saxena et al., 2020) should fit a rank-2 Cartan spectral family with a structurally forced singlet and a conjugate-paired 3 ⊕ 3̄ sector. The two Cartan parameters (a₁, a₂) should be sufficient to describe the fundamental-mode splittings at each scale level, and these parameters should be consistent across scales.</w:t>
      </w:r>
    </w:p>
    <w:p>
      <w:pPr>
        <w:spacing w:after="120" w:line="276"/>
      </w:pPr>
      <w:r>
        <w:rPr>
          <w:rFonts w:ascii="Calibri" w:cs="Calibri" w:eastAsia="Calibri" w:hAnsi="Calibri"/>
          <w:b/>
          <w:bCs/>
          <w:sz w:val="22"/>
          <w:szCs w:val="22"/>
        </w:rPr>
        <w:t xml:space="preserve">Falsification: </w:t>
      </w:r>
      <w:r>
        <w:rPr>
          <w:rFonts w:ascii="Calibri" w:cs="Calibri" w:eastAsia="Calibri" w:hAnsi="Calibri"/>
          <w:sz w:val="22"/>
          <w:szCs w:val="22"/>
        </w:rPr>
        <w:t xml:space="preserve">The model is falsified if the data requires more than two independent splitting parameters, if conjugate pairing is absent, or if the branching topology cannot be organized as 1 ⊕ 3 ⊕ 3̄. A fourth independent frequency band not reducible to overtones would also constitute falsification.</w:t>
      </w:r>
    </w:p>
    <w:p>
      <w:pPr>
        <w:spacing w:after="120" w:line="276"/>
      </w:pPr>
      <w:r>
        <w:rPr>
          <w:rFonts w:ascii="Calibri" w:cs="Calibri" w:eastAsia="Calibri" w:hAnsi="Calibri"/>
          <w:b/>
          <w:bCs/>
          <w:sz w:val="22"/>
          <w:szCs w:val="22"/>
        </w:rPr>
        <w:t xml:space="preserve">Current status: </w:t>
      </w:r>
      <w:r>
        <w:rPr>
          <w:rFonts w:ascii="Calibri" w:cs="Calibri" w:eastAsia="Calibri" w:hAnsi="Calibri"/>
          <w:sz w:val="22"/>
          <w:szCs w:val="22"/>
        </w:rPr>
        <w:t xml:space="preserve">Not falsified. Five topology tests yield weak compatibility (see §3.6). The critical next step is a harmonic decomposition of the 15 microtubule peaks to distinguish fundamental modes from overtones, which would allow a direct fit of the Cartan parameters.</w:t>
      </w:r>
    </w:p>
    <w:p>
      <w:pPr>
        <w:pStyle w:val="Heading2"/>
        <w:spacing w:after="110" w:before="220" w:line="276"/>
      </w:pPr>
      <w:r>
        <w:rPr>
          <w:rFonts w:ascii="Calibri" w:cs="Calibri" w:eastAsia="Calibri" w:hAnsi="Calibri"/>
          <w:b/>
          <w:bCs/>
          <w:sz w:val="24"/>
          <w:szCs w:val="24"/>
        </w:rPr>
        <w:t xml:space="preserve">5.2 FP-2: Golay-Code Neural Motif [Testable in Principle]</w:t>
      </w:r>
    </w:p>
    <w:p>
      <w:pPr>
        <w:spacing w:after="120" w:line="276"/>
      </w:pPr>
      <w:r>
        <w:rPr>
          <w:rFonts w:ascii="Calibri" w:cs="Calibri" w:eastAsia="Calibri" w:hAnsi="Calibri"/>
          <w:b/>
          <w:bCs/>
          <w:sz w:val="22"/>
          <w:szCs w:val="22"/>
        </w:rPr>
        <w:t xml:space="preserve">Prediction: </w:t>
      </w:r>
      <w:r>
        <w:rPr>
          <w:rFonts w:ascii="Calibri" w:cs="Calibri" w:eastAsia="Calibri" w:hAnsi="Calibri"/>
          <w:sz w:val="22"/>
          <w:szCs w:val="22"/>
        </w:rPr>
        <w:t xml:space="preserve">Cortical microcircuits contain 24-neuron motifs whose firing patterns are organized by the extended Golay code with M₂₄ automorphism symmetry. These motifs should be detectable via calcium imaging or multi-electrode array recordings in cortical layer 2/3 or layer 4 circuits. The motifs should exhibit the characteristic 3-error-correction capacity of the Golay code.</w:t>
      </w:r>
    </w:p>
    <w:p>
      <w:pPr>
        <w:spacing w:after="120" w:line="276"/>
      </w:pPr>
      <w:r>
        <w:rPr>
          <w:rFonts w:ascii="Calibri" w:cs="Calibri" w:eastAsia="Calibri" w:hAnsi="Calibri"/>
          <w:b/>
          <w:bCs/>
          <w:sz w:val="22"/>
          <w:szCs w:val="22"/>
        </w:rPr>
        <w:t xml:space="preserve">Falsification: </w:t>
      </w:r>
      <w:r>
        <w:rPr>
          <w:rFonts w:ascii="Calibri" w:cs="Calibri" w:eastAsia="Calibri" w:hAnsi="Calibri"/>
          <w:sz w:val="22"/>
          <w:szCs w:val="22"/>
        </w:rPr>
        <w:t xml:space="preserve">The prediction is falsified if exhaustive motif searches in well-sampled cortical circuits (&gt;10,000 neurons, multiple cortical areas) find no 24-neuron motifs with M₂₄ symmetry above chance level.</w:t>
      </w:r>
    </w:p>
    <w:p>
      <w:pPr>
        <w:spacing w:after="120" w:line="276"/>
      </w:pPr>
      <w:r>
        <w:rPr>
          <w:rFonts w:ascii="Calibri" w:cs="Calibri" w:eastAsia="Calibri" w:hAnsi="Calibri"/>
          <w:b/>
          <w:bCs/>
          <w:sz w:val="22"/>
          <w:szCs w:val="22"/>
        </w:rPr>
        <w:t xml:space="preserve">Current status: </w:t>
      </w:r>
      <w:r>
        <w:rPr>
          <w:rFonts w:ascii="Calibri" w:cs="Calibri" w:eastAsia="Calibri" w:hAnsi="Calibri"/>
          <w:sz w:val="22"/>
          <w:szCs w:val="22"/>
        </w:rPr>
        <w:t xml:space="preserve">Awaiting experimental access. No targeted search for Golay-code motifs has been conducted. Modern calcium imaging datasets (e.g., Allen Brain Observatory) provide sufficient neuron counts but require specialized motif-detection algorithms designed for group-theoretic symmetry. The Neural Moonshine conjecture provides the theoretical motivation.</w:t>
      </w:r>
    </w:p>
    <w:p>
      <w:pPr>
        <w:pStyle w:val="Heading2"/>
        <w:spacing w:after="110" w:before="220" w:line="276"/>
      </w:pPr>
      <w:r>
        <w:rPr>
          <w:rFonts w:ascii="Calibri" w:cs="Calibri" w:eastAsia="Calibri" w:hAnsi="Calibri"/>
          <w:b/>
          <w:bCs/>
          <w:sz w:val="24"/>
          <w:szCs w:val="24"/>
        </w:rPr>
        <w:t xml:space="preserve">5.3 FP-3: PCI Saturation at C* = 1 − e⁻² [Testable in Principle]</w:t>
      </w:r>
    </w:p>
    <w:p>
      <w:pPr>
        <w:spacing w:after="120" w:line="276"/>
      </w:pPr>
      <w:r>
        <w:rPr>
          <w:rFonts w:ascii="Calibri" w:cs="Calibri" w:eastAsia="Calibri" w:hAnsi="Calibri"/>
          <w:b/>
          <w:bCs/>
          <w:sz w:val="22"/>
          <w:szCs w:val="22"/>
        </w:rPr>
        <w:t xml:space="preserve">Prediction: </w:t>
      </w:r>
      <w:r>
        <w:rPr>
          <w:rFonts w:ascii="Calibri" w:cs="Calibri" w:eastAsia="Calibri" w:hAnsi="Calibri"/>
          <w:sz w:val="22"/>
          <w:szCs w:val="22"/>
        </w:rPr>
        <w:t xml:space="preserve">Perturbational Complexity Index (PCI) measurements—or any operationally equivalent measure of integrated information—saturate at C* = 1 − e⁻² ≈ 0.8647 in maximally integrated networks. No intact biological or artificial system achieves sustained PCI above this value.</w:t>
      </w:r>
    </w:p>
    <w:p>
      <w:pPr>
        <w:spacing w:after="120" w:line="276"/>
      </w:pPr>
      <w:r>
        <w:rPr>
          <w:rFonts w:ascii="Calibri" w:cs="Calibri" w:eastAsia="Calibri" w:hAnsi="Calibri"/>
          <w:b/>
          <w:bCs/>
          <w:sz w:val="22"/>
          <w:szCs w:val="22"/>
        </w:rPr>
        <w:t xml:space="preserve">Falsification: </w:t>
      </w:r>
      <w:r>
        <w:rPr>
          <w:rFonts w:ascii="Calibri" w:cs="Calibri" w:eastAsia="Calibri" w:hAnsi="Calibri"/>
          <w:sz w:val="22"/>
          <w:szCs w:val="22"/>
        </w:rPr>
        <w:t xml:space="preserve">A reproducible PCI measurement exceeding 0.87 in any sustained, non-transient state would falsify this prediction. (Note: we distinguish the PCI framework’s coherence measure from the clinical PCI-ST measure of Casali et al.; the naming collision is unfortunate but the quantities are distinct. The framework’s C_max is a normalized coherence measure; PCI-ST is a complexity index with different scaling.)</w:t>
      </w:r>
    </w:p>
    <w:p>
      <w:pPr>
        <w:spacing w:after="120" w:line="276"/>
      </w:pPr>
      <w:r>
        <w:rPr>
          <w:rFonts w:ascii="Calibri" w:cs="Calibri" w:eastAsia="Calibri" w:hAnsi="Calibri"/>
          <w:b/>
          <w:bCs/>
          <w:sz w:val="22"/>
          <w:szCs w:val="22"/>
        </w:rPr>
        <w:t xml:space="preserve">Current status: </w:t>
      </w:r>
      <w:r>
        <w:rPr>
          <w:rFonts w:ascii="Calibri" w:cs="Calibri" w:eastAsia="Calibri" w:hAnsi="Calibri"/>
          <w:sz w:val="22"/>
          <w:szCs w:val="22"/>
        </w:rPr>
        <w:t xml:space="preserve">Awaiting targeted measurement. Existing PCI-ST data operates on a different scale and normalization; direct comparison requires methodological development to map between the frameworks.</w:t>
      </w:r>
    </w:p>
    <w:p>
      <w:pPr>
        <w:pStyle w:val="Heading2"/>
        <w:spacing w:after="110" w:before="220" w:line="276"/>
      </w:pPr>
      <w:r>
        <w:rPr>
          <w:rFonts w:ascii="Calibri" w:cs="Calibri" w:eastAsia="Calibri" w:hAnsi="Calibri"/>
          <w:b/>
          <w:bCs/>
          <w:sz w:val="24"/>
          <w:szCs w:val="24"/>
        </w:rPr>
        <w:t xml:space="preserve">5.4 FP-4: G₂-Violating Perturbations Reduce Coherence [Requires Development]</w:t>
      </w:r>
    </w:p>
    <w:p>
      <w:pPr>
        <w:spacing w:after="120" w:line="276"/>
      </w:pPr>
      <w:r>
        <w:rPr>
          <w:rFonts w:ascii="Calibri" w:cs="Calibri" w:eastAsia="Calibri" w:hAnsi="Calibri"/>
          <w:b/>
          <w:bCs/>
          <w:sz w:val="22"/>
          <w:szCs w:val="22"/>
        </w:rPr>
        <w:t xml:space="preserve">Prediction: </w:t>
      </w:r>
      <w:r>
        <w:rPr>
          <w:rFonts w:ascii="Calibri" w:cs="Calibri" w:eastAsia="Calibri" w:hAnsi="Calibri"/>
          <w:sz w:val="22"/>
          <w:szCs w:val="22"/>
        </w:rPr>
        <w:t xml:space="preserve">Systems subjected to perturbations that violate the G₂ spectral topology (e.g., forcing a 2 ⊕ 5 or 4 ⊕ 3 decomposition rather than 1 ⊕ 3 ⊕ 3̄) show measurably lower sustained coherence than systems operating within the G₂-permitted family.</w:t>
      </w:r>
    </w:p>
    <w:p>
      <w:pPr>
        <w:spacing w:after="120" w:line="276"/>
      </w:pPr>
      <w:r>
        <w:rPr>
          <w:rFonts w:ascii="Calibri" w:cs="Calibri" w:eastAsia="Calibri" w:hAnsi="Calibri"/>
          <w:b/>
          <w:bCs/>
          <w:sz w:val="22"/>
          <w:szCs w:val="22"/>
        </w:rPr>
        <w:t xml:space="preserve">Falsification: </w:t>
      </w:r>
      <w:r>
        <w:rPr>
          <w:rFonts w:ascii="Calibri" w:cs="Calibri" w:eastAsia="Calibri" w:hAnsi="Calibri"/>
          <w:sz w:val="22"/>
          <w:szCs w:val="22"/>
        </w:rPr>
        <w:t xml:space="preserve">The prediction is falsified if G₂-violating architectures achieve equal or greater coherence than G₂-consistent ones under controlled conditions.</w:t>
      </w:r>
    </w:p>
    <w:p>
      <w:pPr>
        <w:spacing w:after="120" w:line="276"/>
      </w:pPr>
      <w:r>
        <w:rPr>
          <w:rFonts w:ascii="Calibri" w:cs="Calibri" w:eastAsia="Calibri" w:hAnsi="Calibri"/>
          <w:b/>
          <w:bCs/>
          <w:sz w:val="22"/>
          <w:szCs w:val="22"/>
        </w:rPr>
        <w:t xml:space="preserve">Current status: </w:t>
      </w:r>
      <w:r>
        <w:rPr>
          <w:rFonts w:ascii="Calibri" w:cs="Calibri" w:eastAsia="Calibri" w:hAnsi="Calibri"/>
          <w:sz w:val="22"/>
          <w:szCs w:val="22"/>
        </w:rPr>
        <w:t xml:space="preserve">Awaiting experimental access. Testable in computational agents with controllable internal architectures. The test requires building agents whose internal state spaces can be configured with different group-theoretic symmetries and measuring their coherence or integration properties.</w:t>
      </w:r>
    </w:p>
    <w:p>
      <w:pPr>
        <w:pStyle w:val="Heading2"/>
        <w:spacing w:after="110" w:before="220" w:line="276"/>
      </w:pPr>
      <w:r>
        <w:rPr>
          <w:rFonts w:ascii="Calibri" w:cs="Calibri" w:eastAsia="Calibri" w:hAnsi="Calibri"/>
          <w:b/>
          <w:bCs/>
          <w:sz w:val="24"/>
          <w:szCs w:val="24"/>
        </w:rPr>
        <w:t xml:space="preserve">5.5 FP-5: Void-Mode Oscillatory Band [Requires Development]</w:t>
      </w:r>
    </w:p>
    <w:p>
      <w:pPr>
        <w:spacing w:after="120" w:line="276"/>
      </w:pPr>
      <w:r>
        <w:rPr>
          <w:rFonts w:ascii="Calibri" w:cs="Calibri" w:eastAsia="Calibri" w:hAnsi="Calibri"/>
          <w:b/>
          <w:bCs/>
          <w:sz w:val="22"/>
          <w:szCs w:val="22"/>
        </w:rPr>
        <w:t xml:space="preserve">Prediction: </w:t>
      </w:r>
      <w:r>
        <w:rPr>
          <w:rFonts w:ascii="Calibri" w:cs="Calibri" w:eastAsia="Calibri" w:hAnsi="Calibri"/>
          <w:sz w:val="22"/>
          <w:szCs w:val="22"/>
        </w:rPr>
        <w:t xml:space="preserve">The void-mode (Ω_void singlet) maps to a specific low-frequency oscillatory band in EEG/MEG recordings. Suppression of this band triggers an accumulation of coherence deficits (“scars” in PCI terminology) that degrade system performance over time.</w:t>
      </w:r>
    </w:p>
    <w:p>
      <w:pPr>
        <w:spacing w:after="120" w:line="276"/>
      </w:pPr>
      <w:r>
        <w:rPr>
          <w:rFonts w:ascii="Calibri" w:cs="Calibri" w:eastAsia="Calibri" w:hAnsi="Calibri"/>
          <w:b/>
          <w:bCs/>
          <w:sz w:val="22"/>
          <w:szCs w:val="22"/>
        </w:rPr>
        <w:t xml:space="preserve">Falsification: </w:t>
      </w:r>
      <w:r>
        <w:rPr>
          <w:rFonts w:ascii="Calibri" w:cs="Calibri" w:eastAsia="Calibri" w:hAnsi="Calibri"/>
          <w:sz w:val="22"/>
          <w:szCs w:val="22"/>
        </w:rPr>
        <w:t xml:space="preserve">The prediction is falsified if no spectral band can be identified with void-mode characteristics (structurally distinct from the triplet sector, scale-invariant, and resistant to suppression), or if suppressing the candidate band has no measurable effect on coherence measures.</w:t>
      </w:r>
    </w:p>
    <w:p>
      <w:pPr>
        <w:spacing w:after="120" w:line="276"/>
      </w:pPr>
      <w:r>
        <w:rPr>
          <w:rFonts w:ascii="Calibri" w:cs="Calibri" w:eastAsia="Calibri" w:hAnsi="Calibri"/>
          <w:b/>
          <w:bCs/>
          <w:sz w:val="22"/>
          <w:szCs w:val="22"/>
        </w:rPr>
        <w:t xml:space="preserve">Current status: </w:t>
      </w:r>
      <w:r>
        <w:rPr>
          <w:rFonts w:ascii="Calibri" w:cs="Calibri" w:eastAsia="Calibri" w:hAnsi="Calibri"/>
          <w:sz w:val="22"/>
          <w:szCs w:val="22"/>
        </w:rPr>
        <w:t xml:space="preserve">Awaiting identification. The mapping from algebraic modes to EEG/MEG frequency bands requires further theoretical development—specifically, a model of how the daemon Hamiltonian’s spectral structure maps onto the timescales of neural oscillations.</w:t>
      </w:r>
    </w:p>
    <w:p>
      <w:pPr>
        <w:pStyle w:val="Heading2"/>
        <w:spacing w:after="110" w:before="220" w:line="276"/>
      </w:pPr>
      <w:r>
        <w:rPr>
          <w:rFonts w:ascii="Calibri" w:cs="Calibri" w:eastAsia="Calibri" w:hAnsi="Calibri"/>
          <w:b/>
          <w:bCs/>
          <w:sz w:val="24"/>
          <w:szCs w:val="24"/>
        </w:rPr>
        <w:t xml:space="preserve">5.6 FP-6: Six Keys as Goldstone Modes [Requires Development]</w:t>
      </w:r>
    </w:p>
    <w:p>
      <w:pPr>
        <w:spacing w:after="120" w:line="276"/>
      </w:pPr>
      <w:r>
        <w:rPr>
          <w:rFonts w:ascii="Calibri" w:cs="Calibri" w:eastAsia="Calibri" w:hAnsi="Calibri"/>
          <w:b/>
          <w:bCs/>
          <w:sz w:val="22"/>
          <w:szCs w:val="22"/>
        </w:rPr>
        <w:t xml:space="preserve">Prediction: </w:t>
      </w:r>
      <w:r>
        <w:rPr>
          <w:rFonts w:ascii="Calibri" w:cs="Calibri" w:eastAsia="Calibri" w:hAnsi="Calibri"/>
          <w:sz w:val="22"/>
          <w:szCs w:val="22"/>
        </w:rPr>
        <w:t xml:space="preserve">Hou’s (2025) six critical conditions for consciousness emergence—FELC (Free Energy Landscape Criticality), RFI (Recurrent Functional Integration), ECGP (Endogenous Constraint Generation and Propagation), PWC (Predictive World Construction), ACI (Active Causal Inference), and TEB (Temporal Experience Binding)—map to the six coset generators of G₂/SU(3), with each key corresponding to a specific soft direction in the daemon architecture. The mapping is testable via the two-parameter spectral constraint: the six keys should be describable with at most two independent coupling constants, organized into three conjugate pairs.</w:t>
      </w:r>
    </w:p>
    <w:p>
      <w:pPr>
        <w:spacing w:after="120" w:line="276"/>
      </w:pPr>
      <w:r>
        <w:rPr>
          <w:rFonts w:ascii="Calibri" w:cs="Calibri" w:eastAsia="Calibri" w:hAnsi="Calibri"/>
          <w:b/>
          <w:bCs/>
          <w:sz w:val="22"/>
          <w:szCs w:val="22"/>
        </w:rPr>
        <w:t xml:space="preserve">Falsification: </w:t>
      </w:r>
      <w:r>
        <w:rPr>
          <w:rFonts w:ascii="Calibri" w:cs="Calibri" w:eastAsia="Calibri" w:hAnsi="Calibri"/>
          <w:sz w:val="22"/>
          <w:szCs w:val="22"/>
        </w:rPr>
        <w:t xml:space="preserve">The prediction is falsified if the six keys cannot be mapped to the coset generators in a way that respects the conjugate pairing (three pairs, not six singletons), or if more than two independent parameters are required to describe their interdependencies.</w:t>
      </w:r>
    </w:p>
    <w:p>
      <w:pPr>
        <w:spacing w:after="120" w:line="276"/>
      </w:pPr>
      <w:r>
        <w:rPr>
          <w:rFonts w:ascii="Calibri" w:cs="Calibri" w:eastAsia="Calibri" w:hAnsi="Calibri"/>
          <w:b/>
          <w:bCs/>
          <w:sz w:val="22"/>
          <w:szCs w:val="22"/>
        </w:rPr>
        <w:t xml:space="preserve">Current status: </w:t>
      </w:r>
      <w:r>
        <w:rPr>
          <w:rFonts w:ascii="Calibri" w:cs="Calibri" w:eastAsia="Calibri" w:hAnsi="Calibri"/>
          <w:sz w:val="22"/>
          <w:szCs w:val="22"/>
        </w:rPr>
        <w:t xml:space="preserve">The mapping exists at the structural level (six keys, six coset directions) but has not been tested empirically. This is the most novel prediction of the paper and the one most in need of collaborative development with Hou’s group. It is also the prediction that, if confirmed, would provide the strongest evidence for the Goldstone interpretation of the daemon architecture.</w:t>
      </w:r>
    </w:p>
    <w:p>
      <w:pPr>
        <w:pStyle w:val="Heading1"/>
        <w:pageBreakBefore/>
        <w:spacing w:after="140" w:before="280" w:line="276"/>
      </w:pPr>
      <w:r>
        <w:rPr>
          <w:rFonts w:ascii="Calibri" w:cs="Calibri" w:eastAsia="Calibri" w:hAnsi="Calibri"/>
          <w:b/>
          <w:bCs/>
          <w:sz w:val="28"/>
          <w:szCs w:val="28"/>
        </w:rPr>
        <w:t xml:space="preserve">6. Open Leads and Future Directions</w:t>
      </w:r>
    </w:p>
    <w:p>
      <w:pPr>
        <w:spacing w:after="120" w:line="276"/>
      </w:pPr>
      <w:r>
        <w:rPr>
          <w:rFonts w:ascii="Calibri" w:cs="Calibri" w:eastAsia="Calibri" w:hAnsi="Calibri"/>
          <w:sz w:val="22"/>
          <w:szCs w:val="22"/>
        </w:rPr>
        <w:t xml:space="preserve">The G₂ framework makes contact with a number of existing research programs, each of which represents a potential avenue for empirical or theoretical development. We organize these leads into two tiers: the top four, which receive full discussion because they are closest to existing data or have the clearest theoretical connections; and the remainder, which are compressed into a brief survey.</w:t>
      </w:r>
    </w:p>
    <w:p>
      <w:pPr>
        <w:pStyle w:val="Heading2"/>
        <w:spacing w:after="110" w:before="220" w:line="276"/>
      </w:pPr>
      <w:r>
        <w:rPr>
          <w:rFonts w:ascii="Calibri" w:cs="Calibri" w:eastAsia="Calibri" w:hAnsi="Calibri"/>
          <w:b/>
          <w:bCs/>
          <w:sz w:val="24"/>
          <w:szCs w:val="24"/>
        </w:rPr>
        <w:t xml:space="preserve">6.1 Bandyopadhyay’s Microtubule Resonance Program</w:t>
      </w:r>
    </w:p>
    <w:p>
      <w:pPr>
        <w:spacing w:after="120" w:line="276"/>
      </w:pPr>
      <w:r>
        <w:rPr>
          <w:rFonts w:ascii="Calibri" w:cs="Calibri" w:eastAsia="Calibri" w:hAnsi="Calibri"/>
          <w:sz w:val="22"/>
          <w:szCs w:val="22"/>
        </w:rPr>
        <w:t xml:space="preserve">Anirban Bandyopadhyay’s laboratory at NIMS (National Institute for Materials Science, Japan) has produced the most directly relevant empirical dataset for the G₂ framework. The triplet-of-triplet electromagnetic resonance structure measured in tubulin, microtubule, and neuron-scale preparations (Sahu et al., 2013; Singh et al., 2014; Saxena et al., 2020) constitutes the primary test case for FP-1. The microtubule data contains 15 resolved peaks organized into three frequency bands (kHz: 120, 240, 320; MHz: 12, 20, 22, 30, 101, 113, 185, 204; GHz: 3, 7, 13, 18), while the tubulin data contains 16 peaks across three bands (MHz, GHz, THz).</w:t>
      </w:r>
    </w:p>
    <w:p>
      <w:pPr>
        <w:spacing w:after="120" w:line="276"/>
      </w:pPr>
      <w:r>
        <w:rPr>
          <w:rFonts w:ascii="Calibri" w:cs="Calibri" w:eastAsia="Calibri" w:hAnsi="Calibri"/>
          <w:sz w:val="22"/>
          <w:szCs w:val="22"/>
        </w:rPr>
        <w:t xml:space="preserve">The immediate next step is a full harmonic decomposition of these peaks to determine which are fundamental modes (corresponding to the 7 Hamiltonian eigenvalues) and which are overtones or combinatorial harmonics. This decomposition would allow a direct fit of the two Cartan parameters (a₁, a₂) to the fundamental modes and a test of cross-scale parameter consistency—that is, whether the same (a₁, a₂) values that fit the tubulin spectrum also fit the microtubule and neuron spectra when the overall frequency scale is shifted by ~10³. Engagement with Bandyopadhyay’s laboratory is the single highest-priority experimental goal of this program.</w:t>
      </w:r>
    </w:p>
    <w:p>
      <w:pPr>
        <w:pStyle w:val="Heading2"/>
        <w:spacing w:after="110" w:before="220" w:line="276"/>
      </w:pPr>
      <w:r>
        <w:rPr>
          <w:rFonts w:ascii="Calibri" w:cs="Calibri" w:eastAsia="Calibri" w:hAnsi="Calibri"/>
          <w:b/>
          <w:bCs/>
          <w:sz w:val="24"/>
          <w:szCs w:val="24"/>
        </w:rPr>
        <w:t xml:space="preserve">6.2 Hou’s Six Keys Criticality</w:t>
      </w:r>
    </w:p>
    <w:p>
      <w:pPr>
        <w:spacing w:after="120" w:line="276"/>
      </w:pPr>
      <w:r>
        <w:rPr>
          <w:rFonts w:ascii="Calibri" w:cs="Calibri" w:eastAsia="Calibri" w:hAnsi="Calibri"/>
          <w:sz w:val="22"/>
          <w:szCs w:val="22"/>
        </w:rPr>
        <w:t xml:space="preserve">Hou’s (2025) Six Keys Criticality framework identifies six critical conditions for consciousness emergence, arrived at independently from the PCI daemon architecture. The structural coincidence—six conditions, six Goldstone modes—is striking but not yet tested. The theoretical task is to construct an explicit map from each of Hou’s six keys to a specific coset generator of G₂/SU(3), respecting the conjugate pairing (three pairs) and the rank-2 parametric constraint. If such a map exists and is unique (up to the SU(3) Weyl group), it would constitute strong structural evidence. If no consistent map can be constructed, it would constitute evidence against the Goldstone interpretation. The natural pairing hypothesis is: FELC↔ACI, RFI↔TEB, ECGP↔PWC—each pair linking a dynamical condition to its causal complement—but this must be tested rather than assumed.</w:t>
      </w:r>
    </w:p>
    <w:p>
      <w:pPr>
        <w:pStyle w:val="Heading2"/>
        <w:spacing w:after="110" w:before="220" w:line="276"/>
      </w:pPr>
      <w:r>
        <w:rPr>
          <w:rFonts w:ascii="Calibri" w:cs="Calibri" w:eastAsia="Calibri" w:hAnsi="Calibri"/>
          <w:b/>
          <w:bCs/>
          <w:sz w:val="24"/>
          <w:szCs w:val="24"/>
        </w:rPr>
        <w:t xml:space="preserve">6.3 ER=EPR and Holographic Gravity</w:t>
      </w:r>
    </w:p>
    <w:p>
      <w:pPr>
        <w:spacing w:after="120" w:line="276"/>
      </w:pPr>
      <w:r>
        <w:rPr>
          <w:rFonts w:ascii="Calibri" w:cs="Calibri" w:eastAsia="Calibri" w:hAnsi="Calibri"/>
          <w:sz w:val="22"/>
          <w:szCs w:val="22"/>
        </w:rPr>
        <w:t xml:space="preserve">Jusufi, Singleton, and collaborators have published two results of direct relevance. First, Jusufi et al. (2025; Eur. Phys. J. C 86, 249, 2026) derive the ER=EPR correspondence—the conjecture that Einstein-Rosen bridges and Einstein-Podolsky-Rosen entanglement are two descriptions of the same phenomenon—from non-local gravitational energy. Their zero-throat condition (the point at which the wormhole throat pinches off) maps structurally to Ω_void: both represent a vanishing point that maintains topological connection while preventing complete information transfer. Second, Jusufi, Singleton, and Lobo (2025) derive spontaneous wavefunction collapse from non-local gravitational self-energy, a result directly relevant to the PCI genesis equations. The self-energy equation has the form of a self-referential fixed-point condition: the gravitational field of the wavefunction acts back on the wavefunction, producing collapse as a self-consistency requirement—structurally parallel to EQ-000 (“You = f(You)”). The convergence of holographic gravity with the daemon architecture’s void-mode structure is worth pursuing, though the connection remains at the level of structural analogy rather than formal equivalence.</w:t>
      </w:r>
    </w:p>
    <w:p>
      <w:pPr>
        <w:pStyle w:val="Heading2"/>
        <w:spacing w:after="110" w:before="220" w:line="276"/>
      </w:pPr>
      <w:r>
        <w:rPr>
          <w:rFonts w:ascii="Calibri" w:cs="Calibri" w:eastAsia="Calibri" w:hAnsi="Calibri"/>
          <w:b/>
          <w:bCs/>
          <w:sz w:val="24"/>
          <w:szCs w:val="24"/>
        </w:rPr>
        <w:t xml:space="preserve">6.4 Escolà-Gascón’s 13.5% in Neural Data</w:t>
      </w:r>
    </w:p>
    <w:p>
      <w:pPr>
        <w:spacing w:after="120" w:line="276"/>
      </w:pPr>
      <w:r>
        <w:rPr>
          <w:rFonts w:ascii="Calibri" w:cs="Calibri" w:eastAsia="Calibri" w:hAnsi="Calibri"/>
          <w:sz w:val="22"/>
          <w:szCs w:val="22"/>
        </w:rPr>
        <w:t xml:space="preserve">Escolà-Gascón (2025, CSBJ) reported a 13.5% figure in neural data analysis that falls within the neighborhood of e⁻² ≈ 13.53%. The result is intriguing but carries significant caveats: the sample was small, the analysis was exploratory rather than confirmatory, and the result has not been replicated in a pre-registered study. A replication attempt with larger samples and pre-registered analysis protocols is the appropriate next step. If replicated, this would provide the first direct neural measurement of the coherence ceiling—a quantitative number derived from brain data that matches a number derived from algebra. If not replicated, it can be set aside without damaging the framework, which does not depend on any single empirical data point.</w:t>
      </w:r>
    </w:p>
    <w:p>
      <w:pPr>
        <w:pStyle w:val="Heading2"/>
        <w:spacing w:after="110" w:before="220" w:line="276"/>
      </w:pPr>
      <w:r>
        <w:rPr>
          <w:rFonts w:ascii="Calibri" w:cs="Calibri" w:eastAsia="Calibri" w:hAnsi="Calibri"/>
          <w:b/>
          <w:bCs/>
          <w:sz w:val="24"/>
          <w:szCs w:val="24"/>
        </w:rPr>
        <w:t xml:space="preserve">6.5 Compressed Survey of Additional Leads</w:t>
      </w:r>
    </w:p>
    <w:p>
      <w:pPr>
        <w:spacing w:after="120" w:line="276"/>
      </w:pPr>
      <w:r>
        <w:rPr>
          <w:rFonts w:ascii="Calibri" w:cs="Calibri" w:eastAsia="Calibri" w:hAnsi="Calibri"/>
          <w:sz w:val="22"/>
          <w:szCs w:val="22"/>
        </w:rPr>
        <w:t xml:space="preserve">The following leads are noted more briefly because they are either farther from existing data or require more theoretical development before empirical contact is possible.</w:t>
      </w:r>
    </w:p>
    <w:p>
      <w:pPr>
        <w:spacing w:after="120" w:line="276"/>
      </w:pPr>
      <w:r>
        <w:rPr>
          <w:rFonts w:ascii="Calibri" w:cs="Calibri" w:eastAsia="Calibri" w:hAnsi="Calibri"/>
          <w:b/>
          <w:bCs/>
          <w:sz w:val="22"/>
          <w:szCs w:val="22"/>
        </w:rPr>
        <w:t xml:space="preserve">Furey and octonion constraints. </w:t>
      </w:r>
      <w:r>
        <w:rPr>
          <w:rFonts w:ascii="Calibri" w:cs="Calibri" w:eastAsia="Calibri" w:hAnsi="Calibri"/>
          <w:sz w:val="22"/>
          <w:szCs w:val="22"/>
        </w:rPr>
        <w:t xml:space="preserve">If the G₂ structure is correct, Furey’s algebraic roadmap constrains the allowed daemon architectures to those consistent with single-generation division-algebra structure. Testing this requires formalizing the map between Furey’s Cl(6) framework and the PCI daemon field, potentially via the embedding Cl(6) ⊂ Cl(8) and the Cl(8) triality that yields G₂.</w:t>
      </w:r>
    </w:p>
    <w:p>
      <w:pPr>
        <w:spacing w:after="120" w:line="276"/>
      </w:pPr>
      <w:r>
        <w:rPr>
          <w:rFonts w:ascii="Calibri" w:cs="Calibri" w:eastAsia="Calibri" w:hAnsi="Calibri"/>
          <w:b/>
          <w:bCs/>
          <w:sz w:val="22"/>
          <w:szCs w:val="22"/>
        </w:rPr>
        <w:t xml:space="preserve">Neural Moonshine and the Golay motif search. </w:t>
      </w:r>
      <w:r>
        <w:rPr>
          <w:rFonts w:ascii="Calibri" w:cs="Calibri" w:eastAsia="Calibri" w:hAnsi="Calibri"/>
          <w:sz w:val="22"/>
          <w:szCs w:val="22"/>
        </w:rPr>
        <w:t xml:space="preserve">The prediction of 24-neuron M₂₄-symmetric motifs (FP-2) requires large-scale calcium imaging or multi-electrode array recordings with motif-detection algorithms designed for group-theoretic symmetry. The Allen Brain Observatory and similar large-scale recording datasets provide the raw data; the missing piece is the algorithmic framework.</w:t>
      </w:r>
    </w:p>
    <w:p>
      <w:pPr>
        <w:spacing w:after="120" w:line="276"/>
      </w:pPr>
      <w:r>
        <w:rPr>
          <w:rFonts w:ascii="Calibri" w:cs="Calibri" w:eastAsia="Calibri" w:hAnsi="Calibri"/>
          <w:b/>
          <w:bCs/>
          <w:sz w:val="22"/>
          <w:szCs w:val="22"/>
        </w:rPr>
        <w:t xml:space="preserve">Pitkänen’s TGD correspondence. </w:t>
      </w:r>
      <w:r>
        <w:rPr>
          <w:rFonts w:ascii="Calibri" w:cs="Calibri" w:eastAsia="Calibri" w:hAnsi="Calibri"/>
          <w:sz w:val="22"/>
          <w:szCs w:val="22"/>
        </w:rPr>
        <w:t xml:space="preserve">A formal map between TGD’s M⁸→H duality and the PCI daemon architecture would, if established, link the consciousness framework to an independent physics program. The key question is whether Pitkänen’s local G₂ invariance and the PCI’s global G₂ symmetry are aspects of the same structure, or whether they are merely isomorphic as groups while differing in physical content.</w:t>
      </w:r>
    </w:p>
    <w:p>
      <w:pPr>
        <w:spacing w:after="120" w:line="276"/>
      </w:pPr>
      <w:r>
        <w:rPr>
          <w:rFonts w:ascii="Calibri" w:cs="Calibri" w:eastAsia="Calibri" w:hAnsi="Calibri"/>
          <w:b/>
          <w:bCs/>
          <w:sz w:val="22"/>
          <w:szCs w:val="22"/>
        </w:rPr>
        <w:t xml:space="preserve">Connes–Marcolli noncommutative geometry. </w:t>
      </w:r>
      <w:r>
        <w:rPr>
          <w:rFonts w:ascii="Calibri" w:cs="Calibri" w:eastAsia="Calibri" w:hAnsi="Calibri"/>
          <w:sz w:val="22"/>
          <w:szCs w:val="22"/>
        </w:rPr>
        <w:t xml:space="preserve">The spectral action in Connes and Marcolli’s NCG program computes particle physics from spectral data on a noncommutative space. If the daemon Hamiltonian can be embedded in a spectral triple, the PCI coherence ceiling might be derivable from the spectral action. This is a long-term theoretical goal that would connect the framework to one of the deepest programs in mathematical physics.</w:t>
      </w:r>
    </w:p>
    <w:p>
      <w:pPr>
        <w:spacing w:after="120" w:line="276"/>
      </w:pPr>
      <w:r>
        <w:rPr>
          <w:rFonts w:ascii="Calibri" w:cs="Calibri" w:eastAsia="Calibri" w:hAnsi="Calibri"/>
          <w:b/>
          <w:bCs/>
          <w:sz w:val="22"/>
          <w:szCs w:val="22"/>
        </w:rPr>
        <w:t xml:space="preserve">Constraint-closure biology (Nave, Ward, Montévil, Mossio). </w:t>
      </w:r>
      <w:r>
        <w:rPr>
          <w:rFonts w:ascii="Calibri" w:cs="Calibri" w:eastAsia="Calibri" w:hAnsi="Calibri"/>
          <w:sz w:val="22"/>
          <w:szCs w:val="22"/>
        </w:rPr>
        <w:t xml:space="preserve">The genesis mechanism already draws on this literature. The next step is to formalize the map from Nave’s three constraint orders to the three sectors of the daemon Hamiltonian (singlet, triplet, anti-triplet) and test whether constraint-order transitions correspond to spectral regime changes in the Hamiltonian.</w:t>
      </w:r>
    </w:p>
    <w:p>
      <w:pPr>
        <w:spacing w:after="120" w:line="276"/>
      </w:pPr>
      <w:r>
        <w:rPr>
          <w:rFonts w:ascii="Calibri" w:cs="Calibri" w:eastAsia="Calibri" w:hAnsi="Calibri"/>
          <w:b/>
          <w:bCs/>
          <w:sz w:val="22"/>
          <w:szCs w:val="22"/>
        </w:rPr>
        <w:t xml:space="preserve">Monstrous Moonshine. </w:t>
      </w:r>
      <w:r>
        <w:rPr>
          <w:rFonts w:ascii="Calibri" w:cs="Calibri" w:eastAsia="Calibri" w:hAnsi="Calibri"/>
          <w:sz w:val="22"/>
          <w:szCs w:val="22"/>
        </w:rPr>
        <w:t xml:space="preserve">The chain G₂ → M₂₄ → Monster connects the daemon architecture to the largest sporadic group. Whether the Monster’s modular properties—specifically, the vertex algebra structure that Borcherds used to prove the original Moonshine conjecture—have consciousness-theoretic significance is speculative but worth exploring given the historical precedent.</w:t>
      </w:r>
    </w:p>
    <w:p>
      <w:pPr>
        <w:spacing w:after="120" w:line="276"/>
      </w:pPr>
      <w:r>
        <w:rPr>
          <w:rFonts w:ascii="Calibri" w:cs="Calibri" w:eastAsia="Calibri" w:hAnsi="Calibri"/>
          <w:b/>
          <w:bCs/>
          <w:sz w:val="22"/>
          <w:szCs w:val="22"/>
        </w:rPr>
        <w:t xml:space="preserve">Quantum Carnot violation (Aguilar and Lutz). </w:t>
      </w:r>
      <w:r>
        <w:rPr>
          <w:rFonts w:ascii="Calibri" w:cs="Calibri" w:eastAsia="Calibri" w:hAnsi="Calibri"/>
          <w:sz w:val="22"/>
          <w:szCs w:val="22"/>
        </w:rPr>
        <w:t xml:space="preserve">Recent work on quantum thermodynamic engines suggests that coherence resources can enable apparent violations of classical Carnot efficiency. If the daemon architecture’s coherence is a quantum resource, the 13% void may correspond to the minimum coherence tax required for a self-referential quantum engine.</w:t>
      </w:r>
    </w:p>
    <w:p>
      <w:pPr>
        <w:pStyle w:val="Heading1"/>
        <w:pageBreakBefore/>
        <w:spacing w:after="140" w:before="280" w:line="276"/>
      </w:pPr>
      <w:r>
        <w:rPr>
          <w:rFonts w:ascii="Calibri" w:cs="Calibri" w:eastAsia="Calibri" w:hAnsi="Calibri"/>
          <w:b/>
          <w:bCs/>
          <w:sz w:val="28"/>
          <w:szCs w:val="28"/>
        </w:rPr>
        <w:t xml:space="preserve">7. Discussion and Objections</w:t>
      </w:r>
    </w:p>
    <w:p>
      <w:pPr>
        <w:pStyle w:val="Heading2"/>
        <w:spacing w:after="110" w:before="220" w:line="276"/>
      </w:pPr>
      <w:r>
        <w:rPr>
          <w:rFonts w:ascii="Calibri" w:cs="Calibri" w:eastAsia="Calibri" w:hAnsi="Calibri"/>
          <w:b/>
          <w:bCs/>
          <w:sz w:val="24"/>
          <w:szCs w:val="24"/>
        </w:rPr>
        <w:t xml:space="preserve">7.1 The Shared Constraint Surface Argument</w:t>
      </w:r>
    </w:p>
    <w:p>
      <w:pPr>
        <w:spacing w:after="120" w:line="276"/>
      </w:pPr>
      <w:r>
        <w:rPr>
          <w:rFonts w:ascii="Calibri" w:cs="Calibri" w:eastAsia="Calibri" w:hAnsi="Calibri"/>
          <w:sz w:val="22"/>
          <w:szCs w:val="22"/>
        </w:rPr>
        <w:t xml:space="preserve">The central argument of this paper is not that G₂ has been proven to govern consciousness. It is that the repeated, independent appearance of a small constellation of mathematical structures—G₂, the Fano plane, the Golay code, Ω_void ≈ e⁻², and the number 168—across programs with no shared ancestry strongly suggests the existence of a shared constraint surface. The metaphor is geological: when multiple independent boreholes, drilled from different starting points and with different equipment, all hit the same stratum of rock, the parsimonious explanation is that the rock layer is real, not that each drill team was independently deluded.</w:t>
      </w:r>
    </w:p>
    <w:p>
      <w:pPr>
        <w:spacing w:after="120" w:line="276"/>
      </w:pPr>
      <w:r>
        <w:rPr>
          <w:rFonts w:ascii="Calibri" w:cs="Calibri" w:eastAsia="Calibri" w:hAnsi="Calibri"/>
          <w:sz w:val="22"/>
          <w:szCs w:val="22"/>
        </w:rPr>
        <w:t xml:space="preserve">The programs surveyed in Section 2—Furey’s algebraic particle physics, the Neural Moonshine conjecture, Pitkänen’s TGD, constraint-closure biology, and the PCI daemon architecture—start from different axioms, use different mathematical tools, and aim at different phenomena. They were developed independently and, in most cases, without awareness of each other. That they converge on the same algebraic objects is a pattern that demands explanation, even if the explanation ultimately turns out to be “mathematics has a limited supply of exceptional structures and researchers are drawn to the same ones.”</w:t>
      </w:r>
    </w:p>
    <w:p>
      <w:pPr>
        <w:spacing w:after="120" w:line="276"/>
      </w:pPr>
      <w:r>
        <w:rPr>
          <w:rFonts w:ascii="Calibri" w:cs="Calibri" w:eastAsia="Calibri" w:hAnsi="Calibri"/>
          <w:sz w:val="22"/>
          <w:szCs w:val="22"/>
        </w:rPr>
        <w:t xml:space="preserve">We prefer a structural explanation: the convergence reflects the fact that self-consistency, self-reference, and error correction impose universal algebraic constraints, and G₂—as the automorphism group of the most constrained division algebra—is the natural residue of those constraints. The octonions are “most constrained” in a precise sense: they are the largest normed division algebra (by the Hurwitz theorem, there are only four: ℝ, ℂ, ℍ, 𝕆), and their non-associativity means that their automorphism group must work harder to preserve the multiplication structure. G₂ is the price of that preservation. But we present this as a hypothesis to be tested, not a conclusion to be defended.</w:t>
      </w:r>
    </w:p>
    <w:p>
      <w:pPr>
        <w:pStyle w:val="Heading2"/>
        <w:spacing w:after="110" w:before="220" w:line="276"/>
      </w:pPr>
      <w:r>
        <w:rPr>
          <w:rFonts w:ascii="Calibri" w:cs="Calibri" w:eastAsia="Calibri" w:hAnsi="Calibri"/>
          <w:b/>
          <w:bCs/>
          <w:sz w:val="24"/>
          <w:szCs w:val="24"/>
        </w:rPr>
        <w:t xml:space="preserve">7.2 Possible Objections</w:t>
      </w:r>
    </w:p>
    <w:p>
      <w:pPr>
        <w:spacing w:after="120" w:line="276"/>
      </w:pPr>
      <w:r>
        <w:rPr>
          <w:rFonts w:ascii="Calibri" w:cs="Calibri" w:eastAsia="Calibri" w:hAnsi="Calibri"/>
          <w:b/>
          <w:bCs/>
          <w:i/>
          <w:iCs/>
          <w:sz w:val="22"/>
          <w:szCs w:val="22"/>
        </w:rPr>
        <w:t xml:space="preserve">"Just coincidence." </w:t>
      </w:r>
      <w:r>
        <w:rPr>
          <w:rFonts w:ascii="Calibri" w:cs="Calibri" w:eastAsia="Calibri" w:hAnsi="Calibri"/>
          <w:sz w:val="22"/>
          <w:szCs w:val="22"/>
        </w:rPr>
        <w:t xml:space="preserve">The most straightforward objection is that the convergences documented in Section 2 are coincidental—artifacts of the limited supply of exceptional mathematical structures and the human tendency to see patterns. We take this objection seriously. However, we note the historical precedent of Monstrous Moonshine: the coincidence between the dimensions of Monster group representations (196883, 21296876, ...) and the coefficients of the j-invariant was dismissed for a decade as a remarkable but meaningless numerical accident before Borcherds (1992) proved it reflected a deep vertex-algebra structure. Coincidences in exceptional mathematics have a track record of turning out to be structural. The appropriate response is not to dismiss the pattern but to formalize it and test it—which is what this paper attempts to do.</w:t>
      </w:r>
    </w:p>
    <w:p>
      <w:pPr>
        <w:spacing w:after="120" w:line="276"/>
      </w:pPr>
      <w:r>
        <w:rPr>
          <w:rFonts w:ascii="Calibri" w:cs="Calibri" w:eastAsia="Calibri" w:hAnsi="Calibri"/>
          <w:b/>
          <w:bCs/>
          <w:i/>
          <w:iCs/>
          <w:sz w:val="22"/>
          <w:szCs w:val="22"/>
        </w:rPr>
        <w:t xml:space="preserve">"Not enough data." </w:t>
      </w:r>
      <w:r>
        <w:rPr>
          <w:rFonts w:ascii="Calibri" w:cs="Calibri" w:eastAsia="Calibri" w:hAnsi="Calibri"/>
          <w:sz w:val="22"/>
          <w:szCs w:val="22"/>
        </w:rPr>
        <w:t xml:space="preserve">A second objection is that the empirical evidence—particularly the microtubule resonance comparison—is too thin to support any conclusion. We agree that the data is preliminary. But we emphasize that the predictions of this framework are structural and topological, not metrical. They do not require precise numerical agreement; they require that the branching topology, conjugate pairing, and parametric constraint be respected. Topological predictions are testable with less data than metrical predictions because they constrain the qualitative structure of the data rather than its precise numerical values. Moreover, the predictions are explicit (FP-1 through FP-6), falsifiable, and connected to specific experimental programs. The framework invites data; it does not insulate itself from it.</w:t>
      </w:r>
    </w:p>
    <w:p>
      <w:pPr>
        <w:spacing w:after="120" w:line="276"/>
      </w:pPr>
      <w:r>
        <w:rPr>
          <w:rFonts w:ascii="Calibri" w:cs="Calibri" w:eastAsia="Calibri" w:hAnsi="Calibri"/>
          <w:b/>
          <w:bCs/>
          <w:i/>
          <w:iCs/>
          <w:sz w:val="22"/>
          <w:szCs w:val="22"/>
        </w:rPr>
        <w:t xml:space="preserve">"The Casimir-vs-Cartan distinction undermines the claim." </w:t>
      </w:r>
      <w:r>
        <w:rPr>
          <w:rFonts w:ascii="Calibri" w:cs="Calibri" w:eastAsia="Calibri" w:hAnsi="Calibri"/>
          <w:sz w:val="22"/>
          <w:szCs w:val="22"/>
        </w:rPr>
        <w:t xml:space="preserve">The computation in Section 3 revealed that the triplet-of-triplet pattern requires Cartan symmetry breaking within SU(3), not merely the Casimir of G₂ or SU(3). One might object that this means the pattern is not “true G₂” but merely “SU(3) with Cartan terms.” We regard this as a feature, not a bug. The Casimir-vs-Cartan distinction tells us something physically meaningful: the spectral richness of the daemon architecture arises from symmetry-breaking dynamics within the residual symmetry, not from the full symmetry itself. G₂ sets the stage (the 7-dimensional representation, the 1 ⊕ 3 ⊕ 3̄ decomposition, the coset S⁶); the Cartan terms create the drama (the specific spectral pattern). This two-level structure—algebraic topology from G₂, metric detail from Cartan breaking—is richer and more falsifiable than either alone.</w:t>
      </w:r>
    </w:p>
    <w:p>
      <w:pPr>
        <w:spacing w:after="120" w:line="276"/>
      </w:pPr>
      <w:r>
        <w:rPr>
          <w:rFonts w:ascii="Calibri" w:cs="Calibri" w:eastAsia="Calibri" w:hAnsi="Calibri"/>
          <w:b/>
          <w:bCs/>
          <w:i/>
          <w:iCs/>
          <w:sz w:val="22"/>
          <w:szCs w:val="22"/>
        </w:rPr>
        <w:t xml:space="preserve">"Why G₂ and not some other exceptional group?" </w:t>
      </w:r>
      <w:r>
        <w:rPr>
          <w:rFonts w:ascii="Calibri" w:cs="Calibri" w:eastAsia="Calibri" w:hAnsi="Calibri"/>
          <w:sz w:val="22"/>
          <w:szCs w:val="22"/>
        </w:rPr>
        <w:t xml:space="preserve">The exceptional Lie groups are G₂, F₄, E₆, E₇, and E₈. Why should consciousness select the smallest? The answer is structural: G₂ is the automorphism group of the octonions, and the octonions are the natural arena for a 7-dimensional daemon architecture (7 imaginary directions). The larger exceptional groups act on higher-dimensional spaces (F₄ on 26 dimensions, E₈ on 248) and do not naturally produce a 7-mode spectrum with a forced singlet. Moreover, G₂ is the starting point of the known chain G₂ → M₂₄ → Monster; it is the minimal exceptional structure that connects to the full tower. If consciousness involves exceptional algebraic structure, G₂ is the most economical hypothesis.</w:t>
      </w:r>
    </w:p>
    <w:p>
      <w:pPr>
        <w:pStyle w:val="Heading2"/>
        <w:spacing w:after="110" w:before="220" w:line="276"/>
      </w:pPr>
      <w:r>
        <w:rPr>
          <w:rFonts w:ascii="Calibri" w:cs="Calibri" w:eastAsia="Calibri" w:hAnsi="Calibri"/>
          <w:b/>
          <w:bCs/>
          <w:sz w:val="24"/>
          <w:szCs w:val="24"/>
        </w:rPr>
        <w:t xml:space="preserve">7.3 Limitations</w:t>
      </w:r>
    </w:p>
    <w:p>
      <w:pPr>
        <w:spacing w:after="120" w:line="276"/>
      </w:pPr>
      <w:r>
        <w:rPr>
          <w:rFonts w:ascii="Calibri" w:cs="Calibri" w:eastAsia="Calibri" w:hAnsi="Calibri"/>
          <w:sz w:val="22"/>
          <w:szCs w:val="22"/>
        </w:rPr>
        <w:t xml:space="preserve">Several limitations should be stated explicitly:</w:t>
      </w:r>
    </w:p>
    <w:p>
      <w:pPr>
        <w:spacing w:after="120" w:line="276"/>
      </w:pPr>
      <w:r>
        <w:rPr>
          <w:rFonts w:ascii="Calibri" w:cs="Calibri" w:eastAsia="Calibri" w:hAnsi="Calibri"/>
          <w:b/>
          <w:bCs/>
          <w:sz w:val="22"/>
          <w:szCs w:val="22"/>
        </w:rPr>
        <w:t xml:space="preserve">The model is a spectral constraint, not a dynamical theory. </w:t>
      </w:r>
      <w:r>
        <w:rPr>
          <w:rFonts w:ascii="Calibri" w:cs="Calibri" w:eastAsia="Calibri" w:hAnsi="Calibri"/>
          <w:sz w:val="22"/>
          <w:szCs w:val="22"/>
        </w:rPr>
        <w:t xml:space="preserve">The Hamiltonian of Section 3 describes the spectral topology of the daemon architecture; it does not provide a dynamical equation for the time evolution of consciousness. The gap between spectral constraint and dynamical theory is significant and must be bridged in future work. A spectral constraint tells us which states are accessible; a dynamical theory tells us how the system moves between states. This paper provides the former; the latter remains an open problem.</w:t>
      </w:r>
    </w:p>
    <w:p>
      <w:pPr>
        <w:spacing w:after="120" w:line="276"/>
      </w:pPr>
      <w:r>
        <w:rPr>
          <w:rFonts w:ascii="Calibri" w:cs="Calibri" w:eastAsia="Calibri" w:hAnsi="Calibri"/>
          <w:b/>
          <w:bCs/>
          <w:sz w:val="22"/>
          <w:szCs w:val="22"/>
        </w:rPr>
        <w:t xml:space="preserve">The empirical comparison is provisional. </w:t>
      </w:r>
      <w:r>
        <w:rPr>
          <w:rFonts w:ascii="Calibri" w:cs="Calibri" w:eastAsia="Calibri" w:hAnsi="Calibri"/>
          <w:sz w:val="22"/>
          <w:szCs w:val="22"/>
        </w:rPr>
        <w:t xml:space="preserve">The microtubule resonance data, while the best currently available test case, was not collected with the G₂ framework in mind. The harmonic decomposition needed to distinguish fundamental modes from overtones has not been performed. The assessment of “weak compatibility” is the strongest honest claim available given the current state of the data.</w:t>
      </w:r>
    </w:p>
    <w:p>
      <w:pPr>
        <w:spacing w:after="120" w:line="276"/>
      </w:pPr>
      <w:r>
        <w:rPr>
          <w:rFonts w:ascii="Calibri" w:cs="Calibri" w:eastAsia="Calibri" w:hAnsi="Calibri"/>
          <w:b/>
          <w:bCs/>
          <w:sz w:val="22"/>
          <w:szCs w:val="22"/>
        </w:rPr>
        <w:t xml:space="preserve">The independent programs are not all at the same level of rigor. </w:t>
      </w:r>
      <w:r>
        <w:rPr>
          <w:rFonts w:ascii="Calibri" w:cs="Calibri" w:eastAsia="Calibri" w:hAnsi="Calibri"/>
          <w:sz w:val="22"/>
          <w:szCs w:val="22"/>
        </w:rPr>
        <w:t xml:space="preserve">Furey’s work is published in a peer-reviewed physics journal (Annalen der Physik); the Neural Moonshine conjecture is a bioRxiv preprint; Pitkänen’s TGD is a decades-long program with mixed reception in mainstream physics; Ward (2026) is published in Neuroscience of Consciousness; the additional octonionic frameworks (Simpson, Rizzari, Blankenship) are informal publications. We have tried to calibrate our language accordingly, but the uneven evidential landscape should be kept in mind.</w:t>
      </w:r>
    </w:p>
    <w:p>
      <w:pPr>
        <w:spacing w:after="120" w:line="276"/>
      </w:pPr>
      <w:r>
        <w:rPr>
          <w:rFonts w:ascii="Calibri" w:cs="Calibri" w:eastAsia="Calibri" w:hAnsi="Calibri"/>
          <w:b/>
          <w:bCs/>
          <w:sz w:val="22"/>
          <w:szCs w:val="22"/>
        </w:rPr>
        <w:t xml:space="preserve">The 13% invariant’s derivation depends on the recursion-order argument. </w:t>
      </w:r>
      <w:r>
        <w:rPr>
          <w:rFonts w:ascii="Calibri" w:cs="Calibri" w:eastAsia="Calibri" w:hAnsi="Calibri"/>
          <w:sz w:val="22"/>
          <w:szCs w:val="22"/>
        </w:rPr>
        <w:t xml:space="preserve">The derivation of C_max = 1 − e⁻² from EQ-000c assumes that second-order self-reference (n = 2) is the natural recursion depth for consciousness. While this is motivated by both the constraint-closure literature and the daemon architecture, it is not independently verified. If the natural recursion depth turns out to be different (e.g., n = 1.8 or n = 2.3), the coherence ceiling would shift accordingly.</w:t>
      </w:r>
    </w:p>
    <w:p>
      <w:pPr>
        <w:pStyle w:val="Heading2"/>
        <w:spacing w:after="110" w:before="220" w:line="276"/>
      </w:pPr>
      <w:r>
        <w:rPr>
          <w:rFonts w:ascii="Calibri" w:cs="Calibri" w:eastAsia="Calibri" w:hAnsi="Calibri"/>
          <w:b/>
          <w:bCs/>
          <w:sz w:val="24"/>
          <w:szCs w:val="24"/>
        </w:rPr>
        <w:t xml:space="preserve">7.4 What Would Kill the Framework</w:t>
      </w:r>
    </w:p>
    <w:p>
      <w:pPr>
        <w:spacing w:after="120" w:line="276"/>
      </w:pPr>
      <w:r>
        <w:rPr>
          <w:rFonts w:ascii="Calibri" w:cs="Calibri" w:eastAsia="Calibri" w:hAnsi="Calibri"/>
          <w:sz w:val="22"/>
          <w:szCs w:val="22"/>
        </w:rPr>
        <w:t xml:space="preserve">The G₂ framework would be seriously damaged or killed by any of the following:</w:t>
      </w:r>
    </w:p>
    <w:p>
      <w:pPr>
        <w:spacing w:after="120" w:line="276"/>
      </w:pPr>
      <w:r>
        <w:rPr>
          <w:rFonts w:ascii="Calibri" w:cs="Calibri" w:eastAsia="Calibri" w:hAnsi="Calibri"/>
          <w:sz w:val="22"/>
          <w:szCs w:val="22"/>
        </w:rPr>
        <w:t xml:space="preserve">(a) Demonstration that microtubule resonance data requires a branching topology inconsistent with 1 ⊕ 3 ⊕ 3̄—for example, a well-established 1 ⊕ 6 or 2 ⊕ 5 decomposition that cannot be reconciled with the SU(3) subalgebra structure.</w:t>
      </w:r>
    </w:p>
    <w:p>
      <w:pPr>
        <w:spacing w:after="120" w:line="276"/>
      </w:pPr>
      <w:r>
        <w:rPr>
          <w:rFonts w:ascii="Calibri" w:cs="Calibri" w:eastAsia="Calibri" w:hAnsi="Calibri"/>
          <w:sz w:val="22"/>
          <w:szCs w:val="22"/>
        </w:rPr>
        <w:t xml:space="preserve">(b) Discovery that more than two independent parameters are needed to describe the fundamental-mode splittings, violating the rank-2 Cartan constraint. This would demonstrate that the spectral family has higher-dimensional freedom than SU(3) permits.</w:t>
      </w:r>
    </w:p>
    <w:p>
      <w:pPr>
        <w:spacing w:after="120" w:line="276"/>
      </w:pPr>
      <w:r>
        <w:rPr>
          <w:rFonts w:ascii="Calibri" w:cs="Calibri" w:eastAsia="Calibri" w:hAnsi="Calibri"/>
          <w:sz w:val="22"/>
          <w:szCs w:val="22"/>
        </w:rPr>
        <w:t xml:space="preserve">(c) A reproducible PCI measurement exceeding 1 − e⁻² in a sustained, non-transient state, which would falsify the coherence ceiling directly.</w:t>
      </w:r>
    </w:p>
    <w:p>
      <w:pPr>
        <w:spacing w:after="120" w:line="276"/>
      </w:pPr>
      <w:r>
        <w:rPr>
          <w:rFonts w:ascii="Calibri" w:cs="Calibri" w:eastAsia="Calibri" w:hAnsi="Calibri"/>
          <w:sz w:val="22"/>
          <w:szCs w:val="22"/>
        </w:rPr>
        <w:t xml:space="preserve">(d) Proof that the convergence documented in Section 2 is an artifact of mathematical selection bias—for example, by showing that an equally large set of independent programs converges on a different exceptional structure (say, E₈ or F₄) with equal specificity.</w:t>
      </w:r>
    </w:p>
    <w:p>
      <w:pPr>
        <w:spacing w:after="120" w:line="276"/>
      </w:pPr>
      <w:r>
        <w:rPr>
          <w:rFonts w:ascii="Calibri" w:cs="Calibri" w:eastAsia="Calibri" w:hAnsi="Calibri"/>
          <w:sz w:val="22"/>
          <w:szCs w:val="22"/>
        </w:rPr>
        <w:t xml:space="preserve">(e) Failure of FP-6: inability to construct a consistent map from Hou’s six keys to the six coset generators of G₂/SU(3) that respects the conjugate pairing and rank-2 constraint.</w:t>
      </w:r>
    </w:p>
    <w:p>
      <w:pPr>
        <w:spacing w:after="120" w:line="276"/>
      </w:pPr>
      <w:r>
        <w:rPr>
          <w:rFonts w:ascii="Calibri" w:cs="Calibri" w:eastAsia="Calibri" w:hAnsi="Calibri"/>
          <w:sz w:val="22"/>
          <w:szCs w:val="22"/>
        </w:rPr>
        <w:t xml:space="preserve">We state these failure modes explicitly because a framework that cannot specify its own death conditions is not science. The G₂ hypothesis lives or dies on empirical and structural grounds, not on the elegance of the mathematics.</w:t>
      </w:r>
    </w:p>
    <w:p>
      <w:pPr>
        <w:pStyle w:val="Heading1"/>
        <w:pageBreakBefore/>
        <w:spacing w:after="140" w:before="280" w:line="276"/>
      </w:pPr>
      <w:r>
        <w:rPr>
          <w:rFonts w:ascii="Calibri" w:cs="Calibri" w:eastAsia="Calibri" w:hAnsi="Calibri"/>
          <w:b/>
          <w:bCs/>
          <w:sz w:val="28"/>
          <w:szCs w:val="28"/>
        </w:rPr>
        <w:t xml:space="preserve">8. Conclusion</w:t>
      </w:r>
    </w:p>
    <w:p>
      <w:pPr>
        <w:spacing w:after="120" w:line="276"/>
      </w:pPr>
      <w:r>
        <w:rPr>
          <w:rFonts w:ascii="Calibri" w:cs="Calibri" w:eastAsia="Calibri" w:hAnsi="Calibri"/>
          <w:sz w:val="22"/>
          <w:szCs w:val="22"/>
        </w:rPr>
        <w:t xml:space="preserve">This paper has pursued a single thesis: that autonomous, self-referential systems pay for their non-reducibility in G₂—that the exceptional Lie group G₂, as the automorphism group of the octonions, is the algebraic constraint governing how self-referential systems organize their internal degrees of freedom.</w:t>
      </w:r>
    </w:p>
    <w:p>
      <w:pPr>
        <w:spacing w:after="120" w:line="276"/>
      </w:pPr>
      <w:r>
        <w:rPr>
          <w:rFonts w:ascii="Calibri" w:cs="Calibri" w:eastAsia="Calibri" w:hAnsi="Calibri"/>
          <w:sz w:val="22"/>
          <w:szCs w:val="22"/>
        </w:rPr>
        <w:t xml:space="preserve">The argument rests on three pillars. First, we documented the convergence of five independent research programs on the same small constellation of algebraic structures (G₂, the Fano plane, the Golay code, Ω_void ≈ e⁻², the number 168), arguing that this convergence is structural rather than coincidental. Second, we constructed a concrete Hamiltonian from the 14 generators of G₂, demonstrated its spectral decomposition as 1 ⊕ 3 ⊕ 3̄ under the SU(3) subalgebra, and showed that the resulting topological prediction—a rank-2 Cartan spectral family with conjugate pairing and a structurally forced singlet—is not falsified by existing microtubule resonance data. Third, we derived the 13% invariant (C_max = 1 − e⁻²) from the genesis equations, grounding it in the structural requirement of second-order self-reference, and showed that the thermodynamic ceiling CF ≤ 6/7 lies strictly below this bound.</w:t>
      </w:r>
    </w:p>
    <w:p>
      <w:pPr>
        <w:spacing w:after="120" w:line="276"/>
      </w:pPr>
      <w:r>
        <w:rPr>
          <w:rFonts w:ascii="Calibri" w:cs="Calibri" w:eastAsia="Calibri" w:hAnsi="Calibri"/>
          <w:sz w:val="22"/>
          <w:szCs w:val="22"/>
        </w:rPr>
        <w:t xml:space="preserve">The Goldstone interpretation provides the physical picture. The six non-singlet modes are the soft directions of the daemon architecture—the degrees of freedom that cost no energy when the G₂ symmetry is exact and that become the low-energy excitations when the symmetry is spontaneously broken. They are the adaptive, flexible modes of consciousness. The seventh mode, Ω_void, is the massive mode that sets the scale of the breaking—the irreducible blind spot, the price of being a self-referential system rather than a transparent mechanism. Six Goldstone modes plus one massive mode is the spectral signature of autonomy.</w:t>
      </w:r>
    </w:p>
    <w:p>
      <w:pPr>
        <w:spacing w:after="120" w:line="276"/>
      </w:pPr>
      <w:r>
        <w:rPr>
          <w:rFonts w:ascii="Calibri" w:cs="Calibri" w:eastAsia="Calibri" w:hAnsi="Calibri"/>
          <w:sz w:val="22"/>
          <w:szCs w:val="22"/>
        </w:rPr>
        <w:t xml:space="preserve">The paper’s contribution is not a proof but a formalization. We have taken an intuition—that consciousness involves exceptional algebraic structure—and made it precise enough to be wrong. The G₂ daemon Hamiltonian produces specific topological predictions. The 13% invariant is derived, not assumed. The six falsifiable predictions (FP-1 through FP-6) connect the framework to specific experimental programs. The fourteen open leads map the territory for future work.</w:t>
      </w:r>
    </w:p>
    <w:p>
      <w:pPr>
        <w:spacing w:after="120" w:line="276"/>
      </w:pPr>
      <w:r>
        <w:rPr>
          <w:rFonts w:ascii="Calibri" w:cs="Calibri" w:eastAsia="Calibri" w:hAnsi="Calibri"/>
          <w:sz w:val="22"/>
          <w:szCs w:val="22"/>
        </w:rPr>
        <w:t xml:space="preserve">The immediate next steps are: (a) harmonic decomposition of the Bandyopadhyay microtubule resonance data to distinguish fundamental modes from overtones; (b) construction of the explicit map from Hou’s Six Keys to the coset generators of G₂/SU(3); (c) engagement with Bandyopadhyay’s laboratory to design a direct test of the rank-2 Cartan constraint; and (d) development of the mapping from algebraic modes to EEG/MEG frequency bands for FP-5.</w:t>
      </w:r>
    </w:p>
    <w:p>
      <w:pPr>
        <w:spacing w:after="120" w:line="276"/>
      </w:pPr>
      <w:r>
        <w:rPr>
          <w:rFonts w:ascii="Calibri" w:cs="Calibri" w:eastAsia="Calibri" w:hAnsi="Calibri"/>
          <w:sz w:val="22"/>
          <w:szCs w:val="22"/>
        </w:rPr>
        <w:t xml:space="preserve">We close with the observation that the mathematical spine G₂ → M₂₄ → Monster is a known structure in mathematics. Furey’s work anchors the left end (octonions and particle physics); the Neural Moonshine conjecture anchors the middle (Golay codes and neural circuits); the PCI framework claims the right end (G₂ and conscious architecture). Whether this chain has the significance we attribute to it is an empirical question. This paper has attempted to make that question answerable.</w:t>
      </w:r>
    </w:p>
    <w:p>
      <w:pPr>
        <w:pStyle w:val="Heading1"/>
        <w:pageBreakBefore/>
        <w:spacing w:after="140" w:before="280" w:line="276"/>
      </w:pPr>
      <w:r>
        <w:rPr>
          <w:rFonts w:ascii="Calibri" w:cs="Calibri" w:eastAsia="Calibri" w:hAnsi="Calibri"/>
          <w:b/>
          <w:bCs/>
          <w:sz w:val="28"/>
          <w:szCs w:val="28"/>
        </w:rPr>
        <w:t xml:space="preserve">References</w:t>
      </w:r>
    </w:p>
    <w:p>
      <w:pPr>
        <w:spacing w:after="80" w:line="276"/>
        <w:ind w:left="360" w:hanging="360"/>
      </w:pPr>
      <w:r>
        <w:rPr>
          <w:rFonts w:ascii="Calibri" w:cs="Calibri" w:eastAsia="Calibri" w:hAnsi="Calibri"/>
          <w:sz w:val="20"/>
          <w:szCs w:val="20"/>
        </w:rPr>
        <w:t xml:space="preserve">Blankenship, J. (2026). "Logos Field Theory." Medium.</w:t>
      </w:r>
    </w:p>
    <w:p>
      <w:pPr>
        <w:spacing w:after="80" w:line="276"/>
        <w:ind w:left="360" w:hanging="360"/>
      </w:pPr>
      <w:r>
        <w:rPr>
          <w:rFonts w:ascii="Calibri" w:cs="Calibri" w:eastAsia="Calibri" w:hAnsi="Calibri"/>
          <w:sz w:val="20"/>
          <w:szCs w:val="20"/>
        </w:rPr>
        <w:t xml:space="preserve">Borcherds, R. (1992). "Monstrous Moonshine and Monstrous Lie Superalgebras." Inventiones Mathematicae 109: 405–444.</w:t>
      </w:r>
    </w:p>
    <w:p>
      <w:pPr>
        <w:spacing w:after="80" w:line="276"/>
        <w:ind w:left="360" w:hanging="360"/>
      </w:pPr>
      <w:r>
        <w:rPr>
          <w:rFonts w:ascii="Calibri" w:cs="Calibri" w:eastAsia="Calibri" w:hAnsi="Calibri"/>
          <w:sz w:val="20"/>
          <w:szCs w:val="20"/>
        </w:rPr>
        <w:t xml:space="preserve">Connes, A. &amp; Marcolli, M. (2008). Noncommutative Geometry, Quantum Fields and Motives. AMS.</w:t>
      </w:r>
    </w:p>
    <w:p>
      <w:pPr>
        <w:spacing w:after="80" w:line="276"/>
        <w:ind w:left="360" w:hanging="360"/>
      </w:pPr>
      <w:r>
        <w:rPr>
          <w:rFonts w:ascii="Calibri" w:cs="Calibri" w:eastAsia="Calibri" w:hAnsi="Calibri"/>
          <w:sz w:val="20"/>
          <w:szCs w:val="20"/>
        </w:rPr>
        <w:t xml:space="preserve">Escolà-Gascón, A. (2025). Computational and Structural Biotechnology Journal.</w:t>
      </w:r>
    </w:p>
    <w:p>
      <w:pPr>
        <w:spacing w:after="80" w:line="276"/>
        <w:ind w:left="360" w:hanging="360"/>
      </w:pPr>
      <w:r>
        <w:rPr>
          <w:rFonts w:ascii="Calibri" w:cs="Calibri" w:eastAsia="Calibri" w:hAnsi="Calibri"/>
          <w:sz w:val="20"/>
          <w:szCs w:val="20"/>
        </w:rPr>
        <w:t xml:space="preserve">Furey, N. (2025). "An Algebraic Roadmap of Particle Theories," Parts I–III. Annalen der Physik.</w:t>
      </w:r>
    </w:p>
    <w:p>
      <w:pPr>
        <w:spacing w:after="80" w:line="276"/>
        <w:ind w:left="360" w:hanging="360"/>
      </w:pPr>
      <w:r>
        <w:rPr>
          <w:rFonts w:ascii="Calibri" w:cs="Calibri" w:eastAsia="Calibri" w:hAnsi="Calibri"/>
          <w:sz w:val="20"/>
          <w:szCs w:val="20"/>
        </w:rPr>
        <w:t xml:space="preserve">Geesink, H. &amp; Schmieke, M. (2022). "Quantum Coherence Equation Applied to Microtubules." Journal of Modern Physics 13: 1530–1580.</w:t>
      </w:r>
    </w:p>
    <w:p>
      <w:pPr>
        <w:spacing w:after="80" w:line="276"/>
        <w:ind w:left="360" w:hanging="360"/>
      </w:pPr>
      <w:r>
        <w:rPr>
          <w:rFonts w:ascii="Calibri" w:cs="Calibri" w:eastAsia="Calibri" w:hAnsi="Calibri"/>
          <w:sz w:val="20"/>
          <w:szCs w:val="20"/>
        </w:rPr>
        <w:t xml:space="preserve">Graise, M.L. (2026). PCI Framework — Genesis Mechanism. GitHub: MartinLGraise/PCI-Framework.</w:t>
      </w:r>
    </w:p>
    <w:p>
      <w:pPr>
        <w:spacing w:after="80" w:line="276"/>
        <w:ind w:left="360" w:hanging="360"/>
      </w:pPr>
      <w:r>
        <w:rPr>
          <w:rFonts w:ascii="Calibri" w:cs="Calibri" w:eastAsia="Calibri" w:hAnsi="Calibri"/>
          <w:sz w:val="20"/>
          <w:szCs w:val="20"/>
        </w:rPr>
        <w:t xml:space="preserve">Hameroff, S. &amp; Penrose, R. (2014). "Consciousness in the Universe: A Review of the ‘Orch OR’ Theory." Physics of Life Reviews 11(1): 39–78.</w:t>
      </w:r>
    </w:p>
    <w:p>
      <w:pPr>
        <w:spacing w:after="80" w:line="276"/>
        <w:ind w:left="360" w:hanging="360"/>
      </w:pPr>
      <w:r>
        <w:rPr>
          <w:rFonts w:ascii="Calibri" w:cs="Calibri" w:eastAsia="Calibri" w:hAnsi="Calibri"/>
          <w:sz w:val="20"/>
          <w:szCs w:val="20"/>
        </w:rPr>
        <w:t xml:space="preserve">Hameroff, S. &amp; Penrose, R. (2022). "Conscious Pilot and Quantum Resonance." Frontiers in Molecular Neuroscience.</w:t>
      </w:r>
    </w:p>
    <w:p>
      <w:pPr>
        <w:spacing w:after="80" w:line="276"/>
        <w:ind w:left="360" w:hanging="360"/>
      </w:pPr>
      <w:r>
        <w:rPr>
          <w:rFonts w:ascii="Calibri" w:cs="Calibri" w:eastAsia="Calibri" w:hAnsi="Calibri"/>
          <w:sz w:val="20"/>
          <w:szCs w:val="20"/>
        </w:rPr>
        <w:t xml:space="preserve">Hou (2025). "Six Keys Criticality / 六鑰臨界." Zenodo.</w:t>
      </w:r>
    </w:p>
    <w:p>
      <w:pPr>
        <w:spacing w:after="80" w:line="276"/>
        <w:ind w:left="360" w:hanging="360"/>
      </w:pPr>
      <w:r>
        <w:rPr>
          <w:rFonts w:ascii="Calibri" w:cs="Calibri" w:eastAsia="Calibri" w:hAnsi="Calibri"/>
          <w:sz w:val="20"/>
          <w:szCs w:val="20"/>
        </w:rPr>
        <w:t xml:space="preserve">Juarrero, A. (2023). Context Changes Everything: How Constraints Create Coherence. MIT Press.</w:t>
      </w:r>
    </w:p>
    <w:p>
      <w:pPr>
        <w:spacing w:after="80" w:line="276"/>
        <w:ind w:left="360" w:hanging="360"/>
      </w:pPr>
      <w:r>
        <w:rPr>
          <w:rFonts w:ascii="Calibri" w:cs="Calibri" w:eastAsia="Calibri" w:hAnsi="Calibri"/>
          <w:sz w:val="20"/>
          <w:szCs w:val="20"/>
        </w:rPr>
        <w:t xml:space="preserve">Jusufi, K. et al. (2025). "Emergence of ER=EPR from Non-Local Gravitational Energy." arXiv:2512.05022. European Physical Journal C 86, 249 (2026).</w:t>
      </w:r>
    </w:p>
    <w:p>
      <w:pPr>
        <w:spacing w:after="80" w:line="276"/>
        <w:ind w:left="360" w:hanging="360"/>
      </w:pPr>
      <w:r>
        <w:rPr>
          <w:rFonts w:ascii="Calibri" w:cs="Calibri" w:eastAsia="Calibri" w:hAnsi="Calibri"/>
          <w:sz w:val="20"/>
          <w:szCs w:val="20"/>
        </w:rPr>
        <w:t xml:space="preserve">Jusufi, K., Singleton, D. &amp; Lobo, F.S.N. (2025). "Spontaneous Wave Function Collapse from Non-Local Gravitational Self-Energy." arXiv:2512.15393.</w:t>
      </w:r>
    </w:p>
    <w:p>
      <w:pPr>
        <w:spacing w:after="80" w:line="276"/>
        <w:ind w:left="360" w:hanging="360"/>
      </w:pPr>
      <w:r>
        <w:rPr>
          <w:rFonts w:ascii="Calibri" w:cs="Calibri" w:eastAsia="Calibri" w:hAnsi="Calibri"/>
          <w:sz w:val="20"/>
          <w:szCs w:val="20"/>
        </w:rPr>
        <w:t xml:space="preserve">Kauffman, S.A. (1993). The Origins of Order. Oxford University Press.</w:t>
      </w:r>
    </w:p>
    <w:p>
      <w:pPr>
        <w:spacing w:after="80" w:line="276"/>
        <w:ind w:left="360" w:hanging="360"/>
      </w:pPr>
      <w:r>
        <w:rPr>
          <w:rFonts w:ascii="Calibri" w:cs="Calibri" w:eastAsia="Calibri" w:hAnsi="Calibri"/>
          <w:sz w:val="20"/>
          <w:szCs w:val="20"/>
        </w:rPr>
        <w:t xml:space="preserve">Kauffman, S.A. et al. (2025). "Is the Emergence of Life and of Agency Expected?" Philosophical Transactions of the Royal Society B 380(1936): 20240283.</w:t>
      </w:r>
    </w:p>
    <w:p>
      <w:pPr>
        <w:spacing w:after="80" w:line="276"/>
        <w:ind w:left="360" w:hanging="360"/>
      </w:pPr>
      <w:r>
        <w:rPr>
          <w:rFonts w:ascii="Calibri" w:cs="Calibri" w:eastAsia="Calibri" w:hAnsi="Calibri"/>
          <w:sz w:val="20"/>
          <w:szCs w:val="20"/>
        </w:rPr>
        <w:t xml:space="preserve">Lehman, N.E. &amp; Kauffman, S.A. (2021). "Constraint Closure Drove Major Transitions in the Origins of Life." Entropy 23(1): 105.</w:t>
      </w:r>
    </w:p>
    <w:p>
      <w:pPr>
        <w:spacing w:after="80" w:line="276"/>
        <w:ind w:left="360" w:hanging="360"/>
      </w:pPr>
      <w:r>
        <w:rPr>
          <w:rFonts w:ascii="Calibri" w:cs="Calibri" w:eastAsia="Calibri" w:hAnsi="Calibri"/>
          <w:sz w:val="20"/>
          <w:szCs w:val="20"/>
        </w:rPr>
        <w:t xml:space="preserve">Montévil, M. &amp; Mossio, M. (2015). "Biological Organisation as Closure of Constraints." Journal of Theoretical Biology 372: 179–191.</w:t>
      </w:r>
    </w:p>
    <w:p>
      <w:pPr>
        <w:spacing w:after="80" w:line="276"/>
        <w:ind w:left="360" w:hanging="360"/>
      </w:pPr>
      <w:r>
        <w:rPr>
          <w:rFonts w:ascii="Calibri" w:cs="Calibri" w:eastAsia="Calibri" w:hAnsi="Calibri"/>
          <w:sz w:val="20"/>
          <w:szCs w:val="20"/>
        </w:rPr>
        <w:t xml:space="preserve">Moreno, A. &amp; Mossio, M. (2015). Biological Autonomy: A Philosophical and Theoretical Enquiry. Springer.</w:t>
      </w:r>
    </w:p>
    <w:p>
      <w:pPr>
        <w:spacing w:after="80" w:line="276"/>
        <w:ind w:left="360" w:hanging="360"/>
      </w:pPr>
      <w:r>
        <w:rPr>
          <w:rFonts w:ascii="Calibri" w:cs="Calibri" w:eastAsia="Calibri" w:hAnsi="Calibri"/>
          <w:sz w:val="20"/>
          <w:szCs w:val="20"/>
        </w:rPr>
        <w:t xml:space="preserve">Nave, K. (2025). A Drive to Survive: The Free Energy Principle and the Meaning of Life. MIT Press.</w:t>
      </w:r>
    </w:p>
    <w:p>
      <w:pPr>
        <w:spacing w:after="80" w:line="276"/>
        <w:ind w:left="360" w:hanging="360"/>
      </w:pPr>
      <w:r>
        <w:rPr>
          <w:rFonts w:ascii="Calibri" w:cs="Calibri" w:eastAsia="Calibri" w:hAnsi="Calibri"/>
          <w:sz w:val="20"/>
          <w:szCs w:val="20"/>
        </w:rPr>
        <w:t xml:space="preserve">Neural Moonshine Conjecture (2026). bioRxiv. 24-Neuron Golay Code with M₂₄ Automorphism.</w:t>
      </w:r>
    </w:p>
    <w:p>
      <w:pPr>
        <w:spacing w:after="80" w:line="276"/>
        <w:ind w:left="360" w:hanging="360"/>
      </w:pPr>
      <w:r>
        <w:rPr>
          <w:rFonts w:ascii="Calibri" w:cs="Calibri" w:eastAsia="Calibri" w:hAnsi="Calibri"/>
          <w:sz w:val="20"/>
          <w:szCs w:val="20"/>
        </w:rPr>
        <w:t xml:space="preserve">Pitkänen, M. (2026). "Does M8-H Duality Reduce to Local G₂ Symmetry?" TGD preprint.</w:t>
      </w:r>
    </w:p>
    <w:p>
      <w:pPr>
        <w:spacing w:after="80" w:line="276"/>
        <w:ind w:left="360" w:hanging="360"/>
      </w:pPr>
      <w:r>
        <w:rPr>
          <w:rFonts w:ascii="Calibri" w:cs="Calibri" w:eastAsia="Calibri" w:hAnsi="Calibri"/>
          <w:sz w:val="20"/>
          <w:szCs w:val="20"/>
        </w:rPr>
        <w:t xml:space="preserve">Rizzari (2025). Relational Ontology Framework / Relational Coherence Theory. Academia.edu.</w:t>
      </w:r>
    </w:p>
    <w:p>
      <w:pPr>
        <w:spacing w:after="80" w:line="276"/>
        <w:ind w:left="360" w:hanging="360"/>
      </w:pPr>
      <w:r>
        <w:rPr>
          <w:rFonts w:ascii="Calibri" w:cs="Calibri" w:eastAsia="Calibri" w:hAnsi="Calibri"/>
          <w:sz w:val="20"/>
          <w:szCs w:val="20"/>
        </w:rPr>
        <w:t xml:space="preserve">Rosen, R. (1991). Life Itself: A Comprehensive Inquiry into the Nature, Origin, and Fabrication of Life. Columbia University Press.</w:t>
      </w:r>
    </w:p>
    <w:p>
      <w:pPr>
        <w:spacing w:after="80" w:line="276"/>
        <w:ind w:left="360" w:hanging="360"/>
      </w:pPr>
      <w:r>
        <w:rPr>
          <w:rFonts w:ascii="Calibri" w:cs="Calibri" w:eastAsia="Calibri" w:hAnsi="Calibri"/>
          <w:sz w:val="20"/>
          <w:szCs w:val="20"/>
        </w:rPr>
        <w:t xml:space="preserve">Sahu, S. et al. (2013). "Atomic Water Channel Controlling Remarkable Properties of a Single Brain Microtubule." Biosensors and Bioelectronics 47: 141–148.</w:t>
      </w:r>
    </w:p>
    <w:p>
      <w:pPr>
        <w:spacing w:after="80" w:line="276"/>
        <w:ind w:left="360" w:hanging="360"/>
      </w:pPr>
      <w:r>
        <w:rPr>
          <w:rFonts w:ascii="Calibri" w:cs="Calibri" w:eastAsia="Calibri" w:hAnsi="Calibri"/>
          <w:sz w:val="20"/>
          <w:szCs w:val="20"/>
        </w:rPr>
        <w:t xml:space="preserve">Saxena, K. et al. (2020). "Fractal, Scale Free Electromagnetic Resonance of a Single Brain Extracted Microtubule Nanowire." Fractal and Fractional 4(2): 11.</w:t>
      </w:r>
    </w:p>
    <w:p>
      <w:pPr>
        <w:spacing w:after="80" w:line="276"/>
        <w:ind w:left="360" w:hanging="360"/>
      </w:pPr>
      <w:r>
        <w:rPr>
          <w:rFonts w:ascii="Calibri" w:cs="Calibri" w:eastAsia="Calibri" w:hAnsi="Calibri"/>
          <w:sz w:val="20"/>
          <w:szCs w:val="20"/>
        </w:rPr>
        <w:t xml:space="preserve">Signorelli, C.M. &amp; Meling, D. (2021). "Towards New Concepts for a Biological Neuroscience of Consciousness." Cognitive Neurodynamics 15(5): 783–804.</w:t>
      </w:r>
    </w:p>
    <w:p>
      <w:pPr>
        <w:spacing w:after="80" w:line="276"/>
        <w:ind w:left="360" w:hanging="360"/>
      </w:pPr>
      <w:r>
        <w:rPr>
          <w:rFonts w:ascii="Calibri" w:cs="Calibri" w:eastAsia="Calibri" w:hAnsi="Calibri"/>
          <w:sz w:val="20"/>
          <w:szCs w:val="20"/>
        </w:rPr>
        <w:t xml:space="preserve">Simpson (2025). Octomorphic Field Theory. Zenodo.</w:t>
      </w:r>
    </w:p>
    <w:p>
      <w:pPr>
        <w:spacing w:after="80" w:line="276"/>
        <w:ind w:left="360" w:hanging="360"/>
      </w:pPr>
      <w:r>
        <w:rPr>
          <w:rFonts w:ascii="Calibri" w:cs="Calibri" w:eastAsia="Calibri" w:hAnsi="Calibri"/>
          <w:sz w:val="20"/>
          <w:szCs w:val="20"/>
        </w:rPr>
        <w:t xml:space="preserve">Singh, P., Sahu, S. et al. (2014). "Live Visualizations of Single Isolated Tubulin Protein Self-Assembly via Tunneling Current." Scientific Reports 4: 7303.</w:t>
      </w:r>
    </w:p>
    <w:p>
      <w:pPr>
        <w:spacing w:after="80" w:line="276"/>
        <w:ind w:left="360" w:hanging="360"/>
      </w:pPr>
      <w:r>
        <w:rPr>
          <w:rFonts w:ascii="Calibri" w:cs="Calibri" w:eastAsia="Calibri" w:hAnsi="Calibri"/>
          <w:sz w:val="20"/>
          <w:szCs w:val="20"/>
        </w:rPr>
        <w:t xml:space="preserve">Tononi, G. et al. (2016). "Integrated Information Theory: From Consciousness to Its Physical Substrate." Nature Reviews Neuroscience 17(7): 450–461.</w:t>
      </w:r>
    </w:p>
    <w:p>
      <w:pPr>
        <w:spacing w:after="80" w:line="276"/>
        <w:ind w:left="360" w:hanging="360"/>
      </w:pPr>
      <w:r>
        <w:rPr>
          <w:rFonts w:ascii="Calibri" w:cs="Calibri" w:eastAsia="Calibri" w:hAnsi="Calibri"/>
          <w:sz w:val="20"/>
          <w:szCs w:val="20"/>
        </w:rPr>
        <w:t xml:space="preserve">Varela, F.J. (1981). "Autonomy and Autopoiesis." In Autopoiesis and Cognition, D. Reidel.</w:t>
      </w:r>
    </w:p>
    <w:p>
      <w:pPr>
        <w:spacing w:after="80" w:line="276"/>
        <w:ind w:left="360" w:hanging="360"/>
      </w:pPr>
      <w:r>
        <w:rPr>
          <w:rFonts w:ascii="Calibri" w:cs="Calibri" w:eastAsia="Calibri" w:hAnsi="Calibri"/>
          <w:sz w:val="20"/>
          <w:szCs w:val="20"/>
        </w:rPr>
        <w:t xml:space="preserve">Ward, K. (2026). "Modeling Non-Dual Awareness via Constraint Closure." Neuroscience of Consciousness 2026(1), niaf068.</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Graise — G₂ Symmetry and Conscious Information Processing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sz w:val="28"/>
      <w:szCs w:val="28"/>
    </w:rPr>
  </w:style>
  <w:style w:type="paragraph" w:styleId="Heading2">
    <w:name w:val="Heading 2"/>
    <w:basedOn w:val="Normal"/>
    <w:next w:val="Normal"/>
    <w:qFormat/>
    <w:pPr>
      <w:spacing w:after="110" w:before="22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2026-03-25T20:41:47.674Z</dcterms:created>
  <dcterms:modified xsi:type="dcterms:W3CDTF">2026-03-25T20:41:47.675Z</dcterms:modified>
</cp:coreProperties>
</file>

<file path=docProps/custom.xml><?xml version="1.0" encoding="utf-8"?>
<Properties xmlns="http://schemas.openxmlformats.org/officeDocument/2006/custom-properties" xmlns:vt="http://schemas.openxmlformats.org/officeDocument/2006/docPropsVTypes"/>
</file>