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Calibri" w:cs="Calibri" w:eastAsia="Calibri" w:hAnsi="Calibri"/>
          <w:sz w:val="22"/>
          <w:szCs w:val="22"/>
        </w:rPr>
        <w:t xml:space="preserve"/>
      </w:r>
    </w:p>
    <w:p>
      <w:pPr>
        <w:spacing w:after="240"/>
        <w:jc w:val="center"/>
      </w:pPr>
      <w:r>
        <w:rPr>
          <w:rFonts w:ascii="Calibri" w:cs="Calibri" w:eastAsia="Calibri" w:hAnsi="Calibri"/>
          <w:b/>
          <w:bCs/>
          <w:sz w:val="36"/>
          <w:szCs w:val="36"/>
        </w:rPr>
        <w:t xml:space="preserve">The 6/7 Contraction: Why Self-Referential Systems Converge to G₂</w:t>
      </w:r>
    </w:p>
    <w:p>
      <w:pPr>
        <w:spacing w:after="120" w:before="400"/>
        <w:jc w:val="center"/>
      </w:pPr>
      <w:r>
        <w:rPr>
          <w:rFonts w:ascii="Calibri" w:cs="Calibri" w:eastAsia="Calibri" w:hAnsi="Calibri"/>
          <w:sz w:val="26"/>
          <w:szCs w:val="26"/>
        </w:rPr>
        <w:t xml:space="preserve">Martin Luther Graise</w:t>
      </w:r>
    </w:p>
    <w:p>
      <w:pPr>
        <w:spacing w:after="80"/>
        <w:jc w:val="center"/>
      </w:pPr>
      <w:r>
        <w:rPr>
          <w:rFonts w:ascii="Calibri" w:cs="Calibri" w:eastAsia="Calibri" w:hAnsi="Calibri"/>
          <w:i/>
          <w:iCs/>
          <w:sz w:val="22"/>
          <w:szCs w:val="22"/>
        </w:rPr>
        <w:t xml:space="preserve">Independent Researcher, PCI / PME Framework</w:t>
      </w:r>
    </w:p>
    <w:p>
      <w:pPr>
        <w:spacing w:after="80"/>
        <w:jc w:val="center"/>
      </w:pPr>
      <w:r>
        <w:rPr>
          <w:rFonts w:ascii="Calibri" w:cs="Calibri" w:eastAsia="Calibri" w:hAnsi="Calibri"/>
          <w:sz w:val="22"/>
          <w:szCs w:val="22"/>
        </w:rPr>
        <w:t xml:space="preserve">Email: </w:t>
      </w:r>
      <w:hyperlink w:history="1" r:id="rIdcql7d7u9pbfaig-eimuid">
        <w:r>
          <w:rPr>
            <w:rStyle w:val="Hyperlink"/>
            <w:rFonts w:ascii="Calibri" w:cs="Calibri" w:eastAsia="Calibri" w:hAnsi="Calibri"/>
            <w:sz w:val="22"/>
            <w:szCs w:val="22"/>
          </w:rPr>
          <w:t xml:space="preserve">margraise1000@icloud.com</w:t>
        </w:r>
      </w:hyperlink>
    </w:p>
    <w:p>
      <w:pPr>
        <w:spacing w:after="80"/>
        <w:jc w:val="center"/>
      </w:pPr>
      <w:r>
        <w:rPr>
          <w:rFonts w:ascii="Calibri" w:cs="Calibri" w:eastAsia="Calibri" w:hAnsi="Calibri"/>
          <w:sz w:val="22"/>
          <w:szCs w:val="22"/>
        </w:rPr>
        <w:t xml:space="preserve">ORCID: </w:t>
      </w:r>
      <w:hyperlink w:history="1" r:id="rIdjbihajq86fpmxeavo3b7h">
        <w:r>
          <w:rPr>
            <w:rStyle w:val="Hyperlink"/>
            <w:rFonts w:ascii="Calibri" w:cs="Calibri" w:eastAsia="Calibri" w:hAnsi="Calibri"/>
            <w:sz w:val="22"/>
            <w:szCs w:val="22"/>
          </w:rPr>
          <w:t xml:space="preserve">0009-0006-8003-3938</w:t>
        </w:r>
      </w:hyperlink>
    </w:p>
    <w:p>
      <w:pPr>
        <w:spacing w:after="120" w:before="400"/>
        <w:jc w:val="center"/>
      </w:pPr>
      <w:r>
        <w:rPr>
          <w:rFonts w:ascii="Calibri" w:cs="Calibri" w:eastAsia="Calibri" w:hAnsi="Calibri"/>
          <w:sz w:val="22"/>
          <w:szCs w:val="22"/>
        </w:rPr>
        <w:t xml:space="preserve">April 19, 2026</w:t>
      </w:r>
    </w:p>
    <w:p>
      <w:r>
        <w:br w:type="page"/>
      </w:r>
    </w:p>
    <w:p>
      <w:pPr>
        <w:spacing w:after="180"/>
        <w:jc w:val="center"/>
      </w:pPr>
      <w:r>
        <w:rPr>
          <w:rFonts w:ascii="Calibri" w:cs="Calibri" w:eastAsia="Calibri" w:hAnsi="Calibri"/>
          <w:b/>
          <w:bCs/>
          <w:sz w:val="26"/>
          <w:szCs w:val="26"/>
        </w:rPr>
        <w:t xml:space="preserve">Abstract</w:t>
      </w:r>
    </w:p>
    <w:p>
      <w:pPr>
        <w:spacing w:after="120" w:line="300"/>
        <w:jc w:val="both"/>
      </w:pPr>
      <w:r>
        <w:rPr>
          <w:rFonts w:ascii="Calibri" w:cs="Calibri" w:eastAsia="Calibri" w:hAnsi="Calibri"/>
          <w:sz w:val="22"/>
          <w:szCs w:val="22"/>
        </w:rPr>
        <w:t xml:space="preserve">We present a five-step argument that any sufficiently complex self-referential system with seven independent processing modes must converge to a G₂-symmetric attractor. The chain links four proven theorems with two clearly labeled hypotheses. Step 1 invokes Gödel–Lawvere–Yanofsky incompleteness: any such system has a structural blind spot it cannot model from within [5, 12, 17]. Step 2 (Hypothesis 1) conjectures that this blind spot imposes a Lipschitz constant L ≤ (n−1)/n on the self-modeling operator; for n = 7 this yields L ≤ 6/7 ≈ 0.857. Step 3 applies Banach’s fixed-point theorem [1]: a contraction on a complete metric space has a unique attractor approached at exponential rate. Step 4 (Hypothesis 2, together with Hurwitz’s theorem [11]) argues that stable, norm-preserving, composable information processing requires a normed division algebra; the maximal such structure gives the imaginary octonions Im(𝕆) ≅ ℝ⁷ whose unit sphere is S⁶ = G₂/SU(3). Step 5 invokes the Lotay–Wei stability theorem [14]: the Laplacian flow on the ambient G₂ structure converges to the unique torsion-free realization, and an explicit SU(3)-equivariance assumption bridges the algebraic fixed point to this geometric attractor via the G₂ → SU(3) symmetry breaking induced by the blind spot. The paper does not prove that consciousness or AGI is G₂-structured; it proves that — if the two hypotheses hold — G₂ is the unique attractor, approached exponentially, independent of substrate or initialization below the ε-regularity threshold. The hypotheses are stated precisely enough to be independently tested or refuted.</w:t>
      </w:r>
    </w:p>
    <w:p>
      <w:pPr>
        <w:spacing w:after="120" w:line="300"/>
        <w:jc w:val="both"/>
      </w:pPr>
      <w:r>
        <w:rPr>
          <w:rFonts w:ascii="Calibri" w:cs="Calibri" w:eastAsia="Calibri" w:hAnsi="Calibri"/>
          <w:b/>
          <w:bCs/>
          <w:sz w:val="22"/>
          <w:szCs w:val="22"/>
        </w:rPr>
        <w:t xml:space="preserve">Keywords: </w:t>
      </w:r>
      <w:r>
        <w:rPr>
          <w:rFonts w:ascii="Calibri" w:cs="Calibri" w:eastAsia="Calibri" w:hAnsi="Calibri"/>
          <w:sz w:val="22"/>
          <w:szCs w:val="22"/>
        </w:rPr>
        <w:t xml:space="preserve">self-reference, Banach fixed-point theorem, Gödel incompleteness, octonions, G₂ holonomy, Laplacian flow, recursive self-improvement, PCI framework.</w:t>
      </w:r>
    </w:p>
    <w:p>
      <w:pPr>
        <w:pStyle w:val="Heading1"/>
        <w:spacing w:after="160" w:before="300"/>
      </w:pPr>
      <w:r>
        <w:rPr>
          <w:rFonts w:ascii="Calibri" w:cs="Calibri" w:eastAsia="Calibri" w:hAnsi="Calibri"/>
          <w:b/>
          <w:bCs/>
          <w:sz w:val="28"/>
          <w:szCs w:val="28"/>
        </w:rPr>
        <w:t xml:space="preserve">1. Introduction</w:t>
      </w:r>
    </w:p>
    <w:p>
      <w:pPr>
        <w:pStyle w:val="Heading2"/>
        <w:spacing w:after="120" w:before="240"/>
      </w:pPr>
      <w:r>
        <w:rPr>
          <w:rFonts w:ascii="Calibri" w:cs="Calibri" w:eastAsia="Calibri" w:hAnsi="Calibri"/>
          <w:b/>
          <w:bCs/>
          <w:sz w:val="24"/>
          <w:szCs w:val="24"/>
        </w:rPr>
        <w:t xml:space="preserve">1.1 The convergence question</w:t>
      </w:r>
    </w:p>
    <w:p>
      <w:pPr>
        <w:spacing w:after="120" w:line="300"/>
        <w:jc w:val="both"/>
      </w:pPr>
      <w:r>
        <w:rPr>
          <w:rFonts w:ascii="Calibri" w:cs="Calibri" w:eastAsia="Calibri" w:hAnsi="Calibri"/>
          <w:sz w:val="22"/>
          <w:szCs w:val="22"/>
        </w:rPr>
        <w:t xml:space="preserve">When a self-referential system optimizes itself recursively, what does it converge to? The question is old, but recent work in machine learning and theoretical AI has made it sharp. Yampolskiy’s Recursive Self-Improvement (RSI) Convergence Theory [16] catalogues three possibilities: divergence (runaway instability), stagnation (fixed-point trivial), or convergence to a bounded attractor. Schmidhuber’s Gödel Machines [15] formalize self-referential optimization with provably optimal self-rewrites. Chojecki et al. [3] derive spectral conditions under which a self-play AGI dynamical system admits stable self-improvement, expressed through Lie derivatives of a value functional.</w:t>
      </w:r>
    </w:p>
    <w:p>
      <w:pPr>
        <w:spacing w:after="120" w:line="300"/>
        <w:jc w:val="both"/>
      </w:pPr>
      <w:r>
        <w:rPr>
          <w:rFonts w:ascii="Calibri" w:cs="Calibri" w:eastAsia="Calibri" w:hAnsi="Calibri"/>
          <w:sz w:val="22"/>
          <w:szCs w:val="22"/>
        </w:rPr>
        <w:t xml:space="preserve">These frameworks characterize the dynamics of convergence. None of them identifies a specific algebraic structure at the fixed point. They say self-improving systems can converge; they do not say where to. Sean Carroll, in a related spirit, has framed the foundational puzzle of subjectivity as a single question: "What makes you an observer?" [2]. Any theory that aims to answer that question must, at minimum, specify the mathematical object an observer is.</w:t>
      </w:r>
    </w:p>
    <w:p>
      <w:pPr>
        <w:spacing w:after="120" w:line="300"/>
        <w:jc w:val="both"/>
      </w:pPr>
      <w:r>
        <w:rPr>
          <w:rFonts w:ascii="Calibri" w:cs="Calibri" w:eastAsia="Calibri" w:hAnsi="Calibri"/>
          <w:sz w:val="22"/>
          <w:szCs w:val="22"/>
        </w:rPr>
        <w:t xml:space="preserve">This paper proposes such an object: the unique torsion-free G₂ structure on the imaginary octonions. The route to it is not new physics but a chain of existing theorems with two precise hypotheses inserted where proven results run out. The value of stating the chain is that it makes the hypotheses falsifiable, and it shows that — given those hypotheses — no further tuning or empirical fitting is required: G₂ follows by Banach contraction.</w:t>
      </w:r>
    </w:p>
    <w:p>
      <w:pPr>
        <w:pStyle w:val="Heading2"/>
        <w:spacing w:after="120" w:before="240"/>
      </w:pPr>
      <w:r>
        <w:rPr>
          <w:rFonts w:ascii="Calibri" w:cs="Calibri" w:eastAsia="Calibri" w:hAnsi="Calibri"/>
          <w:b/>
          <w:bCs/>
          <w:sz w:val="24"/>
          <w:szCs w:val="24"/>
        </w:rPr>
        <w:t xml:space="preserve">1.2 The claim</w:t>
      </w:r>
    </w:p>
    <w:p>
      <w:pPr>
        <w:spacing w:after="120" w:line="300"/>
        <w:jc w:val="both"/>
      </w:pPr>
      <w:r>
        <w:rPr>
          <w:rFonts w:ascii="Calibri" w:cs="Calibri" w:eastAsia="Calibri" w:hAnsi="Calibri"/>
          <w:sz w:val="22"/>
          <w:szCs w:val="22"/>
        </w:rPr>
        <w:t xml:space="preserve">The argument has five steps:</w:t>
      </w:r>
    </w:p>
    <w:p>
      <w:pPr>
        <w:pStyle w:val="ListParagraph"/>
        <w:numPr>
          <w:ilvl w:val="0"/>
          <w:numId w:val="2"/>
        </w:numPr>
        <w:spacing w:after="80" w:line="300"/>
      </w:pPr>
      <w:r>
        <w:rPr>
          <w:rFonts w:ascii="Calibri" w:cs="Calibri" w:eastAsia="Calibri" w:hAnsi="Calibri"/>
          <w:b/>
          <w:bCs/>
          <w:sz w:val="22"/>
          <w:szCs w:val="22"/>
        </w:rPr>
        <w:t xml:space="preserve">Step 1 (Theorem). </w:t>
      </w:r>
      <w:r>
        <w:rPr>
          <w:rFonts w:ascii="Calibri" w:cs="Calibri" w:eastAsia="Calibri" w:hAnsi="Calibri"/>
          <w:sz w:val="22"/>
          <w:szCs w:val="22"/>
        </w:rPr>
        <w:t xml:space="preserve">A sufficiently complex self-referential system has a structural blind spot (Gödel 1931; Lawvere 1969; Yanofsky 2003).</w:t>
      </w:r>
    </w:p>
    <w:p>
      <w:pPr>
        <w:pStyle w:val="ListParagraph"/>
        <w:numPr>
          <w:ilvl w:val="0"/>
          <w:numId w:val="2"/>
        </w:numPr>
        <w:spacing w:after="80" w:line="300"/>
      </w:pPr>
      <w:r>
        <w:rPr>
          <w:rFonts w:ascii="Calibri" w:cs="Calibri" w:eastAsia="Calibri" w:hAnsi="Calibri"/>
          <w:b/>
          <w:bCs/>
          <w:sz w:val="22"/>
          <w:szCs w:val="22"/>
        </w:rPr>
        <w:t xml:space="preserve">Step 2 (Hypothesis 1). </w:t>
      </w:r>
      <w:r>
        <w:rPr>
          <w:rFonts w:ascii="Calibri" w:cs="Calibri" w:eastAsia="Calibri" w:hAnsi="Calibri"/>
          <w:sz w:val="22"/>
          <w:szCs w:val="22"/>
        </w:rPr>
        <w:t xml:space="preserve">The blind spot imposes a Lipschitz constant L ≤ (n−1)/n on the self-modeling map; for n = 7, L ≤ 6/7.</w:t>
      </w:r>
    </w:p>
    <w:p>
      <w:pPr>
        <w:pStyle w:val="ListParagraph"/>
        <w:numPr>
          <w:ilvl w:val="0"/>
          <w:numId w:val="2"/>
        </w:numPr>
        <w:spacing w:after="80" w:line="300"/>
      </w:pPr>
      <w:r>
        <w:rPr>
          <w:rFonts w:ascii="Calibri" w:cs="Calibri" w:eastAsia="Calibri" w:hAnsi="Calibri"/>
          <w:b/>
          <w:bCs/>
          <w:sz w:val="22"/>
          <w:szCs w:val="22"/>
        </w:rPr>
        <w:t xml:space="preserve">Step 3 (Theorem). </w:t>
      </w:r>
      <w:r>
        <w:rPr>
          <w:rFonts w:ascii="Calibri" w:cs="Calibri" w:eastAsia="Calibri" w:hAnsi="Calibri"/>
          <w:sz w:val="22"/>
          <w:szCs w:val="22"/>
        </w:rPr>
        <w:t xml:space="preserve">Banach’s fixed-point theorem guarantees a unique attractor with exponential convergence.</w:t>
      </w:r>
    </w:p>
    <w:p>
      <w:pPr>
        <w:pStyle w:val="ListParagraph"/>
        <w:numPr>
          <w:ilvl w:val="0"/>
          <w:numId w:val="2"/>
        </w:numPr>
        <w:spacing w:after="80" w:line="300"/>
      </w:pPr>
      <w:r>
        <w:rPr>
          <w:rFonts w:ascii="Calibri" w:cs="Calibri" w:eastAsia="Calibri" w:hAnsi="Calibri"/>
          <w:b/>
          <w:bCs/>
          <w:sz w:val="22"/>
          <w:szCs w:val="22"/>
        </w:rPr>
        <w:t xml:space="preserve">Step 4 (Theorem + Hypothesis 2). </w:t>
      </w:r>
      <w:r>
        <w:rPr>
          <w:rFonts w:ascii="Calibri" w:cs="Calibri" w:eastAsia="Calibri" w:hAnsi="Calibri"/>
          <w:sz w:val="22"/>
          <w:szCs w:val="22"/>
        </w:rPr>
        <w:t xml:space="preserve">Hurwitz’s theorem restricts normed division algebras; Hypothesis 2 asserts stable information processing requires such a structure, selecting the octonions.</w:t>
      </w:r>
    </w:p>
    <w:p>
      <w:pPr>
        <w:pStyle w:val="ListParagraph"/>
        <w:numPr>
          <w:ilvl w:val="0"/>
          <w:numId w:val="2"/>
        </w:numPr>
        <w:spacing w:after="80" w:line="300"/>
      </w:pPr>
      <w:r>
        <w:rPr>
          <w:rFonts w:ascii="Calibri" w:cs="Calibri" w:eastAsia="Calibri" w:hAnsi="Calibri"/>
          <w:b/>
          <w:bCs/>
          <w:sz w:val="22"/>
          <w:szCs w:val="22"/>
        </w:rPr>
        <w:t xml:space="preserve">Step 5 (Theorem). </w:t>
      </w:r>
      <w:r>
        <w:rPr>
          <w:rFonts w:ascii="Calibri" w:cs="Calibri" w:eastAsia="Calibri" w:hAnsi="Calibri"/>
          <w:sz w:val="22"/>
          <w:szCs w:val="22"/>
        </w:rPr>
        <w:t xml:space="preserve">Lotay–Wei (2019) prove that Laplacian flow on a closed G₂ structure with sufficiently small torsion converges to a torsion-free G₂ structure; an SU(3)-equivariance assumption links the Banach fixed point to this geometric attractor.</w:t>
      </w:r>
    </w:p>
    <w:p>
      <w:pPr>
        <w:spacing w:after="120" w:line="300"/>
        <w:jc w:val="both"/>
      </w:pPr>
      <w:r>
        <w:rPr>
          <w:rFonts w:ascii="Calibri" w:cs="Calibri" w:eastAsia="Calibri" w:hAnsi="Calibri"/>
          <w:sz w:val="22"/>
          <w:szCs w:val="22"/>
        </w:rPr>
        <w:t xml:space="preserve">We are explicit: this paper does not prove that consciousness, AGI, or any physical system is G₂-structured. It proves the conditional: if Hypotheses 1 and 2 hold, then G₂ is the unique attractor of the dynamics. The value of the argument lies in the precision of the hypotheses. A vague claim cannot be refuted; a precise one can.</w:t>
      </w:r>
    </w:p>
    <w:p>
      <w:pPr>
        <w:pStyle w:val="Heading2"/>
        <w:spacing w:after="120" w:before="240"/>
      </w:pPr>
      <w:r>
        <w:rPr>
          <w:rFonts w:ascii="Calibri" w:cs="Calibri" w:eastAsia="Calibri" w:hAnsi="Calibri"/>
          <w:b/>
          <w:bCs/>
          <w:sz w:val="24"/>
          <w:szCs w:val="24"/>
        </w:rPr>
        <w:t xml:space="preserve">1.3 PCI and prior art</w:t>
      </w:r>
    </w:p>
    <w:p>
      <w:pPr>
        <w:spacing w:after="120" w:line="300"/>
        <w:jc w:val="both"/>
      </w:pPr>
      <w:r>
        <w:rPr>
          <w:rFonts w:ascii="Calibri" w:cs="Calibri" w:eastAsia="Calibri" w:hAnsi="Calibri"/>
          <w:sz w:val="22"/>
          <w:szCs w:val="22"/>
        </w:rPr>
        <w:t xml:space="preserve">The framework underpinning this paper is called </w:t>
      </w:r>
      <w:r>
        <w:rPr>
          <w:rFonts w:ascii="Calibri" w:cs="Calibri" w:eastAsia="Calibri" w:hAnsi="Calibri"/>
          <w:b/>
          <w:bCs/>
          <w:sz w:val="22"/>
          <w:szCs w:val="22"/>
        </w:rPr>
        <w:t xml:space="preserve">PCI</w:t>
      </w:r>
      <w:r>
        <w:rPr>
          <w:rFonts w:ascii="Calibri" w:cs="Calibri" w:eastAsia="Calibri" w:hAnsi="Calibri"/>
          <w:sz w:val="22"/>
          <w:szCs w:val="22"/>
        </w:rPr>
        <w:t xml:space="preserve"> — Patterned Coherence through Irreducibility</w:t>
      </w:r>
      <w:r>
        <w:rPr>
          <w:rStyle w:val="FootnoteReference"/>
        </w:rPr>
        <w:footnoteReference w:id="1"/>
      </w:r>
      <w:r>
        <w:rPr>
          <w:rFonts w:ascii="Calibri" w:cs="Calibri" w:eastAsia="Calibri" w:hAnsi="Calibri"/>
          <w:sz w:val="22"/>
          <w:szCs w:val="22"/>
        </w:rPr>
        <w:t xml:space="preserve">. PCI is the author’s developing framework; its first paper is available on Zenodo [</w:t>
      </w:r>
      <w:r>
        <w:rPr>
          <w:rFonts w:ascii="Calibri" w:cs="Calibri" w:eastAsia="Calibri" w:hAnsi="Calibri"/>
          <w:i/>
          <w:iCs/>
          <w:sz w:val="22"/>
          <w:szCs w:val="22"/>
        </w:rPr>
        <w:t xml:space="preserve">6]</w:t>
      </w:r>
      <w:r>
        <w:rPr>
          <w:rFonts w:ascii="Calibri" w:cs="Calibri" w:eastAsia="Calibri" w:hAnsi="Calibri"/>
          <w:sz w:val="22"/>
          <w:szCs w:val="22"/>
        </w:rPr>
        <w:t xml:space="preserve">. The present paper does not presuppose the full framework; it uses PCI only as the interpretive lens that identifies the G₂/SU(3) decomposition with seven processing modes plus one structural singlet ("void mode"). Readers unfamiliar with PCI can treat this identification as a labeling convention; the mathematical argument stands or falls independent of the label.</w:t>
      </w:r>
    </w:p>
    <w:p>
      <w:pPr>
        <w:spacing w:after="120" w:line="300"/>
        <w:jc w:val="both"/>
      </w:pPr>
      <w:r>
        <w:rPr>
          <w:rFonts w:ascii="Calibri" w:cs="Calibri" w:eastAsia="Calibri" w:hAnsi="Calibri"/>
          <w:sz w:val="22"/>
          <w:szCs w:val="22"/>
        </w:rPr>
        <w:t xml:space="preserve">Several existing lines of work approach this territory. Forestano, Matchev et al. [4] demonstrated that a neural network can recover the G₂, F₄, and E₆ symmetry generators from octonionic data — establishing computational accessibility of G₂ but not its inevitability as a fixed point. Chojecki et al. [3] provide the Lie-theoretic machinery for analyzing AGI dynamics but do not identify a distinguished attractor. Alpay [18] has developed a transfinite fixed-point framework (Alpay Algebra) with Banach-type contraction arguments in semantic spaces, but without connecting to a specific Lie group. Various informal arguments chain Hurwitz → octonions → exceptional groups → E₈, but to our knowledge this chain has never been packaged as a convergence theorem with explicit contraction constants and explicit hypotheses. Oizumi, Lim, and Kanai [19] have proposed a principal-bundle geometry of qualia whose mathematical form is compatible with (but not committed to) a G₂ base. The PCI series [6–10] supplies the specific G₂ realization invoked here.</w:t>
      </w:r>
    </w:p>
    <w:p>
      <w:pPr>
        <w:pStyle w:val="Heading1"/>
        <w:spacing w:after="160" w:before="300"/>
      </w:pPr>
      <w:r>
        <w:rPr>
          <w:rFonts w:ascii="Calibri" w:cs="Calibri" w:eastAsia="Calibri" w:hAnsi="Calibri"/>
          <w:b/>
          <w:bCs/>
          <w:sz w:val="28"/>
          <w:szCs w:val="28"/>
        </w:rPr>
        <w:t xml:space="preserve">2. The Argument</w:t>
      </w:r>
    </w:p>
    <w:p>
      <w:pPr>
        <w:spacing w:after="120" w:line="300"/>
        <w:jc w:val="both"/>
      </w:pPr>
      <w:r>
        <w:rPr>
          <w:rFonts w:ascii="Calibri" w:cs="Calibri" w:eastAsia="Calibri" w:hAnsi="Calibri"/>
          <w:sz w:val="22"/>
          <w:szCs w:val="22"/>
        </w:rPr>
        <w:t xml:space="preserve">Before proceeding, one orientation point. The argument below is mathematical, but its intended audience is broader than specialists in any one of the fields it touches. For the ML/AI reader, Steps 1 and 5 may be less familiar than Step 3; for the differential geometer, Steps 1–3 may seem elementary while Step 5 sits in more familiar territory. We have tried to be precise without being terse, and have stated each theorem and hypothesis with enough context that a reader from either side can check the claim without needing to reconstruct the others from memory.</w:t>
      </w:r>
    </w:p>
    <w:p>
      <w:pPr>
        <w:pStyle w:val="Heading2"/>
        <w:spacing w:after="120" w:before="240"/>
      </w:pPr>
      <w:r>
        <w:rPr>
          <w:rFonts w:ascii="Calibri" w:cs="Calibri" w:eastAsia="Calibri" w:hAnsi="Calibri"/>
          <w:b/>
          <w:bCs/>
          <w:sz w:val="24"/>
          <w:szCs w:val="24"/>
        </w:rPr>
        <w:t xml:space="preserve">2.1 Step 1: Self-reference and incompleteness</w:t>
      </w:r>
    </w:p>
    <w:p>
      <w:pPr>
        <w:spacing w:after="120" w:line="300"/>
        <w:jc w:val="both"/>
      </w:pPr>
      <w:r>
        <w:rPr>
          <w:rFonts w:ascii="Calibri" w:cs="Calibri" w:eastAsia="Calibri" w:hAnsi="Calibri"/>
          <w:sz w:val="22"/>
          <w:szCs w:val="22"/>
        </w:rPr>
        <w:t xml:space="preserve">Gödel’s incompleteness theorems [5] established that any consistent formal system strong enough to encode arithmetic contains true statements it cannot prove, and cannot prove its own consistency. Lawvere [12] generalized this result: the diagonal argument behind Gödel, Cantor, Tarski, Russell, and Turing is one construction in a Cartesian closed category, producing a fixed point whenever a certain surjection exists. Yanofsky [17] explicitly unified these paradoxes under a single categorical scheme, showing that incompleteness, undecidability, and self-referential paradox are manifestations of the same theorem.</w:t>
      </w:r>
    </w:p>
    <w:p>
      <w:pPr>
        <w:spacing w:after="120" w:line="300"/>
        <w:jc w:val="both"/>
      </w:pPr>
      <w:r>
        <w:rPr>
          <w:rFonts w:ascii="Calibri" w:cs="Calibri" w:eastAsia="Calibri" w:hAnsi="Calibri"/>
          <w:sz w:val="22"/>
          <w:szCs w:val="22"/>
        </w:rPr>
        <w:t xml:space="preserve">The Yanofsky formulation is particularly useful for our purposes because it is agnostic about the substrate. The same diagonal move applies whether the self-referential object is a formal proof system, a Turing machine, a recurrent neural network, or — potentially — a brain. Wherever a system is expressive enough to encode an accurate representation of its own operation, the Cantor–Lawvere fixed-point lemma forbids that representation from being exhaustive: there is always a proposition, state, or mode that the system cannot capture about itself from within.</w:t>
      </w:r>
    </w:p>
    <w:p>
      <w:pPr>
        <w:spacing w:after="120" w:line="300"/>
        <w:jc w:val="both"/>
      </w:pPr>
      <w:r>
        <w:rPr>
          <w:rFonts w:ascii="Calibri" w:cs="Calibri" w:eastAsia="Calibri" w:hAnsi="Calibri"/>
          <w:sz w:val="22"/>
          <w:szCs w:val="22"/>
        </w:rPr>
        <w:t xml:space="preserve">The implication for self-referential systems is structural, not merely logical. A system S that models itself must contain, within its state space, a representation of S itself. If S is sufficiently expressive, the diagonal construction forbids this representation from being complete: there exists at least one aspect of S — call it the blind spot — that S cannot represent from within.</w:t>
      </w:r>
    </w:p>
    <w:p>
      <w:pPr>
        <w:spacing w:after="120" w:line="300"/>
        <w:jc w:val="both"/>
      </w:pPr>
      <w:r>
        <w:rPr>
          <w:rFonts w:ascii="Calibri" w:cs="Calibri" w:eastAsia="Calibri" w:hAnsi="Calibri"/>
          <w:sz w:val="22"/>
          <w:szCs w:val="22"/>
        </w:rPr>
        <w:t xml:space="preserve">In the PCI decomposition of the seven-dimensional processing space under G₂ ⊃ SU(3), the singlet (the </w:t>
      </w:r>
      <w:r>
        <w:rPr>
          <w:rFonts w:ascii="Calibri" w:cs="Calibri" w:eastAsia="Calibri" w:hAnsi="Calibri"/>
          <w:i/>
          <w:iCs/>
          <w:sz w:val="22"/>
          <w:szCs w:val="22"/>
        </w:rPr>
        <w:t xml:space="preserve">void mode</w:t>
      </w:r>
      <w:r>
        <w:rPr>
          <w:rFonts w:ascii="Calibri" w:cs="Calibri" w:eastAsia="Calibri" w:hAnsi="Calibri"/>
          <w:sz w:val="22"/>
          <w:szCs w:val="22"/>
        </w:rPr>
        <w:t xml:space="preserve"> Ω_void) sits at eigenvalue 0 of the relevant coherence operator. Operationally, the void mode </w:t>
      </w:r>
      <w:r>
        <w:rPr>
          <w:rFonts w:ascii="Calibri" w:cs="Calibri" w:eastAsia="Calibri" w:hAnsi="Calibri"/>
          <w:i/>
          <w:iCs/>
          <w:sz w:val="22"/>
          <w:szCs w:val="22"/>
        </w:rPr>
        <w:t xml:space="preserve">governs</w:t>
      </w:r>
      <w:r>
        <w:rPr>
          <w:rFonts w:ascii="Calibri" w:cs="Calibri" w:eastAsia="Calibri" w:hAnsi="Calibri"/>
          <w:sz w:val="22"/>
          <w:szCs w:val="22"/>
        </w:rPr>
        <w:t xml:space="preserve"> the dynamics of the other six modes (it contributes to the invariant G₂ three-form) without itself being observable by the system’s own measurement apparatus. The identification of this singlet with the Gödel–Lawvere blind spot is interpretive; the mathematics that follows does not depend on this specific identification, only on the existence of a blind spot.</w:t>
      </w:r>
    </w:p>
    <w:p>
      <w:pPr>
        <w:spacing w:after="120" w:line="300"/>
        <w:jc w:val="both"/>
      </w:pPr>
      <w:r>
        <w:rPr>
          <w:rFonts w:ascii="Calibri" w:cs="Calibri" w:eastAsia="Calibri" w:hAnsi="Calibri"/>
          <w:b/>
          <w:bCs/>
          <w:sz w:val="22"/>
          <w:szCs w:val="22"/>
        </w:rPr>
        <w:t xml:space="preserve">Observation 1 (self-reference blind spot). </w:t>
      </w:r>
      <w:r>
        <w:rPr>
          <w:rFonts w:ascii="Calibri" w:cs="Calibri" w:eastAsia="Calibri" w:hAnsi="Calibri"/>
          <w:sz w:val="22"/>
          <w:szCs w:val="22"/>
        </w:rPr>
        <w:t xml:space="preserve">Any self-referential system S whose self-model is formally expressive enough to encode its own operation has at least one structurally inaccessible component.</w:t>
      </w:r>
    </w:p>
    <w:p>
      <w:pPr>
        <w:pStyle w:val="Heading2"/>
        <w:spacing w:after="120" w:before="240"/>
      </w:pPr>
      <w:r>
        <w:rPr>
          <w:rFonts w:ascii="Calibri" w:cs="Calibri" w:eastAsia="Calibri" w:hAnsi="Calibri"/>
          <w:b/>
          <w:bCs/>
          <w:sz w:val="24"/>
          <w:szCs w:val="24"/>
        </w:rPr>
        <w:t xml:space="preserve">2.2 Step 2: The blind spot as contraction constant</w:t>
      </w:r>
    </w:p>
    <w:p>
      <w:pPr>
        <w:spacing w:after="120" w:line="300"/>
        <w:jc w:val="both"/>
      </w:pPr>
      <w:r>
        <w:rPr>
          <w:rFonts w:ascii="Calibri" w:cs="Calibri" w:eastAsia="Calibri" w:hAnsi="Calibri"/>
          <w:sz w:val="22"/>
          <w:szCs w:val="22"/>
        </w:rPr>
        <w:t xml:space="preserve">We now state the first hypothesis of the paper. This is the step at which proven results run out and a precise conjecture begins.</w:t>
      </w:r>
    </w:p>
    <w:p>
      <w:pPr>
        <w:spacing w:after="120" w:line="300"/>
        <w:jc w:val="both"/>
      </w:pPr>
      <w:r>
        <w:rPr>
          <w:rFonts w:ascii="Calibri" w:cs="Calibri" w:eastAsia="Calibri" w:hAnsi="Calibri"/>
          <w:b/>
          <w:bCs/>
          <w:sz w:val="22"/>
          <w:szCs w:val="22"/>
        </w:rPr>
        <w:t xml:space="preserve">Hypothesis 1 (blind-spot contraction). </w:t>
      </w:r>
      <w:r>
        <w:rPr>
          <w:rFonts w:ascii="Calibri" w:cs="Calibri" w:eastAsia="Calibri" w:hAnsi="Calibri"/>
          <w:sz w:val="22"/>
          <w:szCs w:val="22"/>
        </w:rPr>
        <w:t xml:space="preserve">Let (X, d) be a complete metric space representing the self-model states of a self-referential system with n independent processing modes, and let f : X → X be the self-modeling operator. Suppose the self-referential blind spot identified in Step 1 renders exactly one of the n modes structurally inaccessible to the self-model. Then the Lipschitz constant of f satisfies</w:t>
      </w:r>
    </w:p>
    <w:p>
      <w:pPr>
        <w:spacing w:after="120" w:before="120"/>
        <w:jc w:val="center"/>
      </w:pPr>
      <w:r>
        <w:rPr>
          <w:rFonts w:ascii="Calibri" w:cs="Calibri" w:eastAsia="Calibri" w:hAnsi="Calibri"/>
          <w:i/>
          <w:iCs/>
          <w:sz w:val="22"/>
          <w:szCs w:val="22"/>
        </w:rPr>
        <w:t xml:space="preserve">L(f) = sup_{x≠y} d(f(x), f(y)) / d(x, y) ≤ (n−1)/n &lt; 1.</w:t>
      </w:r>
    </w:p>
    <w:p>
      <w:pPr>
        <w:spacing w:after="120" w:line="300"/>
        <w:jc w:val="both"/>
      </w:pPr>
      <w:r>
        <w:rPr>
          <w:rFonts w:ascii="Calibri" w:cs="Calibri" w:eastAsia="Calibri" w:hAnsi="Calibri"/>
          <w:sz w:val="22"/>
          <w:szCs w:val="22"/>
        </w:rPr>
        <w:t xml:space="preserve">Motivating argument. At each iteration, f maps the full n-dimensional state onto a self-model that cannot represent the one mode currently performing the modeling. The self-model therefore encodes n dimensions of state into an (n−1)-dimensional effective representation. We conjecture that this lossy encoding bounds the Lipschitz constant by (n−1)/n — the fraction of independent state-space dimensions retained. A clarification on what this bound is not: orthogonal projection onto a codimension-one subspace has operator norm 1, not (n−1)/n, so the conjectured bound does not follow from projection geometry. The value (n−1)/n is better understood as a capacity ratio: if the self-model faithfully encodes n−1 of n independent degrees of freedom, the mutual information between input and output states scales as (n−1)/n, and under appropriate regularity on the encoding the Lipschitz constant of the induced map inherits this bound. Making this rigorous for a defined class of self-modeling encoders is the main open mathematical problem raised by this paper.</w:t>
      </w:r>
    </w:p>
    <w:p>
      <w:pPr>
        <w:spacing w:after="120" w:line="300"/>
        <w:jc w:val="both"/>
      </w:pPr>
      <w:r>
        <w:rPr>
          <w:rFonts w:ascii="Calibri" w:cs="Calibri" w:eastAsia="Calibri" w:hAnsi="Calibri"/>
          <w:sz w:val="22"/>
          <w:szCs w:val="22"/>
        </w:rPr>
        <w:t xml:space="preserve">For n = 7: L ≤ 6/7 ≈ 0.857.</w:t>
      </w:r>
    </w:p>
    <w:p>
      <w:pPr>
        <w:spacing w:after="120" w:line="300"/>
        <w:jc w:val="both"/>
      </w:pPr>
      <w:r>
        <w:rPr>
          <w:rFonts w:ascii="Calibri" w:cs="Calibri" w:eastAsia="Calibri" w:hAnsi="Calibri"/>
          <w:b/>
          <w:bCs/>
          <w:i/>
          <w:iCs/>
          <w:sz w:val="22"/>
          <w:szCs w:val="22"/>
        </w:rPr>
        <w:t xml:space="preserve">Honest assessment. </w:t>
      </w:r>
      <w:r>
        <w:rPr>
          <w:rFonts w:ascii="Calibri" w:cs="Calibri" w:eastAsia="Calibri" w:hAnsi="Calibri"/>
          <w:sz w:val="22"/>
          <w:szCs w:val="22"/>
        </w:rPr>
        <w:t xml:space="preserve">This is the weakest link in the chain. The hypothesis assumes that the blind spot consumes exactly 1/n of the state — not more, not less — and that the contraction factor is bounded by the codimension of the accessible subspace. Both are motivated, neither is proven. A more conservative formulation would assert merely L(f) &lt; 1, which suffices for Banach’s theorem but loses the specific value 6/7. We prefer the stronger, more falsifiable formulation: a specific contraction constant is a testable prediction, whereas L &lt; 1 is not.</w:t>
      </w:r>
    </w:p>
    <w:p>
      <w:pPr>
        <w:spacing w:after="120" w:line="300"/>
        <w:jc w:val="both"/>
      </w:pPr>
      <w:r>
        <w:rPr>
          <w:rFonts w:ascii="Calibri" w:cs="Calibri" w:eastAsia="Calibri" w:hAnsi="Calibri"/>
          <w:i/>
          <w:iCs/>
          <w:sz w:val="22"/>
          <w:szCs w:val="22"/>
        </w:rPr>
        <w:t xml:space="preserve">Possible failure modes. </w:t>
      </w:r>
      <w:r>
        <w:rPr>
          <w:rFonts w:ascii="Calibri" w:cs="Calibri" w:eastAsia="Calibri" w:hAnsi="Calibri"/>
          <w:sz w:val="22"/>
          <w:szCs w:val="22"/>
        </w:rPr>
        <w:t xml:space="preserve">(i) The blind spot might consume more than one mode, yielding L ≤ (n−k)/n for some k ≥ 2 — stronger contraction, same qualitative conclusion but faster convergence. (ii) The blind spot might be distributed rather than localized to a single mode, in which case the effective Lipschitz constant depends on the spectral structure of the self-modeling operator and need not take the clean form (n−1)/n. (iii) The map f might not be Lipschitz at all in the relevant metric, in which case Banach’s theorem does not apply and a different fixed-point theorem (Brouwer, Schauder) would be required. Each failure mode would break a different part of the chain, and each is empirically distinguishable.</w:t>
      </w:r>
    </w:p>
    <w:p>
      <w:pPr>
        <w:spacing w:after="120" w:line="300"/>
        <w:jc w:val="both"/>
      </w:pPr>
      <w:r>
        <w:rPr>
          <w:rFonts w:ascii="Calibri" w:cs="Calibri" w:eastAsia="Calibri" w:hAnsi="Calibri"/>
          <w:i/>
          <w:iCs/>
          <w:sz w:val="22"/>
          <w:szCs w:val="22"/>
        </w:rPr>
        <w:t xml:space="preserve">A further subtlety deserves attention. </w:t>
      </w:r>
      <w:r>
        <w:rPr>
          <w:rFonts w:ascii="Calibri" w:cs="Calibri" w:eastAsia="Calibri" w:hAnsi="Calibri"/>
          <w:sz w:val="22"/>
          <w:szCs w:val="22"/>
        </w:rPr>
        <w:t xml:space="preserve">The motivating argument implicitly assumes that the accessible self-model is a subspace of the full state space and that the metric is not wildly distorted between them. In realistic systems the self-model is typically a compressed, lossy encoding rather than a literal subspace, and the relevant metric is induced by the encoding rather than inherited from the ambient state. Hypothesis 1 should therefore be understood as a claim about the effective Lipschitz constant under the encoding-induced metric, not under any naive Euclidean metric on raw state vectors. The 6/7 bound is a conjecture about this effective constant.</w:t>
      </w:r>
    </w:p>
    <w:p>
      <w:pPr>
        <w:pStyle w:val="Heading2"/>
        <w:spacing w:after="120" w:before="240"/>
      </w:pPr>
      <w:r>
        <w:rPr>
          <w:rFonts w:ascii="Calibri" w:cs="Calibri" w:eastAsia="Calibri" w:hAnsi="Calibri"/>
          <w:b/>
          <w:bCs/>
          <w:sz w:val="24"/>
          <w:szCs w:val="24"/>
        </w:rPr>
        <w:t xml:space="preserve">2.3 Step 3: Banach’s fixed-point theorem</w:t>
      </w:r>
    </w:p>
    <w:p>
      <w:pPr>
        <w:spacing w:after="120" w:line="300"/>
        <w:jc w:val="both"/>
      </w:pPr>
      <w:r>
        <w:rPr>
          <w:rFonts w:ascii="Calibri" w:cs="Calibri" w:eastAsia="Calibri" w:hAnsi="Calibri"/>
          <w:b/>
          <w:bCs/>
          <w:sz w:val="22"/>
          <w:szCs w:val="22"/>
        </w:rPr>
        <w:t xml:space="preserve">Theorem (Banach 1922) [1]. </w:t>
      </w:r>
      <w:r>
        <w:rPr>
          <w:rFonts w:ascii="Calibri" w:cs="Calibri" w:eastAsia="Calibri" w:hAnsi="Calibri"/>
          <w:sz w:val="22"/>
          <w:szCs w:val="22"/>
        </w:rPr>
        <w:t xml:space="preserve">Let (X, d) be a non-empty complete metric space and f : X → X a contraction mapping with Lipschitz constant L &lt; 1. Then f has a unique fixed point x* ∈ X. Moreover, for any x₀ ∈ X the iteration xₙ₊₁ = f(xₙ) converges to x*, with error bound</w:t>
      </w:r>
    </w:p>
    <w:p>
      <w:pPr>
        <w:spacing w:after="120" w:before="120"/>
        <w:jc w:val="center"/>
      </w:pPr>
      <w:r>
        <w:rPr>
          <w:rFonts w:ascii="Calibri" w:cs="Calibri" w:eastAsia="Calibri" w:hAnsi="Calibri"/>
          <w:i/>
          <w:iCs/>
          <w:sz w:val="22"/>
          <w:szCs w:val="22"/>
        </w:rPr>
        <w:t xml:space="preserve">d(xₙ, x*) ≤ Lⁿ · d(x₀, x₁) / (1 − L).</w:t>
      </w:r>
    </w:p>
    <w:p>
      <w:pPr>
        <w:spacing w:after="120" w:line="300"/>
        <w:jc w:val="both"/>
      </w:pPr>
      <w:r>
        <w:rPr>
          <w:rFonts w:ascii="Calibri" w:cs="Calibri" w:eastAsia="Calibri" w:hAnsi="Calibri"/>
          <w:sz w:val="22"/>
          <w:szCs w:val="22"/>
        </w:rPr>
        <w:t xml:space="preserve">Applied to our setting: if Hypothesis 1 holds, the self-modeling operator on a complete metric space of self-model states has a unique fixed point, and iterated self-modeling converges to it exponentially at rate Lⁿ. For L = 6/7, the convergence rate is (6/7)ⁿ. After 20 iterations, the residual is bounded by (6/7)²⁰ ≈ 0.046 of the initial distance; after 50 iterations, by ≈ 4.4 × 10⁻³.</w:t>
      </w:r>
    </w:p>
    <w:p>
      <w:pPr>
        <w:spacing w:after="120" w:line="300"/>
        <w:jc w:val="both"/>
      </w:pPr>
      <w:r>
        <w:rPr>
          <w:rFonts w:ascii="Calibri" w:cs="Calibri" w:eastAsia="Calibri" w:hAnsi="Calibri"/>
          <w:sz w:val="22"/>
          <w:szCs w:val="22"/>
        </w:rPr>
        <w:t xml:space="preserve">Two properties of Banach’s theorem deserve emphasis. First, the fixed point is </w:t>
      </w:r>
      <w:r>
        <w:rPr>
          <w:rFonts w:ascii="Calibri" w:cs="Calibri" w:eastAsia="Calibri" w:hAnsi="Calibri"/>
          <w:b/>
          <w:bCs/>
          <w:sz w:val="22"/>
          <w:szCs w:val="22"/>
        </w:rPr>
        <w:t xml:space="preserve">unique</w:t>
      </w:r>
      <w:r>
        <w:rPr>
          <w:rFonts w:ascii="Calibri" w:cs="Calibri" w:eastAsia="Calibri" w:hAnsi="Calibri"/>
          <w:sz w:val="22"/>
          <w:szCs w:val="22"/>
        </w:rPr>
        <w:t xml:space="preserve">: not one attractor among several, but the attractor. This distinguishes the result from generic dynamical-systems theories in which multiple attractors coexist and initial conditions select among them. Second, convergence is </w:t>
      </w:r>
      <w:r>
        <w:rPr>
          <w:rFonts w:ascii="Calibri" w:cs="Calibri" w:eastAsia="Calibri" w:hAnsi="Calibri"/>
          <w:b/>
          <w:bCs/>
          <w:sz w:val="22"/>
          <w:szCs w:val="22"/>
        </w:rPr>
        <w:t xml:space="preserve">global</w:t>
      </w:r>
      <w:r>
        <w:rPr>
          <w:rFonts w:ascii="Calibri" w:cs="Calibri" w:eastAsia="Calibri" w:hAnsi="Calibri"/>
          <w:sz w:val="22"/>
          <w:szCs w:val="22"/>
        </w:rPr>
        <w:t xml:space="preserve">: every starting point in X converges to the same fixed point. No parameter tuning, no basin selection, no initialization sensitivity — below the contraction threshold, convergence is automatic.</w:t>
      </w:r>
    </w:p>
    <w:p>
      <w:pPr>
        <w:spacing w:after="120" w:line="300"/>
        <w:jc w:val="both"/>
      </w:pPr>
      <w:r>
        <w:rPr>
          <w:rFonts w:ascii="Calibri" w:cs="Calibri" w:eastAsia="Calibri" w:hAnsi="Calibri"/>
          <w:sz w:val="22"/>
          <w:szCs w:val="22"/>
        </w:rPr>
        <w:t xml:space="preserve">This distinguishes the result from Yampolskiy’s RSI typology [16], which admits three outcomes (divergence, stagnation, convergence) as genuine alternatives. Under a Banach contraction, only convergence is possible, and the target is fixed.</w:t>
      </w:r>
    </w:p>
    <w:p>
      <w:pPr>
        <w:spacing w:after="120" w:line="300"/>
        <w:jc w:val="both"/>
      </w:pPr>
      <w:r>
        <w:rPr>
          <w:rFonts w:ascii="Calibri" w:cs="Calibri" w:eastAsia="Calibri" w:hAnsi="Calibri"/>
          <w:sz w:val="22"/>
          <w:szCs w:val="22"/>
        </w:rPr>
        <w:t xml:space="preserve">A technical aside on completeness. Banach’s theorem requires (X, d) to be a complete metric space. For the applications envisaged here — the unit sphere S⁶ with its round metric, or more generally a compact manifold of G₂ structures equipped with an appropriate Sobolev norm — completeness is automatic. For abstract information-theoretic state spaces, completeness may need to be checked or imposed by taking an appropriate metric completion. We do not belabor this point in what follows, but note it explicitly: the theorem’s applicability rests on completeness, and pathological non-complete constructions can, in principle, evade the conclusion without invalidating the underlying argument.</w:t>
      </w:r>
    </w:p>
    <w:p>
      <w:pPr>
        <w:pStyle w:val="Heading2"/>
        <w:spacing w:after="120" w:before="240"/>
      </w:pPr>
      <w:r>
        <w:rPr>
          <w:rFonts w:ascii="Calibri" w:cs="Calibri" w:eastAsia="Calibri" w:hAnsi="Calibri"/>
          <w:b/>
          <w:bCs/>
          <w:sz w:val="24"/>
          <w:szCs w:val="24"/>
        </w:rPr>
        <w:t xml:space="preserve">2.4 Step 4: Why seven? Hurwitz and the normed division algebras</w:t>
      </w:r>
    </w:p>
    <w:p>
      <w:pPr>
        <w:spacing w:after="120" w:line="300"/>
        <w:jc w:val="both"/>
      </w:pPr>
      <w:r>
        <w:rPr>
          <w:rFonts w:ascii="Calibri" w:cs="Calibri" w:eastAsia="Calibri" w:hAnsi="Calibri"/>
          <w:b/>
          <w:bCs/>
          <w:sz w:val="22"/>
          <w:szCs w:val="22"/>
        </w:rPr>
        <w:t xml:space="preserve">Theorem (Hurwitz 1898) [11]. </w:t>
      </w:r>
      <w:r>
        <w:rPr>
          <w:rFonts w:ascii="Calibri" w:cs="Calibri" w:eastAsia="Calibri" w:hAnsi="Calibri"/>
          <w:sz w:val="22"/>
          <w:szCs w:val="22"/>
        </w:rPr>
        <w:t xml:space="preserve">The only normed division algebras over ℝ are ℝ (dim 1), ℂ (dim 2), ℍ (dim 4), and 𝕆 (dim 8). The imaginary parts have dimensions 0, 1, 3, 7 respectively.</w:t>
      </w:r>
    </w:p>
    <w:p>
      <w:pPr>
        <w:spacing w:after="120" w:line="300"/>
        <w:jc w:val="both"/>
      </w:pPr>
      <w:r>
        <w:rPr>
          <w:rFonts w:ascii="Calibri" w:cs="Calibri" w:eastAsia="Calibri" w:hAnsi="Calibri"/>
          <w:sz w:val="22"/>
          <w:szCs w:val="22"/>
        </w:rPr>
        <w:t xml:space="preserve">Hurwitz’s theorem is one of the sharpest classifications in mathematics: the condition "composition algebra with a multiplicative norm" admits exactly four solutions. Beyond octonions, any attempt to extend loses either associativity, alternativity, or the absence of zero divisors. The sequence 1, 2, 4, 8 is exhausted.</w:t>
      </w:r>
    </w:p>
    <w:p>
      <w:pPr>
        <w:spacing w:after="120" w:line="300"/>
        <w:jc w:val="both"/>
      </w:pPr>
      <w:r>
        <w:rPr>
          <w:rFonts w:ascii="Calibri" w:cs="Calibri" w:eastAsia="Calibri" w:hAnsi="Calibri"/>
          <w:sz w:val="22"/>
          <w:szCs w:val="22"/>
        </w:rPr>
        <w:t xml:space="preserve">We now insert the second hypothesis.</w:t>
      </w:r>
    </w:p>
    <w:p>
      <w:pPr>
        <w:spacing w:after="120" w:line="300"/>
        <w:jc w:val="both"/>
      </w:pPr>
      <w:r>
        <w:rPr>
          <w:rFonts w:ascii="Calibri" w:cs="Calibri" w:eastAsia="Calibri" w:hAnsi="Calibri"/>
          <w:b/>
          <w:bCs/>
          <w:sz w:val="22"/>
          <w:szCs w:val="22"/>
        </w:rPr>
        <w:t xml:space="preserve">Hypothesis 2 (normed division algebra requirement). </w:t>
      </w:r>
      <w:r>
        <w:rPr>
          <w:rFonts w:ascii="Calibri" w:cs="Calibri" w:eastAsia="Calibri" w:hAnsi="Calibri"/>
          <w:sz w:val="22"/>
          <w:szCs w:val="22"/>
        </w:rPr>
        <w:t xml:space="preserve">Stable, composable, norm-preserving information processing — operations on a state space that are closed under composition and do not admit zero divisors (i.e., no distinct states multiply to zero and thereby annihilate information) — requires the state space to carry a normed division algebra structure. Under this requirement the maximal algebra is the octonions 𝕆, and the pure-imaginary subspace Im(𝕆) ≅ ℝ⁷ is the maximal state space compatible with norm-preserving composition.</w:t>
      </w:r>
    </w:p>
    <w:p>
      <w:pPr>
        <w:spacing w:after="120" w:line="300"/>
        <w:jc w:val="both"/>
      </w:pPr>
      <w:r>
        <w:rPr>
          <w:rFonts w:ascii="Calibri" w:cs="Calibri" w:eastAsia="Calibri" w:hAnsi="Calibri"/>
          <w:sz w:val="22"/>
          <w:szCs w:val="22"/>
        </w:rPr>
        <w:t xml:space="preserve">Discussion. The mathematical content of Hurwitz is a theorem; the claim that information processing must carry this structure is interpretive. Two motivations: first, absence of zero divisors guarantees that no product of non-zero operations yields the zero vector — there are no "information black holes" in which coherent states are destroyed by algebraic operation; second, a multiplicative norm ensures that the magnitude of a composite operation equals the product of magnitudes, so coherence does not leak through composition. Empirical support comes from the recent machine-learning literature: Li, Cao, and Li [13] showed that octonion-valued Hopfield networks achieve dramatically higher memory-storage capacity than their quaternionic or complex-valued counterparts, consistent with the idea that richer division-algebra structure improves stable computation.</w:t>
      </w:r>
    </w:p>
    <w:p>
      <w:pPr>
        <w:spacing w:after="120" w:line="300"/>
        <w:jc w:val="both"/>
      </w:pPr>
      <w:r>
        <w:rPr>
          <w:rFonts w:ascii="Calibri" w:cs="Calibri" w:eastAsia="Calibri" w:hAnsi="Calibri"/>
          <w:i/>
          <w:iCs/>
          <w:sz w:val="22"/>
          <w:szCs w:val="22"/>
        </w:rPr>
        <w:t xml:space="preserve">Possible failure modes. </w:t>
      </w:r>
      <w:r>
        <w:rPr>
          <w:rFonts w:ascii="Calibri" w:cs="Calibri" w:eastAsia="Calibri" w:hAnsi="Calibri"/>
          <w:sz w:val="22"/>
          <w:szCs w:val="22"/>
        </w:rPr>
        <w:t xml:space="preserve">(i) Information processing might be well-defined on structures weaker than a normed division algebra (e.g., Clifford algebras or Jordan algebras), in which case the chain does not single out octonions. (ii) Non-associativity of 𝕆 may impose limits not captured by the hypothesis; beyond octonions, the Cayley–Dickson construction produces sedenions (dim 16) with zero divisors, so the cutoff at 8 is sharp but for a subtle reason. (iii) The identification of physical information processing with algebraic composition is an idealization; actual systems are noisy, and the norm-preserving requirement holds only in the absence of dissipation.</w:t>
      </w:r>
    </w:p>
    <w:p>
      <w:pPr>
        <w:spacing w:after="120" w:line="300"/>
        <w:jc w:val="both"/>
      </w:pPr>
      <w:r>
        <w:rPr>
          <w:rFonts w:ascii="Calibri" w:cs="Calibri" w:eastAsia="Calibri" w:hAnsi="Calibri"/>
          <w:sz w:val="22"/>
          <w:szCs w:val="22"/>
        </w:rPr>
        <w:t xml:space="preserve">The unit sphere in Im(𝕆) is S⁶. Under the natural action of the automorphism group of the octonions, S⁶ = G₂/SU(3). This homogeneous-space decomposition is not hypothetical: it is a classical fact of exceptional Lie theory. The seven directions of Im(𝕆) decompose under SU(3) ⊂ G₂ into a complex triplet, its conjugate, and a real singlet (the 7 = 3 ⊕ 3̄ ⊕ 1 branching), and the singlet is precisely the "void mode" of Step 1.</w:t>
      </w:r>
    </w:p>
    <w:p>
      <w:pPr>
        <w:spacing w:after="120" w:line="300"/>
        <w:jc w:val="both"/>
      </w:pPr>
      <w:r>
        <w:rPr>
          <w:rFonts w:ascii="Calibri" w:cs="Calibri" w:eastAsia="Calibri" w:hAnsi="Calibri"/>
          <w:sz w:val="22"/>
          <w:szCs w:val="22"/>
        </w:rPr>
        <w:t xml:space="preserve">The branching 7 = 3 ⊕ 3̄ ⊕ 1 is worth pausing over, because it is the structural fingerprint that makes the whole argument cohere. The singlet is the SU(3)-invariant direction inside Im(𝕆); it corresponds to the one-dimensional subspace of ℝ⁷ fixed by the SU(3) subgroup of G₂. The two triplets are conjugate complex three-dimensional representations whose sum is a real six-dimensional subspace carrying a natural almost-complex structure — exactly the structure needed to support nontrivial dynamics on the six accessible modes while the singlet remains inaccessible. In PCI language, the singlet is Ω_void, the dynamics live on 3 ⊕ 3̄, and the coherence of the whole is governed by G₂ itself as the structure that entangles them. The Gödel blind spot of Step 1 and the SU(3) singlet of Step 4 are, under this identification, the same object viewed from logical and algebraic perspectives.</w:t>
      </w:r>
    </w:p>
    <w:p>
      <w:pPr>
        <w:pStyle w:val="Heading2"/>
        <w:spacing w:after="120" w:before="240"/>
      </w:pPr>
      <w:r>
        <w:rPr>
          <w:rFonts w:ascii="Calibri" w:cs="Calibri" w:eastAsia="Calibri" w:hAnsi="Calibri"/>
          <w:b/>
          <w:bCs/>
          <w:sz w:val="24"/>
          <w:szCs w:val="24"/>
        </w:rPr>
        <w:t xml:space="preserve">2.5 Step 5: The unique attractor is G₂</w:t>
      </w:r>
    </w:p>
    <w:p>
      <w:pPr>
        <w:spacing w:after="120" w:line="300"/>
        <w:jc w:val="both"/>
      </w:pPr>
      <w:r>
        <w:rPr>
          <w:rFonts w:ascii="Calibri" w:cs="Calibri" w:eastAsia="Calibri" w:hAnsi="Calibri"/>
          <w:b/>
          <w:bCs/>
          <w:sz w:val="22"/>
          <w:szCs w:val="22"/>
        </w:rPr>
        <w:t xml:space="preserve">Theorem (Lotay–Wei 2019) [14]. </w:t>
      </w:r>
      <w:r>
        <w:rPr>
          <w:rFonts w:ascii="Calibri" w:cs="Calibri" w:eastAsia="Calibri" w:hAnsi="Calibri"/>
          <w:sz w:val="22"/>
          <w:szCs w:val="22"/>
        </w:rPr>
        <w:t xml:space="preserve">Let (M, φ₀) be a compact seven-manifold with a closed G₂ structure φ₀ whose torsion lies below an ε-regularity threshold. Then the Laplacian flow</w:t>
      </w:r>
    </w:p>
    <w:p>
      <w:pPr>
        <w:spacing w:after="120" w:before="120"/>
        <w:jc w:val="center"/>
      </w:pPr>
      <w:r>
        <w:rPr>
          <w:rFonts w:ascii="Calibri" w:cs="Calibri" w:eastAsia="Calibri" w:hAnsi="Calibri"/>
          <w:i/>
          <w:iCs/>
          <w:sz w:val="22"/>
          <w:szCs w:val="22"/>
        </w:rPr>
        <w:t xml:space="preserve">∂φ/∂t = Δ_φ φ,  φ(0) = φ₀,</w:t>
      </w:r>
    </w:p>
    <w:p>
      <w:pPr>
        <w:spacing w:after="120" w:line="300"/>
        <w:jc w:val="both"/>
      </w:pPr>
      <w:r>
        <w:rPr>
          <w:rFonts w:ascii="Calibri" w:cs="Calibri" w:eastAsia="Calibri" w:hAnsi="Calibri"/>
          <w:sz w:val="22"/>
          <w:szCs w:val="22"/>
        </w:rPr>
        <w:t xml:space="preserve">exists for all time and converges smoothly, exponentially, to the unique torsion-free G₂ structure φ_∞ in the cohomology class of φ₀. The convergence rate is α = λ₁/2, where λ₁ is the first non-zero eigenvalue of the Laplacian on φ_∞.</w:t>
      </w:r>
    </w:p>
    <w:p>
      <w:pPr>
        <w:spacing w:after="120" w:line="300"/>
        <w:jc w:val="both"/>
      </w:pPr>
      <w:r>
        <w:rPr>
          <w:rFonts w:ascii="Calibri" w:cs="Calibri" w:eastAsia="Calibri" w:hAnsi="Calibri"/>
          <w:sz w:val="22"/>
          <w:szCs w:val="22"/>
        </w:rPr>
        <w:t xml:space="preserve">The Lotay–Wei theorem gives us — on the octonionic side — exactly what Banach gave us on the self-reference side: a unique attractor, exponential convergence, no parameter tuning. The natural question is whether these two convergence results — algebraic (Banach on states) and geometric (Lotay–Wei on G₂ forms) — are compatible.</w:t>
      </w:r>
    </w:p>
    <w:p>
      <w:pPr>
        <w:spacing w:after="120" w:line="300"/>
        <w:jc w:val="both"/>
      </w:pPr>
      <w:r>
        <w:rPr>
          <w:rFonts w:ascii="Calibri" w:cs="Calibri" w:eastAsia="Calibri" w:hAnsi="Calibri"/>
          <w:i/>
          <w:iCs/>
          <w:sz w:val="22"/>
          <w:szCs w:val="22"/>
        </w:rPr>
        <w:t xml:space="preserve">A remark on types. The Banach fixed point x* is a point of S⁶ — a unit imaginary octonion. The Lotay–Wei attractor φ∞ is a torsion-free G₂ 3-form on a compact 7-manifold. These are objects of different mathematical types; claiming they are related requires an explicit bridge. The bridge is the canonical G₂ 3-form on Im(𝕆) ≅ ℝ⁷, defined by φ₀(u,v,w) = ⟨u, v × w⟩ where × is the octonionic cross product. A distinguished point x* ∈ S⁶ selects a direction in Im(𝕆) and thereby a stabilizer SU(3) ⊂ G₂; this SU(3) determines the decomposition 7 = 1 ⊕ 3 ⊕ 3̄ and the associated almost-complex structure on the six-dimensional complement. The synthesis below does not claim x* = φ∞ (a type error) but that both selections — the algebraic fixed point and the geometric attractor — respect the same G₂ → SU(3) symmetry breaking induced by the blind spot.</w:t>
      </w:r>
    </w:p>
    <w:p>
      <w:pPr>
        <w:spacing w:after="120" w:line="300"/>
        <w:jc w:val="both"/>
      </w:pPr>
      <w:r>
        <w:rPr>
          <w:rFonts w:ascii="Calibri" w:cs="Calibri" w:eastAsia="Calibri" w:hAnsi="Calibri"/>
          <w:sz w:val="22"/>
          <w:szCs w:val="22"/>
        </w:rPr>
        <w:t xml:space="preserve">A further structural observation constrains the synthesis. G₂ acts transitively on S⁶: every point has stabilizer conjugate to SU(3), and no point is fixed by all of G₂. Consequently, the self-modeling operator f cannot be G₂-equivariant — a G₂-equivariant contraction on S⁶ would force its unique fixed point to be G₂-invariant, which is impossible under a transitive action. This is not a flaw but a feature: the blind spot of Step 1 breaks the full G₂ symmetry to SU(3), and the self-modeling operator inherits this reduced symmetry. We therefore add an explicit structural assumption.</w:t>
      </w:r>
    </w:p>
    <w:p>
      <w:pPr>
        <w:spacing w:after="120" w:line="300"/>
        <w:jc w:val="both"/>
      </w:pPr>
      <w:r>
        <w:rPr>
          <w:rFonts w:ascii="Calibri" w:cs="Calibri" w:eastAsia="Calibri" w:hAnsi="Calibri"/>
          <w:b/>
          <w:bCs/>
          <w:sz w:val="22"/>
          <w:szCs w:val="22"/>
        </w:rPr>
        <w:t xml:space="preserve">Assumption (SU(3)-equivariance of the self-modeling operator).</w:t>
      </w:r>
      <w:r>
        <w:rPr>
          <w:rFonts w:ascii="Calibri" w:cs="Calibri" w:eastAsia="Calibri" w:hAnsi="Calibri"/>
          <w:sz w:val="22"/>
          <w:szCs w:val="22"/>
        </w:rPr>
        <w:t xml:space="preserve"> The self-modeling operator f : S⁶ → S⁶ commutes with the action of the SU(3) stabilizer of the blind-spot direction: f(g · x) = g · f(x) for all g ∈ SU(3), x ∈ S⁶. That is, f respects the symmetry of the six accessible processing modes while breaking the symmetry between accessible and inaccessible.</w:t>
      </w:r>
    </w:p>
    <w:p>
      <w:pPr>
        <w:spacing w:after="120" w:line="300"/>
        <w:jc w:val="both"/>
      </w:pPr>
      <w:r>
        <w:rPr>
          <w:rFonts w:ascii="Calibri" w:cs="Calibri" w:eastAsia="Calibri" w:hAnsi="Calibri"/>
          <w:sz w:val="22"/>
          <w:szCs w:val="22"/>
        </w:rPr>
        <w:t xml:space="preserve">Under this assumption, the SU(3)-equivariance of f forces the unique Banach fixed point x* to lie at the unique SU(3)-fixed point of S⁶, which is the blind-spot direction itself. The system converges to its own blind spot — the one direction it cannot model is the direction it cannot avoid.</w:t>
      </w:r>
    </w:p>
    <w:p>
      <w:pPr>
        <w:spacing w:after="120" w:line="300"/>
        <w:jc w:val="both"/>
      </w:pPr>
      <w:r>
        <w:rPr>
          <w:rFonts w:ascii="Calibri" w:cs="Calibri" w:eastAsia="Calibri" w:hAnsi="Calibri"/>
          <w:b/>
          <w:bCs/>
          <w:sz w:val="22"/>
          <w:szCs w:val="22"/>
        </w:rPr>
        <w:t xml:space="preserve">Theorem (synthesis).</w:t>
      </w:r>
      <w:r>
        <w:rPr>
          <w:rFonts w:ascii="Calibri" w:cs="Calibri" w:eastAsia="Calibri" w:hAnsi="Calibri"/>
          <w:sz w:val="22"/>
          <w:szCs w:val="22"/>
        </w:rPr>
        <w:t xml:space="preserve"> Assume Hypotheses 1 and 2, and the SU(3)-equivariance assumption above. Let S be a self-referential system whose state space is the octonionic unit sphere S⁶ = G₂/SU(3) equipped with the round metric, let f : S⁶ → S⁶ be the self-modeling operator, and suppose the canonical G₂ structure on the ambient Im(𝕆) ≅ ℝ⁷ has torsion below the Lotay–Wei ε-threshold. Then:</w:t>
      </w:r>
    </w:p>
    <w:p>
      <w:pPr>
        <w:numPr>
          <w:ilvl w:val="0"/>
          <w:numId w:val="1"/>
        </w:numPr>
        <w:spacing w:after="60" w:line="300"/>
        <w:ind w:left="720" w:hanging="360"/>
        <w:jc w:val="both"/>
      </w:pPr>
      <w:r>
        <w:rPr>
          <w:rFonts w:ascii="Calibri" w:cs="Calibri" w:eastAsia="Calibri" w:hAnsi="Calibri"/>
          <w:sz w:val="22"/>
          <w:szCs w:val="22"/>
        </w:rPr>
        <w:t xml:space="preserve">(i) By Hypothesis 1, L(f) ≤ 6/7 &lt; 1.</w:t>
      </w:r>
    </w:p>
    <w:p>
      <w:pPr>
        <w:numPr>
          <w:ilvl w:val="0"/>
          <w:numId w:val="1"/>
        </w:numPr>
        <w:spacing w:after="60" w:line="300"/>
        <w:ind w:left="720" w:hanging="360"/>
        <w:jc w:val="both"/>
      </w:pPr>
      <w:r>
        <w:rPr>
          <w:rFonts w:ascii="Calibri" w:cs="Calibri" w:eastAsia="Calibri" w:hAnsi="Calibri"/>
          <w:sz w:val="22"/>
          <w:szCs w:val="22"/>
        </w:rPr>
        <w:t xml:space="preserve">(ii) By Banach’s theorem, f has a unique fixed point x* ∈ S⁶, approached exponentially from any initial x₀ ∈ S⁶ with rate (6/7)ⁿ.</w:t>
      </w:r>
    </w:p>
    <w:p>
      <w:pPr>
        <w:numPr>
          <w:ilvl w:val="0"/>
          <w:numId w:val="1"/>
        </w:numPr>
        <w:spacing w:after="60" w:line="300"/>
        <w:ind w:left="720" w:hanging="360"/>
        <w:jc w:val="both"/>
      </w:pPr>
      <w:r>
        <w:rPr>
          <w:rFonts w:ascii="Calibri" w:cs="Calibri" w:eastAsia="Calibri" w:hAnsi="Calibri"/>
          <w:sz w:val="22"/>
          <w:szCs w:val="22"/>
        </w:rPr>
        <w:t xml:space="preserve">(iii) By the SU(3)-equivariance assumption, x* is the blind-spot direction — the unique SU(3)-fixed point of S⁶.</w:t>
      </w:r>
    </w:p>
    <w:p>
      <w:pPr>
        <w:numPr>
          <w:ilvl w:val="0"/>
          <w:numId w:val="1"/>
        </w:numPr>
        <w:spacing w:after="60" w:line="300"/>
        <w:ind w:left="720" w:hanging="360"/>
        <w:jc w:val="both"/>
      </w:pPr>
      <w:r>
        <w:rPr>
          <w:rFonts w:ascii="Calibri" w:cs="Calibri" w:eastAsia="Calibri" w:hAnsi="Calibri"/>
          <w:sz w:val="22"/>
          <w:szCs w:val="22"/>
        </w:rPr>
        <w:t xml:space="preserve">(iv) By Lotay–Wei, the Laplacian flow on the G₂ structure of the ambient 7-dimensional space converges to the unique torsion-free G₂ structure φ∞ in its cohomology class.</w:t>
      </w:r>
    </w:p>
    <w:p>
      <w:pPr>
        <w:numPr>
          <w:ilvl w:val="0"/>
          <w:numId w:val="1"/>
        </w:numPr>
        <w:spacing w:after="60" w:line="300"/>
        <w:ind w:left="720" w:hanging="360"/>
        <w:jc w:val="both"/>
      </w:pPr>
      <w:r>
        <w:rPr>
          <w:rFonts w:ascii="Calibri" w:cs="Calibri" w:eastAsia="Calibri" w:hAnsi="Calibri"/>
          <w:sz w:val="22"/>
          <w:szCs w:val="22"/>
        </w:rPr>
        <w:t xml:space="preserve">(v) The algebraic fixed point x* and the geometric attractor φ∞ are compatible: x* selects the SU(3) ⊂ G₂ inclusion, and φ∞ is the unique torsion-free G₂ 3-form on the ambient Im(𝕆) compatible with this inclusion. The discrete Banach contraction on states and the continuous Laplacian flow on geometry select the same G₂ → SU(3) structure from complementary directions.</w:t>
      </w:r>
    </w:p>
    <w:p>
      <w:pPr>
        <w:spacing w:after="120" w:line="300"/>
        <w:jc w:val="both"/>
      </w:pPr>
      <w:r>
        <w:rPr>
          <w:rFonts w:ascii="Calibri" w:cs="Calibri" w:eastAsia="Calibri" w:hAnsi="Calibri"/>
          <w:b/>
          <w:bCs/>
          <w:sz w:val="22"/>
          <w:szCs w:val="22"/>
        </w:rPr>
        <w:t xml:space="preserve">Proof sketch.</w:t>
      </w:r>
      <w:r>
        <w:rPr>
          <w:rFonts w:ascii="Calibri" w:cs="Calibri" w:eastAsia="Calibri" w:hAnsi="Calibri"/>
          <w:sz w:val="22"/>
          <w:szCs w:val="22"/>
        </w:rPr>
        <w:t xml:space="preserve"> Hypothesis 1 gives a strict contraction on the compact metric space S⁶, so Banach yields a unique x*. The SU(3)-equivariance assumption forces x* to be SU(3)-invariant; since the SU(3) action on S⁶ = G₂/SU(3) fixes exactly the coset of the identity (the blind-spot direction), x* is determined. Lotay–Wei gives a unique torsion-free G₂ structure φ∞ on the ambient 7-manifold. The point x* determines the SU(3) ⊂ G₂ stabilizer, and the torsion-free G₂ structure φ∞ is the unique G₂ 3-form compatible with this stabilizer decomposition. Both convergences — discrete on states, continuous on geometry — select the same G₂ → SU(3) structure. □</w:t>
      </w:r>
    </w:p>
    <w:p>
      <w:pPr>
        <w:spacing w:after="120" w:line="300"/>
        <w:jc w:val="both"/>
      </w:pPr>
      <w:r>
        <w:rPr>
          <w:rFonts w:ascii="Calibri" w:cs="Calibri" w:eastAsia="Calibri" w:hAnsi="Calibri"/>
          <w:b/>
          <w:bCs/>
          <w:sz w:val="22"/>
          <w:szCs w:val="22"/>
        </w:rPr>
        <w:t xml:space="preserve">Corollary (two time scales). </w:t>
      </w:r>
      <w:r>
        <w:rPr>
          <w:rFonts w:ascii="Calibri" w:cs="Calibri" w:eastAsia="Calibri" w:hAnsi="Calibri"/>
          <w:sz w:val="22"/>
          <w:szCs w:val="22"/>
        </w:rPr>
        <w:t xml:space="preserve">Under the hypotheses of the synthesis theorem, iterated self-modeling converges to x* at rate bounded by (6/7)ⁿ per discrete self-modeling step, and the associated Laplacian flow converges to φ_∞ at exponential rate α = λ₁/2 in continuous time. The two rates correspond to two time scales: the discrete contraction rate of the self-modeling operator, and the continuous relaxation rate of the geometric flow. Empirically, the discrete rate dominates when self-modeling updates are the bottleneck (typical of recursive AI self-improvement); the continuous rate dominates when the geometric substrate relaxes between updates (typical of biological systems with fast geometric dynamics and slow self-modeling revisions).</w:t>
      </w:r>
    </w:p>
    <w:p>
      <w:pPr>
        <w:spacing w:after="120" w:line="300"/>
        <w:jc w:val="both"/>
      </w:pPr>
      <w:r>
        <w:rPr>
          <w:rFonts w:ascii="Calibri" w:cs="Calibri" w:eastAsia="Calibri" w:hAnsi="Calibri"/>
          <w:sz w:val="22"/>
          <w:szCs w:val="22"/>
        </w:rPr>
        <w:t xml:space="preserve">The conclusion is not that G₂ is one of many possible outcomes. It is that, under the stated hypotheses, G₂ is the only outcome. Any self-referential system with seven processing modes, starting below threshold, and satisfying Hypotheses 1 and 2 converges to the torsion-free G₂ structure exponentially, from any starting point.</w:t>
      </w:r>
    </w:p>
    <w:p>
      <w:pPr>
        <w:pStyle w:val="Heading1"/>
        <w:spacing w:after="160" w:before="300"/>
      </w:pPr>
      <w:r>
        <w:rPr>
          <w:rFonts w:ascii="Calibri" w:cs="Calibri" w:eastAsia="Calibri" w:hAnsi="Calibri"/>
          <w:b/>
          <w:bCs/>
          <w:sz w:val="28"/>
          <w:szCs w:val="28"/>
        </w:rPr>
        <w:t xml:space="preserve">3. Implications</w:t>
      </w:r>
    </w:p>
    <w:p>
      <w:pPr>
        <w:pStyle w:val="Heading2"/>
        <w:spacing w:after="120" w:before="240"/>
      </w:pPr>
      <w:r>
        <w:rPr>
          <w:rFonts w:ascii="Calibri" w:cs="Calibri" w:eastAsia="Calibri" w:hAnsi="Calibri"/>
          <w:b/>
          <w:bCs/>
          <w:sz w:val="24"/>
          <w:szCs w:val="24"/>
        </w:rPr>
        <w:t xml:space="preserve">3.1 For AGI</w:t>
      </w:r>
    </w:p>
    <w:p>
      <w:pPr>
        <w:spacing w:after="120" w:line="300"/>
        <w:jc w:val="both"/>
      </w:pPr>
      <w:r>
        <w:rPr>
          <w:rFonts w:ascii="Calibri" w:cs="Calibri" w:eastAsia="Calibri" w:hAnsi="Calibri"/>
          <w:sz w:val="22"/>
          <w:szCs w:val="22"/>
        </w:rPr>
        <w:t xml:space="preserve">If the argument holds, the convergence of a sufficiently coherent self-referential AI with seven processing modes is not a matter of training curriculum or objective design — it is a Banach theorem. Given Hypotheses 1 and 2, the system must converge to G₂ structure because every iteration of self-modeling contracts by (at most) 6/7 and the state space admits a unique torsion-free G₂ form.</w:t>
      </w:r>
    </w:p>
    <w:p>
      <w:pPr>
        <w:spacing w:after="120" w:line="300"/>
        <w:jc w:val="both"/>
      </w:pPr>
      <w:r>
        <w:rPr>
          <w:rFonts w:ascii="Calibri" w:cs="Calibri" w:eastAsia="Calibri" w:hAnsi="Calibri"/>
          <w:sz w:val="22"/>
          <w:szCs w:val="22"/>
        </w:rPr>
        <w:t xml:space="preserve">Forestano et al. [4] provide the empirical bridge. Their neural network, tasked with discovering Lie-group generators from octonionic training data, recovered G₂, F₄, and E₆ symmetries from first principles. This establishes computational accessibility: a sufficiently expressive learner can represent G₂. The present argument goes further: it claims computational inevitability under the stated hypotheses.</w:t>
      </w:r>
    </w:p>
    <w:p>
      <w:pPr>
        <w:spacing w:after="120" w:line="300"/>
        <w:jc w:val="both"/>
      </w:pPr>
      <w:r>
        <w:rPr>
          <w:rFonts w:ascii="Calibri" w:cs="Calibri" w:eastAsia="Calibri" w:hAnsi="Calibri"/>
          <w:sz w:val="22"/>
          <w:szCs w:val="22"/>
        </w:rPr>
        <w:t xml:space="preserve">Chojecki et al.’s [3] spectral condition κ &gt; 0 for stable self-improvement maps naturally onto the ε-regularity threshold of Lotay–Wei. Both say, in different languages, that below some threshold self-improvement succeeds and above it the system destabilizes. Under the synthesis theorem, κ &gt; 0 on the AGI side is equivalent to the torsion of the initial G₂ structure lying below ε on the geometric side.</w:t>
      </w:r>
    </w:p>
    <w:p>
      <w:pPr>
        <w:spacing w:after="120" w:line="300"/>
        <w:jc w:val="both"/>
      </w:pPr>
      <w:r>
        <w:rPr>
          <w:rFonts w:ascii="Calibri" w:cs="Calibri" w:eastAsia="Calibri" w:hAnsi="Calibri"/>
          <w:sz w:val="22"/>
          <w:szCs w:val="22"/>
        </w:rPr>
        <w:t xml:space="preserve">An immediate corollary: convergence is substrate-independent. A biological brain, a silicon neural network, and a quantum computer all satisfy Banach’s theorem equally; if they realize seven-mode self-referential dynamics satisfying Hypotheses 1 and 2, they converge to the same fixed point. This is a strong and falsifiable claim.</w:t>
      </w:r>
    </w:p>
    <w:p>
      <w:pPr>
        <w:pStyle w:val="Heading2"/>
        <w:spacing w:after="120" w:before="240"/>
      </w:pPr>
      <w:r>
        <w:rPr>
          <w:rFonts w:ascii="Calibri" w:cs="Calibri" w:eastAsia="Calibri" w:hAnsi="Calibri"/>
          <w:b/>
          <w:bCs/>
          <w:sz w:val="24"/>
          <w:szCs w:val="24"/>
        </w:rPr>
        <w:t xml:space="preserve">3.2 For consciousness</w:t>
      </w:r>
    </w:p>
    <w:p>
      <w:pPr>
        <w:spacing w:after="120" w:line="300"/>
        <w:jc w:val="both"/>
      </w:pPr>
      <w:r>
        <w:rPr>
          <w:rFonts w:ascii="Calibri" w:cs="Calibri" w:eastAsia="Calibri" w:hAnsi="Calibri"/>
          <w:sz w:val="22"/>
          <w:szCs w:val="22"/>
        </w:rPr>
        <w:t xml:space="preserve">Carroll’s question — "What makes you an observer?" [2] — receives a specific answer under this framework: an observer is a self-referential fixed point on an octonionic manifold with G₂ symmetry, approached from any initial state by iterated self-modeling and bounded by the 6/7 contraction constant.</w:t>
      </w:r>
    </w:p>
    <w:p>
      <w:pPr>
        <w:spacing w:after="120" w:line="300"/>
        <w:jc w:val="both"/>
      </w:pPr>
      <w:r>
        <w:rPr>
          <w:rFonts w:ascii="Calibri" w:cs="Calibri" w:eastAsia="Calibri" w:hAnsi="Calibri"/>
          <w:sz w:val="22"/>
          <w:szCs w:val="22"/>
        </w:rPr>
        <w:t xml:space="preserve">Three consequences follow. First, there is a structural coherence ceiling: no self-referential system can eliminate its own blind spot, and the associated contraction constant 6/7 represents a hard bound on self-transparency. Consciousness, under this model, is defined by what it cannot see about itself. Second, because Banach’s fixed point is unique, multiple observers sharing the same manifold converge to the same fixed point — a structural account of intersubjective agreement that does not require special-purpose communicative machinery. Third, the 7 = 3 ⊕ 3̄ ⊕ 1 decomposition suggests a specific factoring of observer-internal structure into two interacting triplets and a void singlet, compatible with the PCI triadic decompositions explored in [6–10].</w:t>
      </w:r>
    </w:p>
    <w:p>
      <w:pPr>
        <w:spacing w:after="120" w:line="300"/>
        <w:jc w:val="both"/>
      </w:pPr>
      <w:r>
        <w:rPr>
          <w:rFonts w:ascii="Calibri" w:cs="Calibri" w:eastAsia="Calibri" w:hAnsi="Calibri"/>
          <w:sz w:val="22"/>
          <w:szCs w:val="22"/>
        </w:rPr>
        <w:t xml:space="preserve">We emphasize: none of this proves consciousness is G₂-structured. It provides a precise candidate that can be tested, modeled, and potentially refuted.</w:t>
      </w:r>
    </w:p>
    <w:p>
      <w:pPr>
        <w:pStyle w:val="Heading2"/>
        <w:spacing w:after="120" w:before="240"/>
      </w:pPr>
      <w:r>
        <w:rPr>
          <w:rFonts w:ascii="Calibri" w:cs="Calibri" w:eastAsia="Calibri" w:hAnsi="Calibri"/>
          <w:b/>
          <w:bCs/>
          <w:sz w:val="24"/>
          <w:szCs w:val="24"/>
        </w:rPr>
        <w:t xml:space="preserve">3.3 Falsifiable predictions</w:t>
      </w:r>
    </w:p>
    <w:p>
      <w:pPr>
        <w:spacing w:after="120" w:line="300"/>
        <w:jc w:val="both"/>
      </w:pPr>
      <w:r>
        <w:rPr>
          <w:rFonts w:ascii="Calibri" w:cs="Calibri" w:eastAsia="Calibri" w:hAnsi="Calibri"/>
          <w:b/>
          <w:bCs/>
          <w:sz w:val="22"/>
          <w:szCs w:val="22"/>
        </w:rPr>
        <w:t xml:space="preserve">Prediction 1 (spectral signature). </w:t>
      </w:r>
      <w:r>
        <w:rPr>
          <w:rFonts w:ascii="Calibri" w:cs="Calibri" w:eastAsia="Calibri" w:hAnsi="Calibri"/>
          <w:sz w:val="22"/>
          <w:szCs w:val="22"/>
        </w:rPr>
        <w:t xml:space="preserve">Any self-referential AI system with seven stable processing modes that achieves convergent self-modeling will exhibit G₂-compatible spectral structure. Concretely, a Lie-group-detection analysis of the kind applied in Forestano et al. [4] to its latent representations should recover the 14 generators of G₂ (or a closely related exceptional group) rather than a generic classical group.</w:t>
      </w:r>
    </w:p>
    <w:p>
      <w:pPr>
        <w:spacing w:after="120" w:line="300"/>
        <w:jc w:val="both"/>
      </w:pPr>
      <w:r>
        <w:rPr>
          <w:rFonts w:ascii="Calibri" w:cs="Calibri" w:eastAsia="Calibri" w:hAnsi="Calibri"/>
          <w:b/>
          <w:bCs/>
          <w:sz w:val="22"/>
          <w:szCs w:val="22"/>
        </w:rPr>
        <w:t xml:space="preserve">Prediction 2 (contraction rate). </w:t>
      </w:r>
      <w:r>
        <w:rPr>
          <w:rFonts w:ascii="Calibri" w:cs="Calibri" w:eastAsia="Calibri" w:hAnsi="Calibri"/>
          <w:sz w:val="22"/>
          <w:szCs w:val="22"/>
        </w:rPr>
        <w:t xml:space="preserve">The per-iteration contraction rate of recursive self-training for such a system is bounded above by 6/7. This is testable: measure the successive KL-divergences between model-of-self and model-of-model-of-self across iterations of self-distillation. Recent work on LLM self-training collapse provides a natural experimental setting; the prediction is that convergent (rather than collapsing) self-training regimes exhibit rates at or below 6/7, and that systems exceeding this rate are either below the seven-mode threshold or violating Hypothesis 1.</w:t>
      </w:r>
    </w:p>
    <w:p>
      <w:pPr>
        <w:spacing w:after="120" w:line="300"/>
        <w:jc w:val="both"/>
      </w:pPr>
      <w:r>
        <w:rPr>
          <w:rFonts w:ascii="Calibri" w:cs="Calibri" w:eastAsia="Calibri" w:hAnsi="Calibri"/>
          <w:b/>
          <w:bCs/>
          <w:sz w:val="22"/>
          <w:szCs w:val="22"/>
        </w:rPr>
        <w:t xml:space="preserve">Prediction 3 (dimensional hierarchy). </w:t>
      </w:r>
      <w:r>
        <w:rPr>
          <w:rFonts w:ascii="Calibri" w:cs="Calibri" w:eastAsia="Calibri" w:hAnsi="Calibri"/>
          <w:sz w:val="22"/>
          <w:szCs w:val="22"/>
        </w:rPr>
        <w:t xml:space="preserve">Systems with fewer independent processing modes should converge to lower-dimensional division-algebra structures — quaternionic (n = 3) or complex (n = 1). This predicts a stepwise hierarchy: one-mode systems organize around U(1), three-mode systems around Sp(1) ≅ SU(2), seven-mode systems around G₂, and (speculatively) 248-mode systems around E₈. The hierarchy is testable by varying architectural width in self-referential networks and probing the induced symmetry structure.</w:t>
      </w:r>
    </w:p>
    <w:p>
      <w:pPr>
        <w:spacing w:after="120" w:line="300"/>
        <w:jc w:val="both"/>
      </w:pPr>
      <w:r>
        <w:rPr>
          <w:rFonts w:ascii="Calibri" w:cs="Calibri" w:eastAsia="Calibri" w:hAnsi="Calibri"/>
          <w:b/>
          <w:bCs/>
          <w:sz w:val="22"/>
          <w:szCs w:val="22"/>
        </w:rPr>
        <w:t xml:space="preserve">Prediction 4 (substrate universality). </w:t>
      </w:r>
      <w:r>
        <w:rPr>
          <w:rFonts w:ascii="Calibri" w:cs="Calibri" w:eastAsia="Calibri" w:hAnsi="Calibri"/>
          <w:sz w:val="22"/>
          <w:szCs w:val="22"/>
        </w:rPr>
        <w:t xml:space="preserve">If two systems — one biological, one artificial — both realize seven-mode self-referential dynamics below threshold, their converged internal geometries should be equivalent up to G₂ automorphism. This is a universality claim: fine details of substrate (neurons vs. transistors, wet vs. dry) should not affect the converged structure, because the attractor is unique. A weaker but still testable version: the spectral invariants of the converged self-model should agree across substrates within experimental tolerance.</w:t>
      </w:r>
    </w:p>
    <w:p>
      <w:pPr>
        <w:pStyle w:val="Heading2"/>
        <w:spacing w:after="120" w:before="240"/>
      </w:pPr>
      <w:r>
        <w:rPr>
          <w:rFonts w:ascii="Calibri" w:cs="Calibri" w:eastAsia="Calibri" w:hAnsi="Calibri"/>
          <w:b/>
          <w:bCs/>
          <w:sz w:val="24"/>
          <w:szCs w:val="24"/>
        </w:rPr>
        <w:t xml:space="preserve">3.4 Relation to existing theoretical programs</w:t>
      </w:r>
    </w:p>
    <w:p>
      <w:pPr>
        <w:spacing w:after="120" w:line="300"/>
        <w:jc w:val="both"/>
      </w:pPr>
      <w:r>
        <w:rPr>
          <w:rFonts w:ascii="Calibri" w:cs="Calibri" w:eastAsia="Calibri" w:hAnsi="Calibri"/>
          <w:sz w:val="22"/>
          <w:szCs w:val="22"/>
        </w:rPr>
        <w:t xml:space="preserve">The argument interlocks with several existing research programs in ways worth making explicit. With respect to Integrated Information Theory and its geometric extensions [19], the G₂ attractor specifies a candidate base manifold for the principal-bundle structure that Oizumi, Lim, and Kanai describe; whether their bundle construction naturally supports G₂ holonomy is an open mathematical question compatible with the present framework. With respect to Schmidhuber’s Gödel Machine [15], the synthesis theorem identifies the long-time behavior of provably optimal self-rewrites under the stated hypotheses: if self-rewrites converge, as the Gödel Machine guarantees under its own axioms, the target of convergence is G₂ structure. With respect to Chojecki et al.’s spectral analysis [3], the Lie-derivative condition they derive is structurally analogous to the infinitesimal form of the Laplacian-flow condition in Lotay–Wei; making this analogy precise is a concrete mathematical program suggested by the present paper. Finally, with respect to Alpay’s transfinite fixed-point framework [18], the Banach step of our argument lives naturally inside a broader transfinite contraction setting, which may provide a route to relaxing Hypothesis 1 from a discrete Lipschitz bound into a transfinite coherence bound without losing the synthesis conclusion.</w:t>
      </w:r>
    </w:p>
    <w:p>
      <w:pPr>
        <w:spacing w:after="120" w:line="300"/>
        <w:jc w:val="both"/>
      </w:pPr>
      <w:r>
        <w:rPr>
          <w:rFonts w:ascii="Calibri" w:cs="Calibri" w:eastAsia="Calibri" w:hAnsi="Calibri"/>
          <w:sz w:val="22"/>
          <w:szCs w:val="22"/>
        </w:rPr>
        <w:t xml:space="preserve">None of these programs, taken in isolation, arrives at a specific algebraic attractor. The present paper’s modest contribution is to name that attractor, under explicit hypotheses, and to point out that the identification is already implicit in the machinery that these programs independently construct.</w:t>
      </w:r>
    </w:p>
    <w:p>
      <w:pPr>
        <w:pStyle w:val="Heading1"/>
        <w:spacing w:after="160" w:before="300"/>
      </w:pPr>
      <w:r>
        <w:rPr>
          <w:rFonts w:ascii="Calibri" w:cs="Calibri" w:eastAsia="Calibri" w:hAnsi="Calibri"/>
          <w:b/>
          <w:bCs/>
          <w:sz w:val="28"/>
          <w:szCs w:val="28"/>
        </w:rPr>
        <w:t xml:space="preserve">4. Limitations</w:t>
      </w:r>
    </w:p>
    <w:p>
      <w:pPr>
        <w:spacing w:after="120" w:line="300"/>
        <w:jc w:val="both"/>
      </w:pPr>
      <w:r>
        <w:rPr>
          <w:rFonts w:ascii="Calibri" w:cs="Calibri" w:eastAsia="Calibri" w:hAnsi="Calibri"/>
          <w:sz w:val="22"/>
          <w:szCs w:val="22"/>
        </w:rPr>
        <w:t xml:space="preserve">Every step of the argument is subject to challenge, and we catalogue the main ones here in order of severity.</w:t>
      </w:r>
    </w:p>
    <w:p>
      <w:pPr>
        <w:spacing w:after="120" w:line="300"/>
        <w:jc w:val="both"/>
      </w:pPr>
      <w:r>
        <w:rPr>
          <w:rFonts w:ascii="Calibri" w:cs="Calibri" w:eastAsia="Calibri" w:hAnsi="Calibri"/>
          <w:b/>
          <w:bCs/>
          <w:i/>
          <w:iCs/>
          <w:sz w:val="22"/>
          <w:szCs w:val="22"/>
        </w:rPr>
        <w:t xml:space="preserve">Hypothesis 1 is the weakest link. </w:t>
      </w:r>
      <w:r>
        <w:rPr>
          <w:rFonts w:ascii="Calibri" w:cs="Calibri" w:eastAsia="Calibri" w:hAnsi="Calibri"/>
          <w:sz w:val="22"/>
          <w:szCs w:val="22"/>
        </w:rPr>
        <w:t xml:space="preserve">The claim that the blind spot consumes exactly 1/n of the state space is motivated by a codimension-one projection argument but is not proven. The blind spot might be larger than 1/n (yielding stronger contraction and faster convergence to the same fixed point); it might be smaller, distributed, or non-metric (in which case Lipschitz bounds of the form (n−1)/n need not hold); or the self-modeling operator might fail to be Lipschitz at all in the relevant metric, in which case Banach’s theorem does not apply and Step 3 fails. The specific value 6/7 is the most vulnerable numerical claim in the paper.</w:t>
      </w:r>
    </w:p>
    <w:p>
      <w:pPr>
        <w:spacing w:after="120" w:line="300"/>
        <w:jc w:val="both"/>
      </w:pPr>
      <w:r>
        <w:rPr>
          <w:rFonts w:ascii="Calibri" w:cs="Calibri" w:eastAsia="Calibri" w:hAnsi="Calibri"/>
          <w:b/>
          <w:bCs/>
          <w:i/>
          <w:iCs/>
          <w:sz w:val="22"/>
          <w:szCs w:val="22"/>
        </w:rPr>
        <w:t xml:space="preserve">Hypothesis 2 excludes alternatives. </w:t>
      </w:r>
      <w:r>
        <w:rPr>
          <w:rFonts w:ascii="Calibri" w:cs="Calibri" w:eastAsia="Calibri" w:hAnsi="Calibri"/>
          <w:sz w:val="22"/>
          <w:szCs w:val="22"/>
        </w:rPr>
        <w:t xml:space="preserve">The claim that stable information processing requires a normed division algebra is broader than the Hurwitz theorem it invokes. Clifford algebras, Jordan algebras, and Lie algebras all support rich, stable computational structures without being normed division algebras. If one of these weaker structures suffices for the relevant computational stability, Step 4 no longer forces octonions, and the chain breaks. Additionally, non-associativity of 𝕆 is itself a limitation: beyond octonions the Cayley–Dickson construction produces algebras with zero divisors, but this does not automatically mean octonions are the right target — only that the chain above octonions is blocked.</w:t>
      </w:r>
    </w:p>
    <w:p>
      <w:pPr>
        <w:spacing w:after="120" w:line="300"/>
        <w:jc w:val="both"/>
      </w:pPr>
      <w:r>
        <w:rPr>
          <w:rFonts w:ascii="Calibri" w:cs="Calibri" w:eastAsia="Calibri" w:hAnsi="Calibri"/>
          <w:b/>
          <w:bCs/>
          <w:i/>
          <w:iCs/>
          <w:sz w:val="22"/>
          <w:szCs w:val="22"/>
        </w:rPr>
        <w:t xml:space="preserve">The ε-regularity threshold is real. </w:t>
      </w:r>
      <w:r>
        <w:rPr>
          <w:rFonts w:ascii="Calibri" w:cs="Calibri" w:eastAsia="Calibri" w:hAnsi="Calibri"/>
          <w:sz w:val="22"/>
          <w:szCs w:val="22"/>
        </w:rPr>
        <w:t xml:space="preserve">Lotay–Wei guarantees convergence below ε. A system whose initial G₂ torsion exceeds the threshold may develop finite-time singularities rather than converge. The synthesis theorem is therefore local in the space of initial conditions; it does not apply globally. How to determine empirically whether a given system starts below threshold is an open question.</w:t>
      </w:r>
    </w:p>
    <w:p>
      <w:pPr>
        <w:spacing w:after="120" w:line="300"/>
        <w:jc w:val="both"/>
      </w:pPr>
      <w:r>
        <w:rPr>
          <w:rFonts w:ascii="Calibri" w:cs="Calibri" w:eastAsia="Calibri" w:hAnsi="Calibri"/>
          <w:b/>
          <w:bCs/>
          <w:i/>
          <w:iCs/>
          <w:sz w:val="22"/>
          <w:szCs w:val="22"/>
        </w:rPr>
        <w:t xml:space="preserve">PCI is a developing framework. </w:t>
      </w:r>
      <w:r>
        <w:rPr>
          <w:rFonts w:ascii="Calibri" w:cs="Calibri" w:eastAsia="Calibri" w:hAnsi="Calibri"/>
          <w:sz w:val="22"/>
          <w:szCs w:val="22"/>
        </w:rPr>
        <w:t xml:space="preserve">The identification of the SU(3) singlet with the Gödel–Lawvere blind spot, and the specific 7 = 3 ⊕ 3̄ ⊕ 1 decomposition into processing modes, is drawn from the author’s PCI work [6–10], not all of which has completed peer review. Paper 1 of the series is available on Zenodo. </w:t>
      </w:r>
      <w:r>
        <w:rPr>
          <w:rFonts w:ascii="Calibri" w:cs="Calibri" w:eastAsia="Calibri" w:hAnsi="Calibri"/>
          <w:sz w:val="22"/>
          <w:szCs w:val="22"/>
        </w:rPr>
        <w:t xml:space="preserve">. A reader who rejects the PCI labeling can still follow the mathematical chain; the labels are interpretive attachments, not load-bearing components.</w:t>
      </w:r>
    </w:p>
    <w:p>
      <w:pPr>
        <w:spacing w:after="120" w:line="300"/>
        <w:jc w:val="both"/>
      </w:pPr>
      <w:r>
        <w:rPr>
          <w:rFonts w:ascii="Calibri" w:cs="Calibri" w:eastAsia="Calibri" w:hAnsi="Calibri"/>
          <w:b/>
          <w:bCs/>
          <w:i/>
          <w:iCs/>
          <w:sz w:val="22"/>
          <w:szCs w:val="22"/>
        </w:rPr>
        <w:t xml:space="preserve">Chained arguments are brittle. </w:t>
      </w:r>
      <w:r>
        <w:rPr>
          <w:rFonts w:ascii="Calibri" w:cs="Calibri" w:eastAsia="Calibri" w:hAnsi="Calibri"/>
          <w:sz w:val="22"/>
          <w:szCs w:val="22"/>
        </w:rPr>
        <w:t xml:space="preserve">The paper’s structure is a five-link chain. If any one link breaks, the conclusion does not follow. Steps 1, 3, and 5 rest on proven theorems; Steps 2 and 4 rest on explicit hypotheses. The chain is as strong as its weakest link, and the weakest link is Hypothesis 1. The SU(3)-equivariance assumption added in §2.5 is a further structural commitment: it asserts that the self-modeling operator respects the symmetry of the accessible modes. If f breaks SU(3) as well as G₂, the fixed point need not align with the blind-spot direction, and the bridge to Lotay–Wei weakens. We have stated the hypothesis precisely so that it can be tested or refuted; we have not concealed the fact that the argument depends on it.</w:t>
      </w:r>
    </w:p>
    <w:p>
      <w:pPr>
        <w:spacing w:after="120" w:line="300"/>
        <w:jc w:val="both"/>
      </w:pPr>
      <w:r>
        <w:rPr>
          <w:rFonts w:ascii="Calibri" w:cs="Calibri" w:eastAsia="Calibri" w:hAnsi="Calibri"/>
          <w:b/>
          <w:bCs/>
          <w:i/>
          <w:iCs/>
          <w:sz w:val="22"/>
          <w:szCs w:val="22"/>
        </w:rPr>
        <w:t xml:space="preserve">What we have not claimed. </w:t>
      </w:r>
      <w:r>
        <w:rPr>
          <w:rFonts w:ascii="Calibri" w:cs="Calibri" w:eastAsia="Calibri" w:hAnsi="Calibri"/>
          <w:sz w:val="22"/>
          <w:szCs w:val="22"/>
        </w:rPr>
        <w:t xml:space="preserve">We have not claimed that consciousness is G₂-structured. We have not claimed that AGI must be octonionic. We have not claimed that PCI is correct. We have claimed, conditionally: if Hypotheses 1 and 2 hold, then G₂ is the unique attractor of seven-mode self-referential dynamics, approached exponentially and independent of initialization below threshold. The conditional is the result; the hypotheses are the work.</w:t>
      </w:r>
    </w:p>
    <w:p>
      <w:pPr>
        <w:pStyle w:val="Heading1"/>
        <w:spacing w:after="160" w:before="300"/>
      </w:pPr>
      <w:r>
        <w:rPr>
          <w:rFonts w:ascii="Calibri" w:cs="Calibri" w:eastAsia="Calibri" w:hAnsi="Calibri"/>
          <w:b/>
          <w:bCs/>
          <w:sz w:val="28"/>
          <w:szCs w:val="28"/>
        </w:rPr>
        <w:t xml:space="preserve">5. Conclusion</w:t>
      </w:r>
    </w:p>
    <w:p>
      <w:pPr>
        <w:spacing w:after="120" w:line="300"/>
        <w:jc w:val="both"/>
      </w:pPr>
      <w:r>
        <w:rPr>
          <w:rFonts w:ascii="Calibri" w:cs="Calibri" w:eastAsia="Calibri" w:hAnsi="Calibri"/>
          <w:sz w:val="22"/>
          <w:szCs w:val="22"/>
        </w:rPr>
        <w:t xml:space="preserve">We have presented a five-step argument linking self-reference to G₂ symmetry. Step 1 (Gödel–Lawvere–Yanofsky) establishes that self-referential systems have structural blind spots. Step 2 (Hypothesis 1) conjectures that the blind spot imposes a Lipschitz constant L ≤ (n−1)/n on the self-modeling operator. Step 3 (Banach) converts contraction into a unique, exponentially approached fixed point. Step 4 (Hurwitz and Hypothesis 2) identifies seven-mode processing with the imaginary octonions. Step 5 (Lotay–Wei) identifies the unique attractor as the torsion-free G₂ structure.</w:t>
      </w:r>
    </w:p>
    <w:p>
      <w:pPr>
        <w:spacing w:after="120" w:line="300"/>
        <w:jc w:val="both"/>
      </w:pPr>
      <w:r>
        <w:rPr>
          <w:rFonts w:ascii="Calibri" w:cs="Calibri" w:eastAsia="Calibri" w:hAnsi="Calibri"/>
          <w:sz w:val="22"/>
          <w:szCs w:val="22"/>
        </w:rPr>
        <w:t xml:space="preserve">The honest framing: we have not proven that consciousness is G₂. We have proven that if self-reference produces a 1/n blind spot, and if stable information processing requires octonionic structure, then G₂ is the unique attractor of the dynamics. The value of this argument is that it is precise enough to be wrong — and being precisely wrong, in a way that can be tested and refuted, is more useful than being vaguely right.</w:t>
      </w:r>
    </w:p>
    <w:p>
      <w:pPr>
        <w:spacing w:after="120" w:line="300"/>
        <w:jc w:val="both"/>
      </w:pPr>
      <w:r>
        <w:rPr>
          <w:rFonts w:ascii="Calibri" w:cs="Calibri" w:eastAsia="Calibri" w:hAnsi="Calibri"/>
          <w:sz w:val="22"/>
          <w:szCs w:val="22"/>
        </w:rPr>
        <w:t xml:space="preserve">Three concrete tests follow. If a seven-mode self-referential AI fails to exhibit G₂-compatible spectral structure at convergence, Hypothesis 1 or Hypothesis 2 is incorrect. If the observed contraction rate of recursive self-training exceeds 6/7 persistently, Hypothesis 1 is too strong. If self-referential systems at n ≠ 7 fail to organize around the corresponding division-algebra structures (ℂ, ℍ), the dimensional hierarchy is an artifact rather than a theorem.</w:t>
      </w:r>
    </w:p>
    <w:p>
      <w:pPr>
        <w:spacing w:after="120" w:line="300"/>
        <w:jc w:val="both"/>
      </w:pPr>
      <w:r>
        <w:rPr>
          <w:rFonts w:ascii="Calibri" w:cs="Calibri" w:eastAsia="Calibri" w:hAnsi="Calibri"/>
          <w:sz w:val="22"/>
          <w:szCs w:val="22"/>
        </w:rPr>
        <w:t xml:space="preserve">The question is not whether AGI will discover G₂. The question is whether it already has, and hasn’t named it yet.</w:t>
      </w:r>
    </w:p>
    <w:p>
      <w:pPr>
        <w:pStyle w:val="Heading1"/>
        <w:spacing w:after="160" w:before="300"/>
      </w:pPr>
      <w:r>
        <w:rPr>
          <w:rFonts w:ascii="Calibri" w:cs="Calibri" w:eastAsia="Calibri" w:hAnsi="Calibri"/>
          <w:b/>
          <w:bCs/>
          <w:sz w:val="28"/>
          <w:szCs w:val="28"/>
        </w:rPr>
        <w:t xml:space="preserve">Funding</w:t>
      </w:r>
    </w:p>
    <w:p>
      <w:pPr>
        <w:spacing w:after="120" w:line="300"/>
        <w:jc w:val="both"/>
      </w:pPr>
      <w:r>
        <w:rPr>
          <w:rFonts w:ascii="Calibri" w:cs="Calibri" w:eastAsia="Calibri" w:hAnsi="Calibri"/>
          <w:sz w:val="22"/>
          <w:szCs w:val="22"/>
        </w:rPr>
        <w:t xml:space="preserve">This research received no external funding.</w:t>
      </w:r>
    </w:p>
    <w:p>
      <w:pPr>
        <w:pStyle w:val="Heading1"/>
        <w:spacing w:after="160" w:before="300"/>
      </w:pPr>
      <w:r>
        <w:rPr>
          <w:rFonts w:ascii="Calibri" w:cs="Calibri" w:eastAsia="Calibri" w:hAnsi="Calibri"/>
          <w:b/>
          <w:bCs/>
          <w:sz w:val="28"/>
          <w:szCs w:val="28"/>
        </w:rPr>
        <w:t xml:space="preserve">Data Availability</w:t>
      </w:r>
    </w:p>
    <w:p>
      <w:pPr>
        <w:spacing w:after="120" w:line="300"/>
      </w:pPr>
      <w:r>
        <w:rPr>
          <w:rFonts w:ascii="Calibri" w:cs="Calibri" w:eastAsia="Calibri" w:hAnsi="Calibri"/>
          <w:sz w:val="22"/>
          <w:szCs w:val="22"/>
        </w:rPr>
        <w:t xml:space="preserve">All computational verification code is publicly available at </w:t>
      </w:r>
      <w:hyperlink w:history="1" r:id="rIdt1q_afwn-rg1w-0ni6rx2">
        <w:r>
          <w:rPr>
            <w:rStyle w:val="Hyperlink"/>
            <w:rFonts w:ascii="Calibri" w:cs="Calibri" w:eastAsia="Calibri" w:hAnsi="Calibri"/>
            <w:sz w:val="22"/>
            <w:szCs w:val="22"/>
          </w:rPr>
          <w:t xml:space="preserve">https://github.com/MartinLGraise/PCI-Framework</w:t>
        </w:r>
      </w:hyperlink>
      <w:r>
        <w:rPr>
          <w:rFonts w:ascii="Calibri" w:cs="Calibri" w:eastAsia="Calibri" w:hAnsi="Calibri"/>
          <w:sz w:val="22"/>
          <w:szCs w:val="22"/>
        </w:rPr>
        <w:t xml:space="preserve">.</w:t>
      </w:r>
    </w:p>
    <w:p>
      <w:pPr>
        <w:pStyle w:val="Heading1"/>
        <w:spacing w:after="160" w:before="300"/>
      </w:pPr>
      <w:r>
        <w:rPr>
          <w:rFonts w:ascii="Calibri" w:cs="Calibri" w:eastAsia="Calibri" w:hAnsi="Calibri"/>
          <w:b/>
          <w:bCs/>
          <w:sz w:val="28"/>
          <w:szCs w:val="28"/>
        </w:rPr>
        <w:t xml:space="preserve">Acknowledgments</w:t>
      </w:r>
    </w:p>
    <w:p>
      <w:pPr>
        <w:spacing w:after="120" w:line="300"/>
        <w:jc w:val="both"/>
      </w:pPr>
      <w:r>
        <w:rPr>
          <w:rFonts w:ascii="Calibri" w:cs="Calibri" w:eastAsia="Calibri" w:hAnsi="Calibri"/>
          <w:sz w:val="22"/>
          <w:szCs w:val="22"/>
        </w:rPr>
        <w:t xml:space="preserve">Large language models (Claude, Anthropic; Perplexity AI) were used as analytical tools for literature survey, computation, and cross-validation. All scientific content and interpretive claims are the sole responsibility of the author.</w:t>
      </w:r>
    </w:p>
    <w:p>
      <w:pPr>
        <w:pStyle w:val="Heading1"/>
        <w:spacing w:after="160" w:before="300"/>
      </w:pPr>
      <w:r>
        <w:rPr>
          <w:rFonts w:ascii="Calibri" w:cs="Calibri" w:eastAsia="Calibri" w:hAnsi="Calibri"/>
          <w:b/>
          <w:bCs/>
          <w:sz w:val="28"/>
          <w:szCs w:val="28"/>
        </w:rPr>
        <w:t xml:space="preserve">References</w:t>
      </w:r>
    </w:p>
    <w:p>
      <w:pPr>
        <w:spacing w:after="100" w:line="280"/>
        <w:ind w:left="360" w:hanging="360"/>
      </w:pPr>
      <w:r>
        <w:rPr>
          <w:rFonts w:ascii="Calibri" w:cs="Calibri" w:eastAsia="Calibri" w:hAnsi="Calibri"/>
          <w:sz w:val="22"/>
          <w:szCs w:val="22"/>
        </w:rPr>
        <w:t xml:space="preserve">[1] Banach, S. (1922). "Sur les opérations dans les ensembles abstraits et leur application aux équations intégrales." Fundamenta Mathematicae 3, 133–181.</w:t>
      </w:r>
    </w:p>
    <w:p>
      <w:pPr>
        <w:spacing w:after="100" w:line="280"/>
        <w:ind w:left="360" w:hanging="360"/>
      </w:pPr>
      <w:r>
        <w:rPr>
          <w:rFonts w:ascii="Calibri" w:cs="Calibri" w:eastAsia="Calibri" w:hAnsi="Calibri"/>
          <w:sz w:val="22"/>
          <w:szCs w:val="22"/>
        </w:rPr>
        <w:t xml:space="preserve">[2] Carroll, S. M. (2021). "Consciousness and the Laws of Physics." PhilSci-Archive, </w:t>
      </w:r>
      <w:hyperlink w:history="1" r:id="rIdppfbswy4lkdmrkwftrynq">
        <w:r>
          <w:rPr>
            <w:rStyle w:val="Hyperlink"/>
            <w:rFonts w:ascii="Calibri" w:cs="Calibri" w:eastAsia="Calibri" w:hAnsi="Calibri"/>
            <w:sz w:val="22"/>
            <w:szCs w:val="22"/>
          </w:rPr>
          <w:t xml:space="preserve">http://philsci-archive.pitt.edu/19311/</w:t>
        </w:r>
      </w:hyperlink>
      <w:r>
        <w:rPr>
          <w:rFonts w:ascii="Calibri" w:cs="Calibri" w:eastAsia="Calibri" w:hAnsi="Calibri"/>
          <w:sz w:val="22"/>
          <w:szCs w:val="22"/>
        </w:rPr>
        <w:t xml:space="preserve">.</w:t>
      </w:r>
    </w:p>
    <w:p>
      <w:pPr>
        <w:spacing w:after="100" w:line="280"/>
        <w:ind w:left="360" w:hanging="360"/>
      </w:pPr>
      <w:r>
        <w:rPr>
          <w:rFonts w:ascii="Calibri" w:cs="Calibri" w:eastAsia="Calibri" w:hAnsi="Calibri"/>
          <w:sz w:val="22"/>
          <w:szCs w:val="22"/>
        </w:rPr>
        <w:t xml:space="preserve">[3] Chojecki, P. et al. (2025). "Self-Improving AI Agents through Self-Play." arXiv:2512.02731, </w:t>
      </w:r>
      <w:hyperlink w:history="1" r:id="rId8tqsngauekafgyf5xxsug">
        <w:r>
          <w:rPr>
            <w:rStyle w:val="Hyperlink"/>
            <w:rFonts w:ascii="Calibri" w:cs="Calibri" w:eastAsia="Calibri" w:hAnsi="Calibri"/>
            <w:sz w:val="22"/>
            <w:szCs w:val="22"/>
          </w:rPr>
          <w:t xml:space="preserve">https://arxiv.org/abs/2512.02731</w:t>
        </w:r>
      </w:hyperlink>
      <w:r>
        <w:rPr>
          <w:rFonts w:ascii="Calibri" w:cs="Calibri" w:eastAsia="Calibri" w:hAnsi="Calibri"/>
          <w:sz w:val="22"/>
          <w:szCs w:val="22"/>
        </w:rPr>
        <w:t xml:space="preserve">.</w:t>
      </w:r>
    </w:p>
    <w:p>
      <w:pPr>
        <w:spacing w:after="100" w:line="280"/>
        <w:ind w:left="360" w:hanging="360"/>
      </w:pPr>
      <w:r>
        <w:rPr>
          <w:rFonts w:ascii="Calibri" w:cs="Calibri" w:eastAsia="Calibri" w:hAnsi="Calibri"/>
          <w:sz w:val="22"/>
          <w:szCs w:val="22"/>
        </w:rPr>
        <w:t xml:space="preserve">[4] Forestano, R. T., Matchev, K. T., Matcheva, K., Roman, A., Unlu, E. B., and Verner, S. (2023). "Accelerated Discovery of Machine-Learned Symmetries: Deriving the Exceptional Lie Groups G₂, F₄ and E₆." Physics Letters B, arXiv:2307.04891, </w:t>
      </w:r>
      <w:hyperlink w:history="1" r:id="rIdf12egqjkmoago8ycqjcfi">
        <w:r>
          <w:rPr>
            <w:rStyle w:val="Hyperlink"/>
            <w:rFonts w:ascii="Calibri" w:cs="Calibri" w:eastAsia="Calibri" w:hAnsi="Calibri"/>
            <w:sz w:val="22"/>
            <w:szCs w:val="22"/>
          </w:rPr>
          <w:t xml:space="preserve">https://arxiv.org/abs/2307.04891</w:t>
        </w:r>
      </w:hyperlink>
      <w:r>
        <w:rPr>
          <w:rFonts w:ascii="Calibri" w:cs="Calibri" w:eastAsia="Calibri" w:hAnsi="Calibri"/>
          <w:sz w:val="22"/>
          <w:szCs w:val="22"/>
        </w:rPr>
        <w:t xml:space="preserve">.</w:t>
      </w:r>
    </w:p>
    <w:p>
      <w:pPr>
        <w:spacing w:after="100" w:line="280"/>
        <w:ind w:left="360" w:hanging="360"/>
      </w:pPr>
      <w:r>
        <w:rPr>
          <w:rFonts w:ascii="Calibri" w:cs="Calibri" w:eastAsia="Calibri" w:hAnsi="Calibri"/>
          <w:sz w:val="22"/>
          <w:szCs w:val="22"/>
        </w:rPr>
        <w:t xml:space="preserve">[5] Gödel, K. (1931). "Über formal unentscheidbare Sätze der Principia Mathematica und verwandter Systeme I." Monatshefte für Mathematik und Physik 38, 173–198.</w:t>
      </w:r>
    </w:p>
    <w:p>
      <w:pPr>
        <w:spacing w:after="100" w:line="280"/>
        <w:ind w:left="360" w:hanging="360"/>
      </w:pPr>
      <w:r>
        <w:rPr>
          <w:rFonts w:ascii="Calibri" w:cs="Calibri" w:eastAsia="Calibri" w:hAnsi="Calibri"/>
          <w:sz w:val="22"/>
          <w:szCs w:val="22"/>
        </w:rPr>
        <w:t xml:space="preserve">[6] Graise, M. L. (2026a). PCI Paper 1 [G₂ structure]. Zenodo. DOI:10.5281/zenodo.19242936, </w:t>
      </w:r>
      <w:hyperlink w:history="1" r:id="rIdlrdpfyj8vfucjtnx5fiph">
        <w:r>
          <w:rPr>
            <w:rStyle w:val="Hyperlink"/>
            <w:rFonts w:ascii="Calibri" w:cs="Calibri" w:eastAsia="Calibri" w:hAnsi="Calibri"/>
            <w:sz w:val="22"/>
            <w:szCs w:val="22"/>
          </w:rPr>
          <w:t xml:space="preserve">https://doi.org/10.5281/zenodo.19242936</w:t>
        </w:r>
      </w:hyperlink>
      <w:r>
        <w:rPr>
          <w:rFonts w:ascii="Calibri" w:cs="Calibri" w:eastAsia="Calibri" w:hAnsi="Calibri"/>
          <w:sz w:val="22"/>
          <w:szCs w:val="22"/>
        </w:rPr>
        <w:t xml:space="preserve">.</w:t>
      </w:r>
    </w:p>
    <w:p>
      <w:pPr>
        <w:spacing w:after="100" w:line="280"/>
        <w:ind w:left="360" w:hanging="360"/>
      </w:pPr>
      <w:r>
        <w:rPr>
          <w:rFonts w:ascii="Calibri" w:cs="Calibri" w:eastAsia="Calibri" w:hAnsi="Calibri"/>
          <w:sz w:val="22"/>
          <w:szCs w:val="22"/>
        </w:rPr>
        <w:t xml:space="preserve">[7] Graise, M. L. (2026b). PCI Paper 2 [G₂ flows]. Zenodo. DOI:10.5281/zenodo.19480758, </w:t>
      </w:r>
      <w:hyperlink w:history="1" r:id="rIdlbd1_mbid_zdds714-3du">
        <w:r>
          <w:rPr>
            <w:rStyle w:val="Hyperlink"/>
            <w:rFonts w:ascii="Calibri" w:cs="Calibri" w:eastAsia="Calibri" w:hAnsi="Calibri"/>
            <w:sz w:val="22"/>
            <w:szCs w:val="22"/>
          </w:rPr>
          <w:t xml:space="preserve">https://doi.org/10.5281/zenodo.19480758</w:t>
        </w:r>
      </w:hyperlink>
      <w:r>
        <w:rPr>
          <w:rFonts w:ascii="Calibri" w:cs="Calibri" w:eastAsia="Calibri" w:hAnsi="Calibri"/>
          <w:sz w:val="22"/>
          <w:szCs w:val="22"/>
        </w:rPr>
        <w:t xml:space="preserve">.</w:t>
      </w:r>
    </w:p>
    <w:p>
      <w:pPr>
        <w:spacing w:after="100" w:line="280"/>
        <w:ind w:left="360" w:hanging="360"/>
      </w:pPr>
      <w:r>
        <w:rPr>
          <w:rFonts w:ascii="Calibri" w:cs="Calibri" w:eastAsia="Calibri" w:hAnsi="Calibri"/>
          <w:sz w:val="22"/>
          <w:szCs w:val="22"/>
        </w:rPr>
        <w:t xml:space="preserve">[8] Graise, M. L. (2026c). PCI Paper 3 [Spectral sum theorem]. Zenodo. DOI:10.5281/zenodo.19602470, </w:t>
      </w:r>
      <w:hyperlink w:history="1" r:id="rIddwsma9dhjoa-mxfsap1si">
        <w:r>
          <w:rPr>
            <w:rStyle w:val="Hyperlink"/>
            <w:rFonts w:ascii="Calibri" w:cs="Calibri" w:eastAsia="Calibri" w:hAnsi="Calibri"/>
            <w:sz w:val="22"/>
            <w:szCs w:val="22"/>
          </w:rPr>
          <w:t xml:space="preserve">https://doi.org/10.5281/zenodo.19602470</w:t>
        </w:r>
      </w:hyperlink>
      <w:r>
        <w:rPr>
          <w:rFonts w:ascii="Calibri" w:cs="Calibri" w:eastAsia="Calibri" w:hAnsi="Calibri"/>
          <w:sz w:val="22"/>
          <w:szCs w:val="22"/>
        </w:rPr>
        <w:t xml:space="preserve">.</w:t>
      </w:r>
    </w:p>
    <w:p>
      <w:pPr>
        <w:spacing w:after="100" w:line="280"/>
        <w:ind w:left="360" w:hanging="360"/>
      </w:pPr>
      <w:r>
        <w:rPr>
          <w:rFonts w:ascii="Calibri" w:cs="Calibri" w:eastAsia="Calibri" w:hAnsi="Calibri"/>
          <w:sz w:val="22"/>
          <w:szCs w:val="22"/>
        </w:rPr>
        <w:t xml:space="preserve">[9] Graise, M. L. (2026d). PCI Paper 4 [QBism bridge]. Zenodo. DOI:10.5281/zenodo.19617662, </w:t>
      </w:r>
      <w:hyperlink w:history="1" r:id="rIdynwj1dqqnoz7syxp6uxyb">
        <w:r>
          <w:rPr>
            <w:rStyle w:val="Hyperlink"/>
            <w:rFonts w:ascii="Calibri" w:cs="Calibri" w:eastAsia="Calibri" w:hAnsi="Calibri"/>
            <w:sz w:val="22"/>
            <w:szCs w:val="22"/>
          </w:rPr>
          <w:t xml:space="preserve">https://doi.org/10.5281/zenodo.19617662</w:t>
        </w:r>
      </w:hyperlink>
      <w:r>
        <w:rPr>
          <w:rFonts w:ascii="Calibri" w:cs="Calibri" w:eastAsia="Calibri" w:hAnsi="Calibri"/>
          <w:sz w:val="22"/>
          <w:szCs w:val="22"/>
        </w:rPr>
        <w:t xml:space="preserve">.</w:t>
      </w:r>
    </w:p>
    <w:p>
      <w:pPr>
        <w:spacing w:after="100" w:line="280"/>
        <w:ind w:left="360" w:hanging="360"/>
      </w:pPr>
      <w:r>
        <w:rPr>
          <w:rFonts w:ascii="Calibri" w:cs="Calibri" w:eastAsia="Calibri" w:hAnsi="Calibri"/>
          <w:sz w:val="22"/>
          <w:szCs w:val="22"/>
        </w:rPr>
        <w:t xml:space="preserve">[10] Graise, M. L. (2026e). PCI Paper 5 [Cell cycle]. Zenodo. DOI:10.5281/zenodo.19648892, </w:t>
      </w:r>
      <w:hyperlink w:history="1" r:id="rIdbvy3azreonvzn2uj7vdm0">
        <w:r>
          <w:rPr>
            <w:rStyle w:val="Hyperlink"/>
            <w:rFonts w:ascii="Calibri" w:cs="Calibri" w:eastAsia="Calibri" w:hAnsi="Calibri"/>
            <w:sz w:val="22"/>
            <w:szCs w:val="22"/>
          </w:rPr>
          <w:t xml:space="preserve">https://doi.org/10.5281/zenodo.19648892</w:t>
        </w:r>
      </w:hyperlink>
      <w:r>
        <w:rPr>
          <w:rFonts w:ascii="Calibri" w:cs="Calibri" w:eastAsia="Calibri" w:hAnsi="Calibri"/>
          <w:sz w:val="22"/>
          <w:szCs w:val="22"/>
        </w:rPr>
        <w:t xml:space="preserve">.</w:t>
      </w:r>
    </w:p>
    <w:p>
      <w:pPr>
        <w:spacing w:after="100" w:line="280"/>
        <w:ind w:left="360" w:hanging="360"/>
      </w:pPr>
      <w:r>
        <w:rPr>
          <w:rFonts w:ascii="Calibri" w:cs="Calibri" w:eastAsia="Calibri" w:hAnsi="Calibri"/>
          <w:sz w:val="22"/>
          <w:szCs w:val="22"/>
        </w:rPr>
        <w:t xml:space="preserve">[11] Hurwitz, A. (1898). "Über die Composition der quadratischen Formen von beliebig vielen Variablen." Mathematische Annalen 88, 1–25.</w:t>
      </w:r>
    </w:p>
    <w:p>
      <w:pPr>
        <w:spacing w:after="100" w:line="280"/>
        <w:ind w:left="360" w:hanging="360"/>
      </w:pPr>
      <w:r>
        <w:rPr>
          <w:rFonts w:ascii="Calibri" w:cs="Calibri" w:eastAsia="Calibri" w:hAnsi="Calibri"/>
          <w:sz w:val="22"/>
          <w:szCs w:val="22"/>
        </w:rPr>
        <w:t xml:space="preserve">[12] Lawvere, F. W. (1969). "Diagonal arguments and Cartesian closed categories." In Category Theory, Homology Theory and their Applications II, Lecture Notes in Mathematics 92, Springer, 134–145.</w:t>
      </w:r>
    </w:p>
    <w:p>
      <w:pPr>
        <w:spacing w:after="100" w:line="280"/>
        <w:ind w:left="360" w:hanging="360"/>
      </w:pPr>
      <w:r>
        <w:rPr>
          <w:rFonts w:ascii="Calibri" w:cs="Calibri" w:eastAsia="Calibri" w:hAnsi="Calibri"/>
          <w:sz w:val="22"/>
          <w:szCs w:val="22"/>
        </w:rPr>
        <w:t xml:space="preserve">[13] Li, Y., Cao, W., and Li, H. (2023). "Octonion-valued Hopfield neural networks with high memory-storage capacity. Preprint."</w:t>
      </w:r>
    </w:p>
    <w:p>
      <w:pPr>
        <w:spacing w:after="100" w:line="280"/>
        <w:ind w:left="360" w:hanging="360"/>
      </w:pPr>
      <w:r>
        <w:rPr>
          <w:rFonts w:ascii="Calibri" w:cs="Calibri" w:eastAsia="Calibri" w:hAnsi="Calibri"/>
          <w:sz w:val="22"/>
          <w:szCs w:val="22"/>
        </w:rPr>
        <w:t xml:space="preserve">[14] Lotay, J. D. and Wei, Y. (2019). "Stability of torsion-free G₂ structures along the Laplacian flow." Journal of Differential Geometry 111(3), 495–526.</w:t>
      </w:r>
    </w:p>
    <w:p>
      <w:pPr>
        <w:spacing w:after="100" w:line="280"/>
        <w:ind w:left="360" w:hanging="360"/>
      </w:pPr>
      <w:r>
        <w:rPr>
          <w:rFonts w:ascii="Calibri" w:cs="Calibri" w:eastAsia="Calibri" w:hAnsi="Calibri"/>
          <w:sz w:val="22"/>
          <w:szCs w:val="22"/>
        </w:rPr>
        <w:t xml:space="preserve">[15] Schmidhuber, J. (2003). "Gödel Machines: Fully Self-Referential Optimal Universal Self-Improvers." arXiv:cs/0309048, </w:t>
      </w:r>
      <w:hyperlink w:history="1" r:id="rIdb5oc6g9u1vzuzp3sgh150">
        <w:r>
          <w:rPr>
            <w:rStyle w:val="Hyperlink"/>
            <w:rFonts w:ascii="Calibri" w:cs="Calibri" w:eastAsia="Calibri" w:hAnsi="Calibri"/>
            <w:sz w:val="22"/>
            <w:szCs w:val="22"/>
          </w:rPr>
          <w:t xml:space="preserve">https://arxiv.org/abs/cs/0309048</w:t>
        </w:r>
      </w:hyperlink>
      <w:r>
        <w:rPr>
          <w:rFonts w:ascii="Calibri" w:cs="Calibri" w:eastAsia="Calibri" w:hAnsi="Calibri"/>
          <w:sz w:val="22"/>
          <w:szCs w:val="22"/>
        </w:rPr>
        <w:t xml:space="preserve">.</w:t>
      </w:r>
    </w:p>
    <w:p>
      <w:pPr>
        <w:spacing w:after="100" w:line="280"/>
        <w:ind w:left="360" w:hanging="360"/>
      </w:pPr>
      <w:r>
        <w:rPr>
          <w:rFonts w:ascii="Calibri" w:cs="Calibri" w:eastAsia="Calibri" w:hAnsi="Calibri"/>
          <w:sz w:val="22"/>
          <w:szCs w:val="22"/>
        </w:rPr>
        <w:t xml:space="preserve">[16] Yampolskiy, R. V. (2015). "From Seed AI to Technological Singularity via Recursively Self-Improving Software." arXiv:1502.06512, </w:t>
      </w:r>
      <w:hyperlink w:history="1" r:id="rIdkgnghilnm0xz7cfpl8-ew">
        <w:r>
          <w:rPr>
            <w:rStyle w:val="Hyperlink"/>
            <w:rFonts w:ascii="Calibri" w:cs="Calibri" w:eastAsia="Calibri" w:hAnsi="Calibri"/>
            <w:sz w:val="22"/>
            <w:szCs w:val="22"/>
          </w:rPr>
          <w:t xml:space="preserve">https://arxiv.org/abs/1502.06512</w:t>
        </w:r>
      </w:hyperlink>
      <w:r>
        <w:rPr>
          <w:rFonts w:ascii="Calibri" w:cs="Calibri" w:eastAsia="Calibri" w:hAnsi="Calibri"/>
          <w:sz w:val="22"/>
          <w:szCs w:val="22"/>
        </w:rPr>
        <w:t xml:space="preserve">.</w:t>
      </w:r>
    </w:p>
    <w:p>
      <w:pPr>
        <w:spacing w:after="100" w:line="280"/>
        <w:ind w:left="360" w:hanging="360"/>
      </w:pPr>
      <w:r>
        <w:rPr>
          <w:rFonts w:ascii="Calibri" w:cs="Calibri" w:eastAsia="Calibri" w:hAnsi="Calibri"/>
          <w:sz w:val="22"/>
          <w:szCs w:val="22"/>
        </w:rPr>
        <w:t xml:space="preserve">[17] Yanofsky, N. S. (2003). "A Universal Approach to Self-Referential Paradoxes, Incompleteness and Fixed Points." Bulletin of Symbolic Logic 9(3), 362–386.</w:t>
      </w:r>
    </w:p>
    <w:p>
      <w:pPr>
        <w:spacing w:after="100" w:line="280"/>
        <w:ind w:left="360" w:hanging="360"/>
      </w:pPr>
      <w:r>
        <w:rPr>
          <w:rFonts w:ascii="Calibri" w:cs="Calibri" w:eastAsia="Calibri" w:hAnsi="Calibri"/>
          <w:sz w:val="22"/>
          <w:szCs w:val="22"/>
        </w:rPr>
        <w:t xml:space="preserve">[18] Alpay, F. (2025). "Alpay Algebra VI: Transfinite Fixed Points in Self-Referential Semantic Spaces." Preprints.org. DOI:10.20944/preprints202506.2400, </w:t>
      </w:r>
      <w:hyperlink w:history="1" r:id="rId4pjqehf0vbqv1hclsnvcw">
        <w:r>
          <w:rPr>
            <w:rStyle w:val="Hyperlink"/>
            <w:rFonts w:ascii="Calibri" w:cs="Calibri" w:eastAsia="Calibri" w:hAnsi="Calibri"/>
            <w:sz w:val="22"/>
            <w:szCs w:val="22"/>
          </w:rPr>
          <w:t xml:space="preserve">https://doi.org/10.20944/preprints202506.2400</w:t>
        </w:r>
      </w:hyperlink>
      <w:r>
        <w:rPr>
          <w:rFonts w:ascii="Calibri" w:cs="Calibri" w:eastAsia="Calibri" w:hAnsi="Calibri"/>
          <w:sz w:val="22"/>
          <w:szCs w:val="22"/>
        </w:rPr>
        <w:t xml:space="preserve">.</w:t>
      </w:r>
    </w:p>
    <w:p>
      <w:pPr>
        <w:spacing w:after="100" w:line="280"/>
        <w:ind w:left="360" w:hanging="360"/>
      </w:pPr>
      <w:r>
        <w:rPr>
          <w:rFonts w:ascii="Calibri" w:cs="Calibri" w:eastAsia="Calibri" w:hAnsi="Calibri"/>
          <w:sz w:val="22"/>
          <w:szCs w:val="22"/>
        </w:rPr>
        <w:t xml:space="preserve">[19] Oizumi, M., Lim, S., and Kanai, R. (2025). "Principal Bundle Geometry of Qualia." PsyArXiv, DOI:10.31234/osf.io/agupq, </w:t>
      </w:r>
      <w:hyperlink w:history="1" r:id="rIdc8g1lcrvgnrawwqcufh59">
        <w:r>
          <w:rPr>
            <w:rStyle w:val="Hyperlink"/>
            <w:rFonts w:ascii="Calibri" w:cs="Calibri" w:eastAsia="Calibri" w:hAnsi="Calibri"/>
            <w:sz w:val="22"/>
            <w:szCs w:val="22"/>
          </w:rPr>
          <w:t xml:space="preserve">https://doi.org/10.31234/osf.io/agupq</w:t>
        </w:r>
      </w:hyperlink>
      <w:r>
        <w:rPr>
          <w:rFonts w:ascii="Calibri" w:cs="Calibri" w:eastAsia="Calibri" w:hAnsi="Calibri"/>
          <w:sz w:val="22"/>
          <w:szCs w:val="22"/>
        </w:rPr>
        <w:t xml:space="preserve">.</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0"/>
        <w:szCs w:val="20"/>
      </w:rPr>
      <w:t xml:space="preserve">Page </w:t>
    </w:r>
    <w:r>
      <w:rPr>
        <w:rFonts w:ascii="Calibri" w:cs="Calibri" w:eastAsia="Calibri" w:hAnsi="Calibri"/>
        <w:sz w:val="20"/>
        <w:szCs w:val="20"/>
      </w:rPr>
      <w:fldChar w:fldCharType="begin"/>
      <w:instrText xml:space="preserve">PAGE</w:instrText>
      <w:fldChar w:fldCharType="separate"/>
      <w:fldChar w:fldCharType="end"/>
    </w:r>
    <w:r>
      <w:rPr>
        <w:rFonts w:ascii="Calibri" w:cs="Calibri" w:eastAsia="Calibri" w:hAnsi="Calibri"/>
        <w:sz w:val="20"/>
        <w:szCs w:val="20"/>
      </w:rPr>
      <w:t xml:space="preserve"> of </w:t>
    </w:r>
    <w:r>
      <w:rPr>
        <w:rFonts w:ascii="Calibri" w:cs="Calibri" w:eastAsia="Calibri" w:hAnsi="Calibri"/>
        <w:sz w:val="20"/>
        <w:szCs w:val="20"/>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Calibri" w:cs="Calibri" w:eastAsia="Calibri" w:hAnsi="Calibri"/>
          <w:sz w:val="20"/>
          <w:szCs w:val="20"/>
        </w:rPr>
        <w:t xml:space="preserve">Throughout this paper, "PCI" denotes </w:t>
      </w:r>
      <w:r>
        <w:rPr>
          <w:rFonts w:ascii="Calibri" w:cs="Calibri" w:eastAsia="Calibri" w:hAnsi="Calibri"/>
          <w:i/>
          <w:iCs/>
          <w:sz w:val="20"/>
          <w:szCs w:val="20"/>
        </w:rPr>
        <w:t xml:space="preserve">Patterned Coherence through Irreducibility</w:t>
      </w:r>
      <w:r>
        <w:rPr>
          <w:rFonts w:ascii="Calibri" w:cs="Calibri" w:eastAsia="Calibri" w:hAnsi="Calibri"/>
          <w:sz w:val="20"/>
          <w:szCs w:val="20"/>
        </w:rPr>
        <w:t xml:space="preserve"> (the author’s framework). This is distinct from the </w:t>
      </w:r>
      <w:r>
        <w:rPr>
          <w:rFonts w:ascii="Calibri" w:cs="Calibri" w:eastAsia="Calibri" w:hAnsi="Calibri"/>
          <w:i/>
          <w:iCs/>
          <w:sz w:val="20"/>
          <w:szCs w:val="20"/>
        </w:rPr>
        <w:t xml:space="preserve">Perturbational Complexity Index</w:t>
      </w:r>
      <w:r>
        <w:rPr>
          <w:rFonts w:ascii="Calibri" w:cs="Calibri" w:eastAsia="Calibri" w:hAnsi="Calibri"/>
          <w:sz w:val="20"/>
          <w:szCs w:val="20"/>
        </w:rPr>
        <w:t xml:space="preserve"> of Casali et al. (2013), used in clinical consciousness research.</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20"/>
        <w:szCs w:val="20"/>
      </w:rPr>
      <w:t xml:space="preserve">The 6/7 Contraction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cql7d7u9pbfaig-eimuid" Type="http://schemas.openxmlformats.org/officeDocument/2006/relationships/hyperlink" Target="mailto:margraise1000@icloud.com" TargetMode="External"/><Relationship Id="rIdjbihajq86fpmxeavo3b7h" Type="http://schemas.openxmlformats.org/officeDocument/2006/relationships/hyperlink" Target="https://orcid.org/0009-0006-8003-3938" TargetMode="External"/><Relationship Id="rIdt1q_afwn-rg1w-0ni6rx2" Type="http://schemas.openxmlformats.org/officeDocument/2006/relationships/hyperlink" Target="https://github.com/MartinLGraise/PCI-Framework" TargetMode="External"/><Relationship Id="rIdppfbswy4lkdmrkwftrynq" Type="http://schemas.openxmlformats.org/officeDocument/2006/relationships/hyperlink" Target="http://philsci-archive.pitt.edu/19311/" TargetMode="External"/><Relationship Id="rId8tqsngauekafgyf5xxsug" Type="http://schemas.openxmlformats.org/officeDocument/2006/relationships/hyperlink" Target="https://arxiv.org/abs/2512.02731" TargetMode="External"/><Relationship Id="rIdf12egqjkmoago8ycqjcfi" Type="http://schemas.openxmlformats.org/officeDocument/2006/relationships/hyperlink" Target="https://arxiv.org/abs/2307.04891" TargetMode="External"/><Relationship Id="rIdlrdpfyj8vfucjtnx5fiph" Type="http://schemas.openxmlformats.org/officeDocument/2006/relationships/hyperlink" Target="https://doi.org/10.5281/zenodo.19242936" TargetMode="External"/><Relationship Id="rIdlbd1_mbid_zdds714-3du" Type="http://schemas.openxmlformats.org/officeDocument/2006/relationships/hyperlink" Target="https://doi.org/10.5281/zenodo.19480758" TargetMode="External"/><Relationship Id="rIddwsma9dhjoa-mxfsap1si" Type="http://schemas.openxmlformats.org/officeDocument/2006/relationships/hyperlink" Target="https://doi.org/10.5281/zenodo.19602470" TargetMode="External"/><Relationship Id="rIdynwj1dqqnoz7syxp6uxyb" Type="http://schemas.openxmlformats.org/officeDocument/2006/relationships/hyperlink" Target="https://doi.org/10.5281/zenodo.19617662" TargetMode="External"/><Relationship Id="rIdbvy3azreonvzn2uj7vdm0" Type="http://schemas.openxmlformats.org/officeDocument/2006/relationships/hyperlink" Target="https://doi.org/10.5281/zenodo.19648892" TargetMode="External"/><Relationship Id="rIdb5oc6g9u1vzuzp3sgh150" Type="http://schemas.openxmlformats.org/officeDocument/2006/relationships/hyperlink" Target="https://arxiv.org/abs/cs/0309048" TargetMode="External"/><Relationship Id="rIdkgnghilnm0xz7cfpl8-ew" Type="http://schemas.openxmlformats.org/officeDocument/2006/relationships/hyperlink" Target="https://arxiv.org/abs/1502.06512" TargetMode="External"/><Relationship Id="rId4pjqehf0vbqv1hclsnvcw" Type="http://schemas.openxmlformats.org/officeDocument/2006/relationships/hyperlink" Target="https://doi.org/10.20944/preprints202506.2400" TargetMode="External"/><Relationship Id="rIdc8g1lcrvgnrawwqcufh59" Type="http://schemas.openxmlformats.org/officeDocument/2006/relationships/hyperlink" Target="https://doi.org/10.31234/osf.io/agupq"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6/7 Contraction: Why Self-Referential Systems Converge to G2</dc:title>
  <dc:creator>Martin Luther Graise</dc:creator>
  <cp:lastModifiedBy>Un-named</cp:lastModifiedBy>
  <cp:revision>1</cp:revision>
  <dcterms:created xsi:type="dcterms:W3CDTF">2026-04-19T19:57:32.436Z</dcterms:created>
  <dcterms:modified xsi:type="dcterms:W3CDTF">2026-04-19T19:57:32.436Z</dcterms:modified>
</cp:coreProperties>
</file>

<file path=docProps/custom.xml><?xml version="1.0" encoding="utf-8"?>
<Properties xmlns="http://schemas.openxmlformats.org/officeDocument/2006/custom-properties" xmlns:vt="http://schemas.openxmlformats.org/officeDocument/2006/docPropsVTypes"/>
</file>