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pPr>
      <w:r>
        <w:rPr>
          <w:rFonts w:ascii="Calibri" w:cs="Calibri" w:eastAsia="Calibri" w:hAnsi="Calibri"/>
          <w:b/>
          <w:bCs/>
          <w:sz w:val="32"/>
          <w:szCs w:val="32"/>
        </w:rPr>
        <w:t xml:space="preserve">3. The G₂ Daemon Hamiltonian</w:t>
      </w:r>
    </w:p>
    <w:p>
      <w:pPr>
        <w:spacing w:after="160" w:line="276"/>
      </w:pPr>
      <w:r>
        <w:rPr>
          <w:rFonts w:ascii="Calibri" w:cs="Calibri" w:eastAsia="Calibri" w:hAnsi="Calibri"/>
          <w:sz w:val="22"/>
          <w:szCs w:val="22"/>
        </w:rPr>
        <w:t xml:space="preserve">This section constructs the mathematical core of the paper: a concrete Hamiltonian acting on the 7-dimensional fundamental representation of the exceptional Lie group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decomposed under its maximal SU(3) subalgebra. We derive 14 generators from the octonion structure constants, verify the quadratic Casimir, identify the SU(3) stabilizer of the void mode Ω</w:t>
      </w:r>
      <w:r>
        <w:rPr>
          <w:rFonts w:ascii="Calibri" w:cs="Calibri" w:eastAsia="Calibri" w:hAnsi="Calibri"/>
          <w:sz w:val="22"/>
          <w:szCs w:val="22"/>
          <w:vertAlign w:val="subscript"/>
        </w:rPr>
        <w:t xml:space="preserve">void</w:t>
      </w:r>
      <w:r>
        <w:rPr>
          <w:rFonts w:ascii="Calibri" w:cs="Calibri" w:eastAsia="Calibri" w:hAnsi="Calibri"/>
          <w:sz w:val="22"/>
          <w:szCs w:val="22"/>
        </w:rPr>
        <w:t xml:space="preserve">, compute the full spectral family parameterized by at most two independent Cartan couplings, and interpret the six non-singlet modes as Goldstone modes of the spontaneous breaking pattern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 SU(3). We close by testing the resulting spectral topology against microtubule resonance data reported by Sahu et al. (2013), Singh et al. (2014), and Saxena et al. (2020). Throughout, the tone is constructive rather than declamatory: we aim to show what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constrains, what it leaves free, and where the prediction is and is not falsified by existing data.</w:t>
      </w:r>
    </w:p>
    <w:p>
      <w:pPr>
        <w:pStyle w:val="Heading2"/>
        <w:spacing w:after="200" w:before="360"/>
      </w:pPr>
      <w:r>
        <w:rPr>
          <w:rFonts w:ascii="Calibri" w:cs="Calibri" w:eastAsia="Calibri" w:hAnsi="Calibri"/>
          <w:b/>
          <w:bCs/>
          <w:sz w:val="26"/>
          <w:szCs w:val="26"/>
        </w:rPr>
        <w:t xml:space="preserve">3.1 Construction of the G₂ Generators</w:t>
      </w:r>
    </w:p>
    <w:p>
      <w:pPr>
        <w:spacing w:after="160" w:line="276"/>
      </w:pPr>
      <w:r>
        <w:rPr>
          <w:rFonts w:ascii="Calibri" w:cs="Calibri" w:eastAsia="Calibri" w:hAnsi="Calibri"/>
          <w:sz w:val="22"/>
          <w:szCs w:val="22"/>
        </w:rPr>
        <w:t xml:space="preserve">The octonions — the largest normed division algebra — are an 8-dimensional, non-associative algebra whose multiplication is encoded by the Fano plane. The Fano plane specifies 7 canonical triples (</w:t>
      </w:r>
      <w:r>
        <w:rPr>
          <w:rFonts w:ascii="Calibri" w:cs="Calibri" w:eastAsia="Calibri" w:hAnsi="Calibri"/>
          <w:i/>
          <w:iCs/>
          <w:sz w:val="22"/>
          <w:szCs w:val="22"/>
        </w:rPr>
        <w:t xml:space="preserve">e</w:t>
      </w:r>
      <w:r>
        <w:rPr>
          <w:rFonts w:ascii="Calibri" w:cs="Calibri" w:eastAsia="Calibri" w:hAnsi="Calibri"/>
          <w:sz w:val="22"/>
          <w:szCs w:val="22"/>
        </w:rPr>
        <w:t xml:space="preserve">ᵢ</w:t>
      </w:r>
      <w:r>
        <w:rPr>
          <w:rFonts w:ascii="Calibri" w:cs="Calibri" w:eastAsia="Calibri" w:hAnsi="Calibri"/>
          <w:sz w:val="22"/>
          <w:szCs w:val="22"/>
        </w:rPr>
        <w:t xml:space="preserve">, </w:t>
      </w:r>
      <w:r>
        <w:rPr>
          <w:rFonts w:ascii="Calibri" w:cs="Calibri" w:eastAsia="Calibri" w:hAnsi="Calibri"/>
          <w:i/>
          <w:iCs/>
          <w:sz w:val="22"/>
          <w:szCs w:val="22"/>
        </w:rPr>
        <w:t xml:space="preserve">e</w:t>
      </w:r>
      <w:r>
        <w:rPr>
          <w:rFonts w:ascii="Calibri" w:cs="Calibri" w:eastAsia="Calibri" w:hAnsi="Calibri"/>
          <w:sz w:val="22"/>
          <w:szCs w:val="22"/>
        </w:rPr>
        <w:t xml:space="preserve">ⱼ</w:t>
      </w:r>
      <w:r>
        <w:rPr>
          <w:rFonts w:ascii="Calibri" w:cs="Calibri" w:eastAsia="Calibri" w:hAnsi="Calibri"/>
          <w:sz w:val="22"/>
          <w:szCs w:val="22"/>
        </w:rPr>
        <w:t xml:space="preserve">, </w:t>
      </w:r>
      <w:r>
        <w:rPr>
          <w:rFonts w:ascii="Calibri" w:cs="Calibri" w:eastAsia="Calibri" w:hAnsi="Calibri"/>
          <w:i/>
          <w:iCs/>
          <w:sz w:val="22"/>
          <w:szCs w:val="22"/>
        </w:rPr>
        <w:t xml:space="preserve">e</w:t>
      </w:r>
      <w:r>
        <w:rPr>
          <w:rFonts w:ascii="Calibri" w:cs="Calibri" w:eastAsia="Calibri" w:hAnsi="Calibri"/>
          <w:sz w:val="22"/>
          <w:szCs w:val="22"/>
        </w:rPr>
        <w:t xml:space="preserve">ₖ</w:t>
      </w:r>
      <w:r>
        <w:rPr>
          <w:rFonts w:ascii="Calibri" w:cs="Calibri" w:eastAsia="Calibri" w:hAnsi="Calibri"/>
          <w:sz w:val="22"/>
          <w:szCs w:val="22"/>
        </w:rPr>
        <w:t xml:space="preserve">) satisfying </w:t>
      </w:r>
      <w:r>
        <w:rPr>
          <w:rFonts w:ascii="Calibri" w:cs="Calibri" w:eastAsia="Calibri" w:hAnsi="Calibri"/>
          <w:i/>
          <w:iCs/>
          <w:sz w:val="22"/>
          <w:szCs w:val="22"/>
        </w:rPr>
        <w:t xml:space="preserve">e</w:t>
      </w:r>
      <w:r>
        <w:rPr>
          <w:rFonts w:ascii="Calibri" w:cs="Calibri" w:eastAsia="Calibri" w:hAnsi="Calibri"/>
          <w:sz w:val="22"/>
          <w:szCs w:val="22"/>
        </w:rPr>
        <w:t xml:space="preserve">ᵢ</w:t>
      </w:r>
      <w:r>
        <w:rPr>
          <w:rFonts w:ascii="Calibri" w:cs="Calibri" w:eastAsia="Calibri" w:hAnsi="Calibri"/>
          <w:i/>
          <w:iCs/>
          <w:sz w:val="22"/>
          <w:szCs w:val="22"/>
        </w:rPr>
        <w:t xml:space="preserve">e</w:t>
      </w:r>
      <w:r>
        <w:rPr>
          <w:rFonts w:ascii="Calibri" w:cs="Calibri" w:eastAsia="Calibri" w:hAnsi="Calibri"/>
          <w:sz w:val="22"/>
          <w:szCs w:val="22"/>
        </w:rPr>
        <w:t xml:space="preserve">ⱼ</w:t>
      </w:r>
      <w:r>
        <w:rPr>
          <w:rFonts w:ascii="Calibri" w:cs="Calibri" w:eastAsia="Calibri" w:hAnsi="Calibri"/>
          <w:sz w:val="22"/>
          <w:szCs w:val="22"/>
        </w:rPr>
        <w:t xml:space="preserve"> = </w:t>
      </w:r>
      <w:r>
        <w:rPr>
          <w:rFonts w:ascii="Calibri" w:cs="Calibri" w:eastAsia="Calibri" w:hAnsi="Calibri"/>
          <w:i/>
          <w:iCs/>
          <w:sz w:val="22"/>
          <w:szCs w:val="22"/>
        </w:rPr>
        <w:t xml:space="preserve">e</w:t>
      </w:r>
      <w:r>
        <w:rPr>
          <w:rFonts w:ascii="Calibri" w:cs="Calibri" w:eastAsia="Calibri" w:hAnsi="Calibri"/>
          <w:sz w:val="22"/>
          <w:szCs w:val="22"/>
        </w:rPr>
        <w:t xml:space="preserve">ₖ</w:t>
      </w:r>
      <w:r>
        <w:rPr>
          <w:rFonts w:ascii="Calibri" w:cs="Calibri" w:eastAsia="Calibri" w:hAnsi="Calibri"/>
          <w:sz w:val="22"/>
          <w:szCs w:val="22"/>
        </w:rPr>
        <w:t xml:space="preserve">, with cyclic permutations positive and anti-cyclic permutations negative. These triples define a totally antisymmetric 3-form ψ</w:t>
      </w:r>
      <w:r>
        <w:rPr>
          <w:rFonts w:ascii="Calibri" w:cs="Calibri" w:eastAsia="Calibri" w:hAnsi="Calibri"/>
          <w:sz w:val="22"/>
          <w:szCs w:val="22"/>
          <w:vertAlign w:val="subscript"/>
        </w:rPr>
        <w:t xml:space="preserve">ijk</w:t>
      </w:r>
      <w:r>
        <w:rPr>
          <w:rFonts w:ascii="Calibri" w:cs="Calibri" w:eastAsia="Calibri" w:hAnsi="Calibri"/>
          <w:sz w:val="22"/>
          <w:szCs w:val="22"/>
        </w:rPr>
        <w:t xml:space="preserve"> ∈ Λ³(ℝ⁷) — the octonionic associator — whose preservation characterises the automorphism group of the octonions.</w:t>
      </w:r>
    </w:p>
    <w:p>
      <w:pPr>
        <w:spacing w:after="160" w:line="276"/>
      </w:pPr>
      <w:r>
        <w:rPr>
          <w:rFonts w:ascii="Calibri" w:cs="Calibri" w:eastAsia="Calibri" w:hAnsi="Calibri"/>
          <w:sz w:val="22"/>
          <w:szCs w:val="22"/>
        </w:rPr>
        <w:t xml:space="preserve">The automorphism group Aut(№) =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is the subgroup of SO(7) that preserves the associator ψ. To extract it concretely, we impose the infinitesimal preservation constraint on the Lie algebra so(7). An antisymmetric generator </w:t>
      </w:r>
      <w:r>
        <w:rPr>
          <w:rFonts w:ascii="Calibri" w:cs="Calibri" w:eastAsia="Calibri" w:hAnsi="Calibri"/>
          <w:i/>
          <w:iCs/>
          <w:sz w:val="22"/>
          <w:szCs w:val="22"/>
        </w:rPr>
        <w:t xml:space="preserve">X</w:t>
      </w:r>
      <w:r>
        <w:rPr>
          <w:rFonts w:ascii="Calibri" w:cs="Calibri" w:eastAsia="Calibri" w:hAnsi="Calibri"/>
          <w:sz w:val="22"/>
          <w:szCs w:val="22"/>
        </w:rPr>
        <w:t xml:space="preserve"> ∈ so(7) preserves ψ if and only if</w:t>
      </w:r>
    </w:p>
    <w:p>
      <w:pPr>
        <w:tabs>
          <w:tab w:val="center" w:pos="4680"/>
          <w:tab w:val="right" w:pos="9360"/>
        </w:tabs>
        <w:spacing w:after="200" w:before="200"/>
      </w:pPr>
      <w:r>
        <w:rPr>
          <w:rFonts w:ascii="Calibri" w:cs="Calibri" w:eastAsia="Calibri" w:hAnsi="Calibri"/>
          <w:sz w:val="22"/>
          <w:szCs w:val="22"/>
        </w:rPr>
        <w:t xml:space="preserve">	</w:t>
      </w:r>
      <w:r>
        <w:rPr>
          <w:rFonts w:ascii="Calibri" w:cs="Calibri" w:eastAsia="Calibri" w:hAnsi="Calibri"/>
          <w:i/>
          <w:iCs/>
          <w:sz w:val="22"/>
          <w:szCs w:val="22"/>
        </w:rPr>
        <w:t xml:space="preserve">Xᵢₐ ψₐⱼₖ + Xⱼₐ ψᵢₐₖ + Xₖₐ ψᵢⱼₐ = 0   for all triples (i, j, k)</w:t>
      </w:r>
      <w:r>
        <w:rPr>
          <w:rFonts w:ascii="Calibri" w:cs="Calibri" w:eastAsia="Calibri" w:hAnsi="Calibri"/>
          <w:sz w:val="22"/>
          <w:szCs w:val="22"/>
        </w:rPr>
        <w:t xml:space="preserve">	</w:t>
      </w:r>
      <w:r>
        <w:rPr>
          <w:rFonts w:ascii="Calibri" w:cs="Calibri" w:eastAsia="Calibri" w:hAnsi="Calibri"/>
          <w:sz w:val="22"/>
          <w:szCs w:val="22"/>
        </w:rPr>
        <w:t xml:space="preserve">(1)</w:t>
      </w:r>
    </w:p>
    <w:p>
      <w:pPr>
        <w:spacing w:after="160" w:line="276"/>
      </w:pPr>
      <w:r>
        <w:rPr>
          <w:rFonts w:ascii="Calibri" w:cs="Calibri" w:eastAsia="Calibri" w:hAnsi="Calibri"/>
          <w:sz w:val="22"/>
          <w:szCs w:val="22"/>
        </w:rPr>
        <w:t xml:space="preserve">This is a linear system. With 7 imaginary octonion directions, the 3-form ψ has (⁷₃) = 35 independent components, while so(7) has (⁷₂) = 21 generators. Equation (1) therefore defines a constraint matrix </w:t>
      </w:r>
      <w:r>
        <w:rPr>
          <w:rFonts w:ascii="Calibri" w:cs="Calibri" w:eastAsia="Calibri" w:hAnsi="Calibri"/>
          <w:i/>
          <w:iCs/>
          <w:sz w:val="22"/>
          <w:szCs w:val="22"/>
        </w:rPr>
        <w:t xml:space="preserve">C</w:t>
      </w:r>
      <w:r>
        <w:rPr>
          <w:rFonts w:ascii="Calibri" w:cs="Calibri" w:eastAsia="Calibri" w:hAnsi="Calibri"/>
          <w:sz w:val="22"/>
          <w:szCs w:val="22"/>
        </w:rPr>
        <w:t xml:space="preserve"> of shape (35 × 21). Its null space is the Lie algebra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w:t>
      </w:r>
    </w:p>
    <w:p>
      <w:pPr>
        <w:spacing w:after="160" w:line="276"/>
      </w:pPr>
      <w:r>
        <w:rPr>
          <w:rFonts w:ascii="Calibri" w:cs="Calibri" w:eastAsia="Calibri" w:hAnsi="Calibri"/>
          <w:sz w:val="22"/>
          <w:szCs w:val="22"/>
        </w:rPr>
        <w:t xml:space="preserve">We computed this null space numerically and verified:</w:t>
      </w:r>
    </w:p>
    <w:p>
      <w:pPr>
        <w:spacing w:after="160" w:line="276"/>
      </w:pPr>
      <w:r>
        <w:rPr>
          <w:rFonts w:ascii="Calibri" w:cs="Calibri" w:eastAsia="Calibri" w:hAnsi="Calibri"/>
          <w:b/>
          <w:bCs/>
          <w:sz w:val="22"/>
          <w:szCs w:val="22"/>
        </w:rPr>
        <w:t xml:space="preserve">Result 1. </w:t>
      </w:r>
      <w:r>
        <w:rPr>
          <w:rFonts w:ascii="Calibri" w:cs="Calibri" w:eastAsia="Calibri" w:hAnsi="Calibri"/>
          <w:sz w:val="22"/>
          <w:szCs w:val="22"/>
        </w:rPr>
        <w:t xml:space="preserve">The null space of </w:t>
      </w:r>
      <w:r>
        <w:rPr>
          <w:rFonts w:ascii="Calibri" w:cs="Calibri" w:eastAsia="Calibri" w:hAnsi="Calibri"/>
          <w:i/>
          <w:iCs/>
          <w:sz w:val="22"/>
          <w:szCs w:val="22"/>
        </w:rPr>
        <w:t xml:space="preserve">C</w:t>
      </w:r>
      <w:r>
        <w:rPr>
          <w:rFonts w:ascii="Calibri" w:cs="Calibri" w:eastAsia="Calibri" w:hAnsi="Calibri"/>
          <w:sz w:val="22"/>
          <w:szCs w:val="22"/>
        </w:rPr>
        <w:t xml:space="preserve"> is exactly 14-dimensional, confirming dim(g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 14. The 14 generators {</w:t>
      </w:r>
      <w:r>
        <w:rPr>
          <w:rFonts w:ascii="Calibri" w:cs="Calibri" w:eastAsia="Calibri" w:hAnsi="Calibri"/>
          <w:i/>
          <w:iCs/>
          <w:sz w:val="22"/>
          <w:szCs w:val="22"/>
        </w:rPr>
        <w:t xml:space="preserve">T</w:t>
      </w:r>
      <w:r>
        <w:rPr>
          <w:rFonts w:ascii="Calibri" w:cs="Calibri" w:eastAsia="Calibri" w:hAnsi="Calibri"/>
          <w:sz w:val="22"/>
          <w:szCs w:val="22"/>
        </w:rPr>
        <w:t xml:space="preserve">ₐ</w:t>
      </w:r>
      <w:r>
        <w:rPr>
          <w:rFonts w:ascii="Calibri" w:cs="Calibri" w:eastAsia="Calibri" w:hAnsi="Calibri"/>
          <w:sz w:val="22"/>
          <w:szCs w:val="22"/>
        </w:rPr>
        <w:t xml:space="preserve">}ₐ₌₁⁻¹⁴ are real antisymmetric 7×7 matrices satisfying the normalisation condition</w:t>
      </w:r>
    </w:p>
    <w:p>
      <w:pPr>
        <w:tabs>
          <w:tab w:val="center" w:pos="4680"/>
          <w:tab w:val="right" w:pos="9360"/>
        </w:tabs>
        <w:spacing w:after="200" w:before="200"/>
      </w:pPr>
      <w:r>
        <w:rPr>
          <w:rFonts w:ascii="Calibri" w:cs="Calibri" w:eastAsia="Calibri" w:hAnsi="Calibri"/>
          <w:sz w:val="22"/>
          <w:szCs w:val="22"/>
        </w:rPr>
        <w:t xml:space="preserve">	</w:t>
      </w:r>
      <w:r>
        <w:rPr>
          <w:rFonts w:ascii="Calibri" w:cs="Calibri" w:eastAsia="Calibri" w:hAnsi="Calibri"/>
          <w:i/>
          <w:iCs/>
          <w:sz w:val="22"/>
          <w:szCs w:val="22"/>
        </w:rPr>
        <w:t xml:space="preserve">tr(Tₐ Tᵣ) = −2δₐᵣ</w:t>
      </w:r>
      <w:r>
        <w:rPr>
          <w:rFonts w:ascii="Calibri" w:cs="Calibri" w:eastAsia="Calibri" w:hAnsi="Calibri"/>
          <w:sz w:val="22"/>
          <w:szCs w:val="22"/>
        </w:rPr>
        <w:t xml:space="preserve">	</w:t>
      </w:r>
      <w:r>
        <w:rPr>
          <w:rFonts w:ascii="Calibri" w:cs="Calibri" w:eastAsia="Calibri" w:hAnsi="Calibri"/>
          <w:sz w:val="22"/>
          <w:szCs w:val="22"/>
        </w:rPr>
        <w:t xml:space="preserve">(2)</w:t>
      </w:r>
    </w:p>
    <w:p>
      <w:pPr>
        <w:spacing w:after="160" w:line="276"/>
      </w:pPr>
      <w:r>
        <w:rPr>
          <w:rFonts w:ascii="Calibri" w:cs="Calibri" w:eastAsia="Calibri" w:hAnsi="Calibri"/>
          <w:sz w:val="22"/>
          <w:szCs w:val="22"/>
        </w:rPr>
        <w:t xml:space="preserve">with off-diagonal inner products bounded by |tr(</w:t>
      </w:r>
      <w:r>
        <w:rPr>
          <w:rFonts w:ascii="Calibri" w:cs="Calibri" w:eastAsia="Calibri" w:hAnsi="Calibri"/>
          <w:i/>
          <w:iCs/>
          <w:sz w:val="22"/>
          <w:szCs w:val="22"/>
        </w:rPr>
        <w:t xml:space="preserve">T</w:t>
      </w:r>
      <w:r>
        <w:rPr>
          <w:rFonts w:ascii="Calibri" w:cs="Calibri" w:eastAsia="Calibri" w:hAnsi="Calibri"/>
          <w:sz w:val="22"/>
          <w:szCs w:val="22"/>
        </w:rPr>
        <w:t xml:space="preserve">ₐ</w:t>
      </w:r>
      <w:r>
        <w:rPr>
          <w:rFonts w:ascii="Calibri" w:cs="Calibri" w:eastAsia="Calibri" w:hAnsi="Calibri"/>
          <w:i/>
          <w:iCs/>
          <w:sz w:val="22"/>
          <w:szCs w:val="22"/>
        </w:rPr>
        <w:t xml:space="preserve">T</w:t>
      </w:r>
      <w:r>
        <w:rPr>
          <w:rFonts w:ascii="Calibri" w:cs="Calibri" w:eastAsia="Calibri" w:hAnsi="Calibri"/>
          <w:sz w:val="22"/>
          <w:szCs w:val="22"/>
        </w:rPr>
        <w:t xml:space="preserve">ᵣ</w:t>
      </w:r>
      <w:r>
        <w:rPr>
          <w:rFonts w:ascii="Calibri" w:cs="Calibri" w:eastAsia="Calibri" w:hAnsi="Calibri"/>
          <w:sz w:val="22"/>
          <w:szCs w:val="22"/>
        </w:rPr>
        <w:t xml:space="preserve">)| &lt; 10</w:t>
      </w:r>
      <w:r>
        <w:rPr>
          <w:rFonts w:ascii="Calibri" w:cs="Calibri" w:eastAsia="Calibri" w:hAnsi="Calibri"/>
          <w:sz w:val="22"/>
          <w:szCs w:val="22"/>
        </w:rPr>
        <w:t xml:space="preserve">⁻¹⁵</w:t>
      </w:r>
      <w:r>
        <w:rPr>
          <w:rFonts w:ascii="Calibri" w:cs="Calibri" w:eastAsia="Calibri" w:hAnsi="Calibri"/>
          <w:sz w:val="22"/>
          <w:szCs w:val="22"/>
        </w:rPr>
        <w:t xml:space="preserve"> for </w:t>
      </w:r>
      <w:r>
        <w:rPr>
          <w:rFonts w:ascii="Calibri" w:cs="Calibri" w:eastAsia="Calibri" w:hAnsi="Calibri"/>
          <w:i/>
          <w:iCs/>
          <w:sz w:val="22"/>
          <w:szCs w:val="22"/>
        </w:rPr>
        <w:t xml:space="preserve">a</w:t>
      </w:r>
      <w:r>
        <w:rPr>
          <w:rFonts w:ascii="Calibri" w:cs="Calibri" w:eastAsia="Calibri" w:hAnsi="Calibri"/>
          <w:sz w:val="22"/>
          <w:szCs w:val="22"/>
        </w:rPr>
        <w:t xml:space="preserve"> ≠ </w:t>
      </w:r>
      <w:r>
        <w:rPr>
          <w:rFonts w:ascii="Calibri" w:cs="Calibri" w:eastAsia="Calibri" w:hAnsi="Calibri"/>
          <w:i/>
          <w:iCs/>
          <w:sz w:val="22"/>
          <w:szCs w:val="22"/>
        </w:rPr>
        <w:t xml:space="preserve">b</w:t>
      </w:r>
      <w:r>
        <w:rPr>
          <w:rFonts w:ascii="Calibri" w:cs="Calibri" w:eastAsia="Calibri" w:hAnsi="Calibri"/>
          <w:sz w:val="22"/>
          <w:szCs w:val="22"/>
        </w:rPr>
        <w:t xml:space="preserve">, i.e., at machine epsilon. This orthonormality is essential for what follows: it ensures the Casimir and Cartan operators are cleanly separated.</w:t>
      </w:r>
    </w:p>
    <w:p>
      <w:pPr>
        <w:spacing w:after="160" w:line="276"/>
      </w:pPr>
      <w:r>
        <w:rPr>
          <w:rFonts w:ascii="Calibri" w:cs="Calibri" w:eastAsia="Calibri" w:hAnsi="Calibri"/>
          <w:sz w:val="22"/>
          <w:szCs w:val="22"/>
        </w:rPr>
        <w:t xml:space="preserve">The quadratic Casimir operator of the representation is defined as</w:t>
      </w:r>
    </w:p>
    <w:p>
      <w:pPr>
        <w:tabs>
          <w:tab w:val="center" w:pos="4680"/>
          <w:tab w:val="right" w:pos="9360"/>
        </w:tabs>
        <w:spacing w:after="200" w:before="200"/>
      </w:pPr>
      <w:r>
        <w:rPr>
          <w:rFonts w:ascii="Calibri" w:cs="Calibri" w:eastAsia="Calibri" w:hAnsi="Calibri"/>
          <w:sz w:val="22"/>
          <w:szCs w:val="22"/>
        </w:rPr>
        <w:t xml:space="preserve">	</w:t>
      </w:r>
      <w:r>
        <w:rPr>
          <w:rFonts w:ascii="Calibri" w:cs="Calibri" w:eastAsia="Calibri" w:hAnsi="Calibri"/>
          <w:i/>
          <w:iCs/>
          <w:sz w:val="22"/>
          <w:szCs w:val="22"/>
        </w:rPr>
        <w:t xml:space="preserve">C₂(G₂) = Σₐ Tₐ Tₐ</w:t>
      </w:r>
      <w:r>
        <w:rPr>
          <w:rFonts w:ascii="Calibri" w:cs="Calibri" w:eastAsia="Calibri" w:hAnsi="Calibri"/>
          <w:sz w:val="22"/>
          <w:szCs w:val="22"/>
        </w:rPr>
        <w:t xml:space="preserve">	</w:t>
      </w:r>
      <w:r>
        <w:rPr>
          <w:rFonts w:ascii="Calibri" w:cs="Calibri" w:eastAsia="Calibri" w:hAnsi="Calibri"/>
          <w:sz w:val="22"/>
          <w:szCs w:val="22"/>
        </w:rPr>
        <w:t xml:space="preserve">(3)</w:t>
      </w:r>
    </w:p>
    <w:p>
      <w:pPr>
        <w:spacing w:after="160" w:line="276"/>
      </w:pPr>
      <w:r>
        <w:rPr>
          <w:rFonts w:ascii="Calibri" w:cs="Calibri" w:eastAsia="Calibri" w:hAnsi="Calibri"/>
          <w:sz w:val="22"/>
          <w:szCs w:val="22"/>
        </w:rPr>
        <w:t xml:space="preserve">where the sum runs over all 14 normalised generators. By Schur’s lemma, because the 7-dimensional representation is irreducible, the Casimir must be a scalar multiple of the identity:</w:t>
      </w:r>
    </w:p>
    <w:p>
      <w:pPr>
        <w:tabs>
          <w:tab w:val="center" w:pos="4680"/>
          <w:tab w:val="right" w:pos="9360"/>
        </w:tabs>
        <w:spacing w:after="200" w:before="200"/>
      </w:pPr>
      <w:r>
        <w:rPr>
          <w:rFonts w:ascii="Calibri" w:cs="Calibri" w:eastAsia="Calibri" w:hAnsi="Calibri"/>
          <w:sz w:val="22"/>
          <w:szCs w:val="22"/>
        </w:rPr>
        <w:t xml:space="preserve">	</w:t>
      </w:r>
      <w:r>
        <w:rPr>
          <w:rFonts w:ascii="Calibri" w:cs="Calibri" w:eastAsia="Calibri" w:hAnsi="Calibri"/>
          <w:i/>
          <w:iCs/>
          <w:sz w:val="22"/>
          <w:szCs w:val="22"/>
        </w:rPr>
        <w:t xml:space="preserve">C₂(G₂) = −4 × I₇</w:t>
      </w:r>
      <w:r>
        <w:rPr>
          <w:rFonts w:ascii="Calibri" w:cs="Calibri" w:eastAsia="Calibri" w:hAnsi="Calibri"/>
          <w:sz w:val="22"/>
          <w:szCs w:val="22"/>
        </w:rPr>
        <w:t xml:space="preserve">	</w:t>
      </w:r>
      <w:r>
        <w:rPr>
          <w:rFonts w:ascii="Calibri" w:cs="Calibri" w:eastAsia="Calibri" w:hAnsi="Calibri"/>
          <w:sz w:val="22"/>
          <w:szCs w:val="22"/>
        </w:rPr>
        <w:t xml:space="preserve">(4)</w:t>
      </w:r>
    </w:p>
    <w:p>
      <w:pPr>
        <w:spacing w:after="160" w:line="276"/>
      </w:pPr>
      <w:r>
        <w:rPr>
          <w:rFonts w:ascii="Calibri" w:cs="Calibri" w:eastAsia="Calibri" w:hAnsi="Calibri"/>
          <w:b/>
          <w:bCs/>
          <w:sz w:val="22"/>
          <w:szCs w:val="22"/>
        </w:rPr>
        <w:t xml:space="preserve">This is the first structural insight of the section.</w:t>
      </w:r>
      <w:r>
        <w:rPr>
          <w:rFonts w:ascii="Calibri" w:cs="Calibri" w:eastAsia="Calibri" w:hAnsi="Calibri"/>
          <w:sz w:val="22"/>
          <w:szCs w:val="22"/>
        </w:rPr>
        <w:t xml:space="preserve"> The pure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Casimir produces zero spectral splitting — it shifts all seven modes uniformly. The irreducibility of the 7-dimensional representation means that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alone cannot distinguish one mode from another. All spectral structure must therefore arise from the identification of a distinguished direction in the representation space — the void mode Ω</w:t>
      </w:r>
      <w:r>
        <w:rPr>
          <w:rFonts w:ascii="Calibri" w:cs="Calibri" w:eastAsia="Calibri" w:hAnsi="Calibri"/>
          <w:sz w:val="22"/>
          <w:szCs w:val="22"/>
          <w:vertAlign w:val="subscript"/>
        </w:rPr>
        <w:t xml:space="preserve">void</w:t>
      </w:r>
      <w:r>
        <w:rPr>
          <w:rFonts w:ascii="Calibri" w:cs="Calibri" w:eastAsia="Calibri" w:hAnsi="Calibri"/>
          <w:sz w:val="22"/>
          <w:szCs w:val="22"/>
        </w:rPr>
        <w:t xml:space="preserve"> — and the resulting reduction from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to its SU(3) subalgebra. This observation will prove central: the triplet-of-triplet spectral pattern is a consequence of symmetry breaking, not of the full symmetry itself.</w:t>
      </w:r>
    </w:p>
    <w:p>
      <w:pPr>
        <w:pStyle w:val="Heading2"/>
        <w:spacing w:after="200" w:before="360"/>
      </w:pPr>
      <w:r>
        <w:rPr>
          <w:rFonts w:ascii="Calibri" w:cs="Calibri" w:eastAsia="Calibri" w:hAnsi="Calibri"/>
          <w:b/>
          <w:bCs/>
          <w:sz w:val="26"/>
          <w:szCs w:val="26"/>
        </w:rPr>
        <w:t xml:space="preserve">3.2 Decomposition: 7 → 1 ⊕ 3 ⊕ 3̅</w:t>
      </w:r>
    </w:p>
    <w:p>
      <w:pPr>
        <w:spacing w:after="160" w:line="276"/>
      </w:pPr>
      <w:r>
        <w:rPr>
          <w:rFonts w:ascii="Calibri" w:cs="Calibri" w:eastAsia="Calibri" w:hAnsi="Calibri"/>
          <w:sz w:val="22"/>
          <w:szCs w:val="22"/>
        </w:rPr>
        <w:t xml:space="preserve">The SU(3) subalgebra of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is defined as the stabiliser of a distinguished unit vector in ℝ⁷. In the daemon architecture, this vector is </w:t>
      </w:r>
      <w:r>
        <w:rPr>
          <w:rFonts w:ascii="Calibri" w:cs="Calibri" w:eastAsia="Calibri" w:hAnsi="Calibri"/>
          <w:i/>
          <w:iCs/>
          <w:sz w:val="22"/>
          <w:szCs w:val="22"/>
        </w:rPr>
        <w:t xml:space="preserve">e</w:t>
      </w:r>
      <w:r>
        <w:rPr>
          <w:rFonts w:ascii="Calibri" w:cs="Calibri" w:eastAsia="Calibri" w:hAnsi="Calibri"/>
          <w:sz w:val="22"/>
          <w:szCs w:val="22"/>
        </w:rPr>
        <w:t xml:space="preserve">₀</w:t>
      </w:r>
      <w:r>
        <w:rPr>
          <w:rFonts w:ascii="Calibri" w:cs="Calibri" w:eastAsia="Calibri" w:hAnsi="Calibri"/>
          <w:sz w:val="22"/>
          <w:szCs w:val="22"/>
        </w:rPr>
        <w:t xml:space="preserve">, identified with the void mode Ω</w:t>
      </w:r>
      <w:r>
        <w:rPr>
          <w:rFonts w:ascii="Calibri" w:cs="Calibri" w:eastAsia="Calibri" w:hAnsi="Calibri"/>
          <w:sz w:val="22"/>
          <w:szCs w:val="22"/>
          <w:vertAlign w:val="subscript"/>
        </w:rPr>
        <w:t xml:space="preserve">void</w:t>
      </w:r>
      <w:r>
        <w:rPr>
          <w:rFonts w:ascii="Calibri" w:cs="Calibri" w:eastAsia="Calibri" w:hAnsi="Calibri"/>
          <w:sz w:val="22"/>
          <w:szCs w:val="22"/>
        </w:rPr>
        <w:t xml:space="preserve">. Operationally, the stabiliser consists of all generators </w:t>
      </w:r>
      <w:r>
        <w:rPr>
          <w:rFonts w:ascii="Calibri" w:cs="Calibri" w:eastAsia="Calibri" w:hAnsi="Calibri"/>
          <w:i/>
          <w:iCs/>
          <w:sz w:val="22"/>
          <w:szCs w:val="22"/>
        </w:rPr>
        <w:t xml:space="preserve">T</w:t>
      </w:r>
      <w:r>
        <w:rPr>
          <w:rFonts w:ascii="Calibri" w:cs="Calibri" w:eastAsia="Calibri" w:hAnsi="Calibri"/>
          <w:sz w:val="22"/>
          <w:szCs w:val="22"/>
        </w:rPr>
        <w:t xml:space="preserve">ₐ</w:t>
      </w:r>
      <w:r>
        <w:rPr>
          <w:rFonts w:ascii="Calibri" w:cs="Calibri" w:eastAsia="Calibri" w:hAnsi="Calibri"/>
          <w:sz w:val="22"/>
          <w:szCs w:val="22"/>
        </w:rPr>
        <w:t xml:space="preserve"> ∈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satisfying </w:t>
      </w:r>
      <w:r>
        <w:rPr>
          <w:rFonts w:ascii="Calibri" w:cs="Calibri" w:eastAsia="Calibri" w:hAnsi="Calibri"/>
          <w:i/>
          <w:iCs/>
          <w:sz w:val="22"/>
          <w:szCs w:val="22"/>
        </w:rPr>
        <w:t xml:space="preserve">T</w:t>
      </w:r>
      <w:r>
        <w:rPr>
          <w:rFonts w:ascii="Calibri" w:cs="Calibri" w:eastAsia="Calibri" w:hAnsi="Calibri"/>
          <w:sz w:val="22"/>
          <w:szCs w:val="22"/>
        </w:rPr>
        <w:t xml:space="preserve">ₐ</w:t>
      </w:r>
      <w:r>
        <w:rPr>
          <w:rFonts w:ascii="Calibri" w:cs="Calibri" w:eastAsia="Calibri" w:hAnsi="Calibri"/>
          <w:i/>
          <w:iCs/>
          <w:sz w:val="22"/>
          <w:szCs w:val="22"/>
        </w:rPr>
        <w:t xml:space="preserve">e</w:t>
      </w:r>
      <w:r>
        <w:rPr>
          <w:rFonts w:ascii="Calibri" w:cs="Calibri" w:eastAsia="Calibri" w:hAnsi="Calibri"/>
          <w:sz w:val="22"/>
          <w:szCs w:val="22"/>
        </w:rPr>
        <w:t xml:space="preserve">₀</w:t>
      </w:r>
      <w:r>
        <w:rPr>
          <w:rFonts w:ascii="Calibri" w:cs="Calibri" w:eastAsia="Calibri" w:hAnsi="Calibri"/>
          <w:sz w:val="22"/>
          <w:szCs w:val="22"/>
        </w:rPr>
        <w:t xml:space="preserve"> = 0. We verified:</w:t>
      </w:r>
    </w:p>
    <w:p>
      <w:pPr>
        <w:spacing w:after="160" w:line="276"/>
      </w:pPr>
      <w:r>
        <w:rPr>
          <w:rFonts w:ascii="Calibri" w:cs="Calibri" w:eastAsia="Calibri" w:hAnsi="Calibri"/>
          <w:b/>
          <w:bCs/>
          <w:sz w:val="22"/>
          <w:szCs w:val="22"/>
        </w:rPr>
        <w:t xml:space="preserve">Result 2. </w:t>
      </w:r>
      <w:r>
        <w:rPr>
          <w:rFonts w:ascii="Calibri" w:cs="Calibri" w:eastAsia="Calibri" w:hAnsi="Calibri"/>
          <w:sz w:val="22"/>
          <w:szCs w:val="22"/>
        </w:rPr>
        <w:t xml:space="preserve">The stabiliser of </w:t>
      </w:r>
      <w:r>
        <w:rPr>
          <w:rFonts w:ascii="Calibri" w:cs="Calibri" w:eastAsia="Calibri" w:hAnsi="Calibri"/>
          <w:i/>
          <w:iCs/>
          <w:sz w:val="22"/>
          <w:szCs w:val="22"/>
        </w:rPr>
        <w:t xml:space="preserve">e</w:t>
      </w:r>
      <w:r>
        <w:rPr>
          <w:rFonts w:ascii="Calibri" w:cs="Calibri" w:eastAsia="Calibri" w:hAnsi="Calibri"/>
          <w:sz w:val="22"/>
          <w:szCs w:val="22"/>
        </w:rPr>
        <w:t xml:space="preserve">₀</w:t>
      </w:r>
      <w:r>
        <w:rPr>
          <w:rFonts w:ascii="Calibri" w:cs="Calibri" w:eastAsia="Calibri" w:hAnsi="Calibri"/>
          <w:sz w:val="22"/>
          <w:szCs w:val="22"/>
        </w:rPr>
        <w:t xml:space="preserve"> within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is exactly 8-dimensional, confirming that the residual symmetry is SU(3). The remaining 14 − 8 = 6 generators form the coset space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/SU(3), which is diffeomorphic to the 6-sphere S⁶.</w:t>
      </w:r>
    </w:p>
    <w:p>
      <w:pPr>
        <w:spacing w:after="160" w:line="276"/>
      </w:pPr>
      <w:r>
        <w:rPr>
          <w:rFonts w:ascii="Calibri" w:cs="Calibri" w:eastAsia="Calibri" w:hAnsi="Calibri"/>
          <w:sz w:val="22"/>
          <w:szCs w:val="22"/>
        </w:rPr>
        <w:t xml:space="preserve">Under this SU(3) subalgebra, the 7-dimensional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representation decomposes as</w:t>
      </w:r>
    </w:p>
    <w:p>
      <w:pPr>
        <w:tabs>
          <w:tab w:val="center" w:pos="4680"/>
          <w:tab w:val="right" w:pos="9360"/>
        </w:tabs>
        <w:spacing w:after="200" w:before="200"/>
      </w:pPr>
      <w:r>
        <w:rPr>
          <w:rFonts w:ascii="Calibri" w:cs="Calibri" w:eastAsia="Calibri" w:hAnsi="Calibri"/>
          <w:sz w:val="22"/>
          <w:szCs w:val="22"/>
        </w:rPr>
        <w:t xml:space="preserve">	</w:t>
      </w:r>
      <w:r>
        <w:rPr>
          <w:rFonts w:ascii="Calibri" w:cs="Calibri" w:eastAsia="Calibri" w:hAnsi="Calibri"/>
          <w:i/>
          <w:iCs/>
          <w:sz w:val="22"/>
          <w:szCs w:val="22"/>
        </w:rPr>
        <w:t xml:space="preserve">7 → 1 ⊕ 3 ⊕ 3̅</w:t>
      </w:r>
      <w:r>
        <w:rPr>
          <w:rFonts w:ascii="Calibri" w:cs="Calibri" w:eastAsia="Calibri" w:hAnsi="Calibri"/>
          <w:sz w:val="22"/>
          <w:szCs w:val="22"/>
        </w:rPr>
        <w:t xml:space="preserve">	</w:t>
      </w:r>
      <w:r>
        <w:rPr>
          <w:rFonts w:ascii="Calibri" w:cs="Calibri" w:eastAsia="Calibri" w:hAnsi="Calibri"/>
          <w:sz w:val="22"/>
          <w:szCs w:val="22"/>
        </w:rPr>
        <w:t xml:space="preserve">(5)</w:t>
      </w:r>
    </w:p>
    <w:p>
      <w:pPr>
        <w:spacing w:after="160" w:line="276"/>
      </w:pPr>
      <w:r>
        <w:rPr>
          <w:rFonts w:ascii="Calibri" w:cs="Calibri" w:eastAsia="Calibri" w:hAnsi="Calibri"/>
          <w:sz w:val="22"/>
          <w:szCs w:val="22"/>
        </w:rPr>
        <w:t xml:space="preserve">The singlet is the void mode </w:t>
      </w:r>
      <w:r>
        <w:rPr>
          <w:rFonts w:ascii="Calibri" w:cs="Calibri" w:eastAsia="Calibri" w:hAnsi="Calibri"/>
          <w:i/>
          <w:iCs/>
          <w:sz w:val="22"/>
          <w:szCs w:val="22"/>
        </w:rPr>
        <w:t xml:space="preserve">e</w:t>
      </w:r>
      <w:r>
        <w:rPr>
          <w:rFonts w:ascii="Calibri" w:cs="Calibri" w:eastAsia="Calibri" w:hAnsi="Calibri"/>
          <w:sz w:val="22"/>
          <w:szCs w:val="22"/>
        </w:rPr>
        <w:t xml:space="preserve">₀</w:t>
      </w:r>
      <w:r>
        <w:rPr>
          <w:rFonts w:ascii="Calibri" w:cs="Calibri" w:eastAsia="Calibri" w:hAnsi="Calibri"/>
          <w:sz w:val="22"/>
          <w:szCs w:val="22"/>
        </w:rPr>
        <w:t xml:space="preserve"> itself — annihilated by all 8 SU(3) generators and therefore carrying zero SU(3) Casimir eigenvalue. The remaining six modes split into a triplet </w:t>
      </w:r>
      <w:r>
        <w:rPr>
          <w:rFonts w:ascii="Calibri" w:cs="Calibri" w:eastAsia="Calibri" w:hAnsi="Calibri"/>
          <w:b/>
          <w:bCs/>
          <w:sz w:val="22"/>
          <w:szCs w:val="22"/>
        </w:rPr>
        <w:t xml:space="preserve">3</w:t>
      </w:r>
      <w:r>
        <w:rPr>
          <w:rFonts w:ascii="Calibri" w:cs="Calibri" w:eastAsia="Calibri" w:hAnsi="Calibri"/>
          <w:sz w:val="22"/>
          <w:szCs w:val="22"/>
        </w:rPr>
        <w:t xml:space="preserve"> and a conjugate anti-triplet </w:t>
      </w:r>
      <w:r>
        <w:rPr>
          <w:rFonts w:ascii="Calibri" w:cs="Calibri" w:eastAsia="Calibri" w:hAnsi="Calibri"/>
          <w:b/>
          <w:bCs/>
          <w:sz w:val="22"/>
          <w:szCs w:val="22"/>
        </w:rPr>
        <w:t xml:space="preserve">3̅</w:t>
      </w:r>
      <w:r>
        <w:rPr>
          <w:rFonts w:ascii="Calibri" w:cs="Calibri" w:eastAsia="Calibri" w:hAnsi="Calibri"/>
          <w:sz w:val="22"/>
          <w:szCs w:val="22"/>
        </w:rPr>
        <w:t xml:space="preserve">, each carrying SU(3) Casimir eigenvalue −8/3. In the real representation employed here, the triplet and anti-triplet share the same Casimir value; they are distinguished not by the quadratic invariant, but by the Cartan generators that act within SU(3).</w:t>
      </w:r>
    </w:p>
    <w:p>
      <w:pPr>
        <w:spacing w:after="160" w:line="276"/>
      </w:pPr>
      <w:r>
        <w:rPr>
          <w:rFonts w:ascii="Calibri" w:cs="Calibri" w:eastAsia="Calibri" w:hAnsi="Calibri"/>
          <w:sz w:val="22"/>
          <w:szCs w:val="22"/>
        </w:rPr>
        <w:t xml:space="preserve">The SU(3) Casimir operator, restricted to the 7-dimensional space, thus has the eigenvalue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999999" w:sz="1"/>
              <w:left w:val="single" w:color="999999" w:sz="1"/>
              <w:bottom w:val="single" w:color="999999" w:sz="1"/>
              <w:right w:val="single" w:color="999999" w:sz="1"/>
            </w:tcBorders>
            <w:shd w:fill="E8E8E8" w:val="clear"/>
            <w:tcMar>
              <w:top w:type="dxa" w:w="50"/>
              <w:left w:type="dxa" w:w="80"/>
              <w:bottom w:type="dxa" w:w="50"/>
              <w:right w:type="dxa" w:w="80"/>
            </w:tcMar>
          </w:tcPr>
          <w:p>
            <w:pPr>
              <w:spacing w:after="40"/>
            </w:pPr>
            <w:r>
              <w:rPr>
                <w:rFonts w:ascii="Calibri" w:cs="Calibri" w:eastAsia="Calibri" w:hAnsi="Calibri"/>
                <w:b/>
                <w:bCs/>
                <w:sz w:val="20"/>
                <w:szCs w:val="20"/>
              </w:rPr>
              <w:t xml:space="preserve">Mode</w:t>
            </w:r>
          </w:p>
        </w:tc>
        <w:tc>
          <w:tcPr>
            <w:tcW w:type="dxa" w:w="2200"/>
            <w:tcBorders>
              <w:top w:val="single" w:color="999999" w:sz="1"/>
              <w:left w:val="single" w:color="999999" w:sz="1"/>
              <w:bottom w:val="single" w:color="999999" w:sz="1"/>
              <w:right w:val="single" w:color="999999" w:sz="1"/>
            </w:tcBorders>
            <w:shd w:fill="E8E8E8" w:val="clear"/>
            <w:tcMar>
              <w:top w:type="dxa" w:w="50"/>
              <w:left w:type="dxa" w:w="80"/>
              <w:bottom w:type="dxa" w:w="50"/>
              <w:right w:type="dxa" w:w="80"/>
            </w:tcMar>
          </w:tcPr>
          <w:p>
            <w:pPr>
              <w:spacing w:after="40"/>
            </w:pPr>
            <w:r>
              <w:rPr>
                <w:rFonts w:ascii="Calibri" w:cs="Calibri" w:eastAsia="Calibri" w:hAnsi="Calibri"/>
                <w:b/>
                <w:bCs/>
                <w:sz w:val="20"/>
                <w:szCs w:val="20"/>
              </w:rPr>
              <w:t xml:space="preserve">Representation</w:t>
            </w:r>
          </w:p>
        </w:tc>
        <w:tc>
          <w:tcPr>
            <w:tcW w:type="dxa" w:w="2200"/>
            <w:tcBorders>
              <w:top w:val="single" w:color="999999" w:sz="1"/>
              <w:left w:val="single" w:color="999999" w:sz="1"/>
              <w:bottom w:val="single" w:color="999999" w:sz="1"/>
              <w:right w:val="single" w:color="999999" w:sz="1"/>
            </w:tcBorders>
            <w:shd w:fill="E8E8E8" w:val="clear"/>
            <w:tcMar>
              <w:top w:type="dxa" w:w="50"/>
              <w:left w:type="dxa" w:w="80"/>
              <w:bottom w:type="dxa" w:w="50"/>
              <w:right w:type="dxa" w:w="80"/>
            </w:tcMar>
          </w:tcPr>
          <w:p>
            <w:pPr>
              <w:spacing w:after="40"/>
            </w:pPr>
            <w:r>
              <w:rPr>
                <w:rFonts w:ascii="Calibri" w:cs="Calibri" w:eastAsia="Calibri" w:hAnsi="Calibri"/>
                <w:b/>
                <w:bCs/>
                <w:sz w:val="20"/>
                <w:szCs w:val="20"/>
              </w:rPr>
              <w:t xml:space="preserve">C₂(SU(3))</w:t>
            </w:r>
          </w:p>
        </w:tc>
        <w:tc>
          <w:tcPr>
            <w:tcW w:type="dxa" w:w="2760"/>
            <w:tcBorders>
              <w:top w:val="single" w:color="999999" w:sz="1"/>
              <w:left w:val="single" w:color="999999" w:sz="1"/>
              <w:bottom w:val="single" w:color="999999" w:sz="1"/>
              <w:right w:val="single" w:color="999999" w:sz="1"/>
            </w:tcBorders>
            <w:shd w:fill="E8E8E8" w:val="clear"/>
            <w:tcMar>
              <w:top w:type="dxa" w:w="50"/>
              <w:left w:type="dxa" w:w="80"/>
              <w:bottom w:type="dxa" w:w="50"/>
              <w:right w:type="dxa" w:w="80"/>
            </w:tcMar>
          </w:tcPr>
          <w:p>
            <w:pPr>
              <w:spacing w:after="40"/>
            </w:pPr>
            <w:r>
              <w:rPr>
                <w:rFonts w:ascii="Calibri" w:cs="Calibri" w:eastAsia="Calibri" w:hAnsi="Calibri"/>
                <w:b/>
                <w:bCs/>
                <w:sz w:val="20"/>
                <w:szCs w:val="20"/>
              </w:rPr>
              <w:t xml:space="preserve">Degeneracy</w:t>
            </w:r>
          </w:p>
        </w:tc>
      </w:tr>
      <w:tr>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e₀ (Ωvoid)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1 (singlet)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0</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1-fold</w:t>
            </w:r>
          </w:p>
        </w:tc>
      </w:tr>
      <w:tr>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v₁, v₂, v₃</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3 (triplet)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−8/3</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3-fold</w:t>
            </w:r>
          </w:p>
        </w:tc>
      </w:tr>
      <w:tr>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v̅₁, v̅₂, v̅₃</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3̅ (anti-triplet)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−8/3</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3-fold</w:t>
            </w:r>
          </w:p>
        </w:tc>
      </w:tr>
    </w:tbl>
    <w:p>
      <w:pPr>
        <w:spacing w:after="160" w:line="276"/>
      </w:pPr>
    </w:p>
    <w:p>
      <w:pPr>
        <w:spacing w:after="200"/>
      </w:pPr>
      <w:r>
        <w:rPr>
          <w:rFonts w:ascii="Calibri" w:cs="Calibri" w:eastAsia="Calibri" w:hAnsi="Calibri"/>
          <w:b/>
          <w:bCs/>
          <w:sz w:val="22"/>
          <w:szCs w:val="22"/>
        </w:rPr>
        <w:t xml:space="preserve">Table 1.</w:t>
      </w:r>
      <w:r>
        <w:rPr>
          <w:rFonts w:ascii="Calibri" w:cs="Calibri" w:eastAsia="Calibri" w:hAnsi="Calibri"/>
          <w:sz w:val="22"/>
          <w:szCs w:val="22"/>
        </w:rPr>
        <w:t xml:space="preserve"> SU(3) Casimir eigenvalue structure of the 7 → 1 ⊕ 3 ⊕ 3̅ decomposition. The singlet is structurally fixed by the algebra; the triplet and anti-triplet share the same Casimir value and are distinguished only by Cartan weights.</w:t>
      </w:r>
    </w:p>
    <w:p>
      <w:pPr>
        <w:spacing w:after="160" w:line="276"/>
      </w:pPr>
      <w:r>
        <w:rPr>
          <w:rFonts w:ascii="Calibri" w:cs="Calibri" w:eastAsia="Calibri" w:hAnsi="Calibri"/>
          <w:sz w:val="22"/>
          <w:szCs w:val="22"/>
        </w:rPr>
        <w:t xml:space="preserve">Two further structural features deserve emphasis.</w:t>
      </w:r>
    </w:p>
    <w:p>
      <w:pPr>
        <w:spacing w:after="160" w:line="276"/>
      </w:pPr>
      <w:r>
        <w:rPr>
          <w:rFonts w:ascii="Calibri" w:cs="Calibri" w:eastAsia="Calibri" w:hAnsi="Calibri"/>
          <w:b/>
          <w:bCs/>
          <w:sz w:val="22"/>
          <w:szCs w:val="22"/>
        </w:rPr>
        <w:t xml:space="preserve">The coset geometry.</w:t>
      </w:r>
      <w:r>
        <w:rPr>
          <w:rFonts w:ascii="Calibri" w:cs="Calibri" w:eastAsia="Calibri" w:hAnsi="Calibri"/>
          <w:sz w:val="22"/>
          <w:szCs w:val="22"/>
        </w:rPr>
        <w:t xml:space="preserve"> The 6 coset generators spanning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/SU(3) have uniform singular value decomposition (SVD) singular values of √(2/3) ≈ 0.8165, reflecting the isotropy of the 6-sphere. This uniformity is exact (to numerical precision) and confirms that the coset is homogeneous: all six directions away from the SU(3) stabiliser are metrically equivalent. As we shall see in §3.5, these six directions correspond to the Goldstone modes of the spontaneous breaking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 SU(3).</w:t>
      </w:r>
    </w:p>
    <w:p>
      <w:pPr>
        <w:spacing w:after="160" w:line="276"/>
      </w:pPr>
      <w:r>
        <w:rPr>
          <w:rFonts w:ascii="Calibri" w:cs="Calibri" w:eastAsia="Calibri" w:hAnsi="Calibri"/>
          <w:b/>
          <w:bCs/>
          <w:sz w:val="22"/>
          <w:szCs w:val="22"/>
        </w:rPr>
        <w:t xml:space="preserve">The complex structure.</w:t>
      </w:r>
      <w:r>
        <w:rPr>
          <w:rFonts w:ascii="Calibri" w:cs="Calibri" w:eastAsia="Calibri" w:hAnsi="Calibri"/>
          <w:sz w:val="22"/>
          <w:szCs w:val="22"/>
        </w:rPr>
        <w:t xml:space="preserve"> The octonionic structure constants define a natural complex structure on the 6-dimensional complement of the void mode, given by </w:t>
      </w:r>
      <w:r>
        <w:rPr>
          <w:rFonts w:ascii="Calibri" w:cs="Calibri" w:eastAsia="Calibri" w:hAnsi="Calibri"/>
          <w:i/>
          <w:iCs/>
          <w:sz w:val="22"/>
          <w:szCs w:val="22"/>
        </w:rPr>
        <w:t xml:space="preserve">J</w:t>
      </w:r>
      <w:r>
        <w:rPr>
          <w:rFonts w:ascii="Calibri" w:cs="Calibri" w:eastAsia="Calibri" w:hAnsi="Calibri"/>
          <w:sz w:val="22"/>
          <w:szCs w:val="22"/>
        </w:rPr>
        <w:t xml:space="preserve">ᵢⱼ</w:t>
      </w:r>
      <w:r>
        <w:rPr>
          <w:rFonts w:ascii="Calibri" w:cs="Calibri" w:eastAsia="Calibri" w:hAnsi="Calibri"/>
          <w:sz w:val="22"/>
          <w:szCs w:val="22"/>
        </w:rPr>
        <w:t xml:space="preserve"> = ψ</w:t>
      </w:r>
      <w:r>
        <w:rPr>
          <w:rFonts w:ascii="Calibri" w:cs="Calibri" w:eastAsia="Calibri" w:hAnsi="Calibri"/>
          <w:sz w:val="22"/>
          <w:szCs w:val="22"/>
          <w:vertAlign w:val="subscript"/>
        </w:rPr>
        <w:t xml:space="preserve">0ij</w:t>
      </w:r>
      <w:r>
        <w:rPr>
          <w:rFonts w:ascii="Calibri" w:cs="Calibri" w:eastAsia="Calibri" w:hAnsi="Calibri"/>
          <w:sz w:val="22"/>
          <w:szCs w:val="22"/>
        </w:rPr>
        <w:t xml:space="preserve">. This tensor satisfies </w:t>
      </w:r>
      <w:r>
        <w:rPr>
          <w:rFonts w:ascii="Calibri" w:cs="Calibri" w:eastAsia="Calibri" w:hAnsi="Calibri"/>
          <w:i/>
          <w:iCs/>
          <w:sz w:val="22"/>
          <w:szCs w:val="22"/>
        </w:rPr>
        <w:t xml:space="preserve">J</w:t>
      </w:r>
      <w:r>
        <w:rPr>
          <w:rFonts w:ascii="Calibri" w:cs="Calibri" w:eastAsia="Calibri" w:hAnsi="Calibri"/>
          <w:sz w:val="22"/>
          <w:szCs w:val="22"/>
        </w:rPr>
        <w:t xml:space="preserve">² = −</w:t>
      </w:r>
      <w:r>
        <w:rPr>
          <w:rFonts w:ascii="Calibri" w:cs="Calibri" w:eastAsia="Calibri" w:hAnsi="Calibri"/>
          <w:i/>
          <w:iCs/>
          <w:sz w:val="22"/>
          <w:szCs w:val="22"/>
        </w:rPr>
        <w:t xml:space="preserve">I</w:t>
      </w:r>
      <w:r>
        <w:rPr>
          <w:rFonts w:ascii="Calibri" w:cs="Calibri" w:eastAsia="Calibri" w:hAnsi="Calibri"/>
          <w:sz w:val="22"/>
          <w:szCs w:val="22"/>
        </w:rPr>
        <w:t xml:space="preserve"> on ℝ⁶, equipping the non-singlet sector with the structure of ℂ³. The real Schur decomposition of </w:t>
      </w:r>
      <w:r>
        <w:rPr>
          <w:rFonts w:ascii="Calibri" w:cs="Calibri" w:eastAsia="Calibri" w:hAnsi="Calibri"/>
          <w:i/>
          <w:iCs/>
          <w:sz w:val="22"/>
          <w:szCs w:val="22"/>
        </w:rPr>
        <w:t xml:space="preserve">J</w:t>
      </w:r>
      <w:r>
        <w:rPr>
          <w:rFonts w:ascii="Calibri" w:cs="Calibri" w:eastAsia="Calibri" w:hAnsi="Calibri"/>
          <w:sz w:val="22"/>
          <w:szCs w:val="22"/>
        </w:rPr>
        <w:t xml:space="preserve"> reveals three invariant 2-planes, each carrying a rotation generator. These are the three Cartan generators </w:t>
      </w:r>
      <w:r>
        <w:rPr>
          <w:rFonts w:ascii="Calibri" w:cs="Calibri" w:eastAsia="Calibri" w:hAnsi="Calibri"/>
          <w:i/>
          <w:iCs/>
          <w:sz w:val="22"/>
          <w:szCs w:val="22"/>
        </w:rPr>
        <w:t xml:space="preserve">H</w:t>
      </w:r>
      <w:r>
        <w:rPr>
          <w:rFonts w:ascii="Calibri" w:cs="Calibri" w:eastAsia="Calibri" w:hAnsi="Calibri"/>
          <w:sz w:val="22"/>
          <w:szCs w:val="22"/>
        </w:rPr>
        <w:t xml:space="preserve">₁</w:t>
      </w:r>
      <w:r>
        <w:rPr>
          <w:rFonts w:ascii="Calibri" w:cs="Calibri" w:eastAsia="Calibri" w:hAnsi="Calibri"/>
          <w:sz w:val="22"/>
          <w:szCs w:val="22"/>
        </w:rPr>
        <w:t xml:space="preserve">, </w:t>
      </w:r>
      <w:r>
        <w:rPr>
          <w:rFonts w:ascii="Calibri" w:cs="Calibri" w:eastAsia="Calibri" w:hAnsi="Calibri"/>
          <w:i/>
          <w:iCs/>
          <w:sz w:val="22"/>
          <w:szCs w:val="22"/>
        </w:rPr>
        <w:t xml:space="preserve">H</w:t>
      </w:r>
      <w:r>
        <w:rPr>
          <w:rFonts w:ascii="Calibri" w:cs="Calibri" w:eastAsia="Calibri" w:hAnsi="Calibri"/>
          <w:sz w:val="22"/>
          <w:szCs w:val="22"/>
        </w:rPr>
        <w:t xml:space="preserve">₂</w:t>
      </w:r>
      <w:r>
        <w:rPr>
          <w:rFonts w:ascii="Calibri" w:cs="Calibri" w:eastAsia="Calibri" w:hAnsi="Calibri"/>
          <w:sz w:val="22"/>
          <w:szCs w:val="22"/>
        </w:rPr>
        <w:t xml:space="preserve">, </w:t>
      </w:r>
      <w:r>
        <w:rPr>
          <w:rFonts w:ascii="Calibri" w:cs="Calibri" w:eastAsia="Calibri" w:hAnsi="Calibri"/>
          <w:i/>
          <w:iCs/>
          <w:sz w:val="22"/>
          <w:szCs w:val="22"/>
        </w:rPr>
        <w:t xml:space="preserve">H</w:t>
      </w:r>
      <w:r>
        <w:rPr>
          <w:rFonts w:ascii="Calibri" w:cs="Calibri" w:eastAsia="Calibri" w:hAnsi="Calibri"/>
          <w:sz w:val="22"/>
          <w:szCs w:val="22"/>
        </w:rPr>
        <w:t xml:space="preserve">₃</w:t>
      </w:r>
      <w:r>
        <w:rPr>
          <w:rFonts w:ascii="Calibri" w:cs="Calibri" w:eastAsia="Calibri" w:hAnsi="Calibri"/>
          <w:sz w:val="22"/>
          <w:szCs w:val="22"/>
        </w:rPr>
        <w:t xml:space="preserve">, which mutually commute and generate the maximal torus of SU(3).</w:t>
      </w:r>
    </w:p>
    <w:p>
      <w:pPr>
        <w:spacing w:after="160" w:line="276"/>
      </w:pPr>
      <w:r>
        <w:rPr>
          <w:rFonts w:ascii="Calibri" w:cs="Calibri" w:eastAsia="Calibri" w:hAnsi="Calibri"/>
          <w:sz w:val="22"/>
          <w:szCs w:val="22"/>
        </w:rPr>
        <w:t xml:space="preserve">Because SU(3) has rank 2, only two of these three generators are independent in the root system. The SU(3) Cartan basis is:</w:t>
      </w:r>
    </w:p>
    <w:p>
      <w:pPr>
        <w:tabs>
          <w:tab w:val="center" w:pos="4680"/>
          <w:tab w:val="right" w:pos="9360"/>
        </w:tabs>
        <w:spacing w:after="200" w:before="200"/>
      </w:pPr>
      <w:r>
        <w:rPr>
          <w:rFonts w:ascii="Calibri" w:cs="Calibri" w:eastAsia="Calibri" w:hAnsi="Calibri"/>
          <w:sz w:val="22"/>
          <w:szCs w:val="22"/>
        </w:rPr>
        <w:t xml:space="preserve">	</w:t>
      </w:r>
      <w:r>
        <w:rPr>
          <w:rFonts w:ascii="Calibri" w:cs="Calibri" w:eastAsia="Calibri" w:hAnsi="Calibri"/>
          <w:i/>
          <w:iCs/>
          <w:sz w:val="22"/>
          <w:szCs w:val="22"/>
        </w:rPr>
        <w:t xml:space="preserve">H_c1 = H₁ − H₂    (simple root α₁)</w:t>
      </w:r>
      <w:r>
        <w:rPr>
          <w:rFonts w:ascii="Calibri" w:cs="Calibri" w:eastAsia="Calibri" w:hAnsi="Calibri"/>
          <w:sz w:val="22"/>
          <w:szCs w:val="22"/>
        </w:rPr>
        <w:t xml:space="preserve">	</w:t>
      </w:r>
      <w:r>
        <w:rPr>
          <w:rFonts w:ascii="Calibri" w:cs="Calibri" w:eastAsia="Calibri" w:hAnsi="Calibri"/>
          <w:sz w:val="22"/>
          <w:szCs w:val="22"/>
        </w:rPr>
        <w:t xml:space="preserve">(6a)</w:t>
      </w:r>
    </w:p>
    <w:p>
      <w:pPr>
        <w:tabs>
          <w:tab w:val="center" w:pos="4680"/>
          <w:tab w:val="right" w:pos="9360"/>
        </w:tabs>
        <w:spacing w:after="200" w:before="200"/>
      </w:pPr>
      <w:r>
        <w:rPr>
          <w:rFonts w:ascii="Calibri" w:cs="Calibri" w:eastAsia="Calibri" w:hAnsi="Calibri"/>
          <w:sz w:val="22"/>
          <w:szCs w:val="22"/>
        </w:rPr>
        <w:t xml:space="preserve">	</w:t>
      </w:r>
      <w:r>
        <w:rPr>
          <w:rFonts w:ascii="Calibri" w:cs="Calibri" w:eastAsia="Calibri" w:hAnsi="Calibri"/>
          <w:i/>
          <w:iCs/>
          <w:sz w:val="22"/>
          <w:szCs w:val="22"/>
        </w:rPr>
        <w:t xml:space="preserve">H_c2 = H₂ − H₃    (simple root α₂)</w:t>
      </w:r>
      <w:r>
        <w:rPr>
          <w:rFonts w:ascii="Calibri" w:cs="Calibri" w:eastAsia="Calibri" w:hAnsi="Calibri"/>
          <w:sz w:val="22"/>
          <w:szCs w:val="22"/>
        </w:rPr>
        <w:t xml:space="preserve">	</w:t>
      </w:r>
      <w:r>
        <w:rPr>
          <w:rFonts w:ascii="Calibri" w:cs="Calibri" w:eastAsia="Calibri" w:hAnsi="Calibri"/>
          <w:sz w:val="22"/>
          <w:szCs w:val="22"/>
        </w:rPr>
        <w:t xml:space="preserve">(6b)</w:t>
      </w:r>
    </w:p>
    <w:p>
      <w:pPr>
        <w:spacing w:after="160" w:line="276"/>
      </w:pPr>
      <w:r>
        <w:rPr>
          <w:rFonts w:ascii="Calibri" w:cs="Calibri" w:eastAsia="Calibri" w:hAnsi="Calibri"/>
          <w:sz w:val="22"/>
          <w:szCs w:val="22"/>
        </w:rPr>
        <w:t xml:space="preserve">The weight structure under the combination </w:t>
      </w:r>
      <w:r>
        <w:rPr>
          <w:rFonts w:ascii="Calibri" w:cs="Calibri" w:eastAsia="Calibri" w:hAnsi="Calibri"/>
          <w:i/>
          <w:iCs/>
          <w:sz w:val="22"/>
          <w:szCs w:val="22"/>
        </w:rPr>
        <w:t xml:space="preserve">a</w:t>
      </w:r>
      <w:r>
        <w:rPr>
          <w:rFonts w:ascii="Calibri" w:cs="Calibri" w:eastAsia="Calibri" w:hAnsi="Calibri"/>
          <w:sz w:val="22"/>
          <w:szCs w:val="22"/>
        </w:rPr>
        <w:t xml:space="preserve">₁</w:t>
      </w:r>
      <w:r>
        <w:rPr>
          <w:rFonts w:ascii="Calibri" w:cs="Calibri" w:eastAsia="Calibri" w:hAnsi="Calibri"/>
          <w:i/>
          <w:iCs/>
          <w:sz w:val="22"/>
          <w:szCs w:val="22"/>
        </w:rPr>
        <w:t xml:space="preserve">H</w:t>
      </w:r>
      <w:r>
        <w:rPr>
          <w:rFonts w:ascii="Calibri" w:cs="Calibri" w:eastAsia="Calibri" w:hAnsi="Calibri"/>
          <w:sz w:val="22"/>
          <w:szCs w:val="22"/>
          <w:vertAlign w:val="subscript"/>
        </w:rPr>
        <w:t xml:space="preserve">c1</w:t>
      </w:r>
      <w:r>
        <w:rPr>
          <w:rFonts w:ascii="Calibri" w:cs="Calibri" w:eastAsia="Calibri" w:hAnsi="Calibri"/>
          <w:sz w:val="22"/>
          <w:szCs w:val="22"/>
        </w:rPr>
        <w:t xml:space="preserve"> + </w:t>
      </w:r>
      <w:r>
        <w:rPr>
          <w:rFonts w:ascii="Calibri" w:cs="Calibri" w:eastAsia="Calibri" w:hAnsi="Calibri"/>
          <w:i/>
          <w:iCs/>
          <w:sz w:val="22"/>
          <w:szCs w:val="22"/>
        </w:rPr>
        <w:t xml:space="preserve">a</w:t>
      </w:r>
      <w:r>
        <w:rPr>
          <w:rFonts w:ascii="Calibri" w:cs="Calibri" w:eastAsia="Calibri" w:hAnsi="Calibri"/>
          <w:sz w:val="22"/>
          <w:szCs w:val="22"/>
        </w:rPr>
        <w:t xml:space="preserve">₂</w:t>
      </w:r>
      <w:r>
        <w:rPr>
          <w:rFonts w:ascii="Calibri" w:cs="Calibri" w:eastAsia="Calibri" w:hAnsi="Calibri"/>
          <w:i/>
          <w:iCs/>
          <w:sz w:val="22"/>
          <w:szCs w:val="22"/>
        </w:rPr>
        <w:t xml:space="preserve">H</w:t>
      </w:r>
      <w:r>
        <w:rPr>
          <w:rFonts w:ascii="Calibri" w:cs="Calibri" w:eastAsia="Calibri" w:hAnsi="Calibri"/>
          <w:sz w:val="22"/>
          <w:szCs w:val="22"/>
          <w:vertAlign w:val="subscript"/>
        </w:rPr>
        <w:t xml:space="preserve">c2</w:t>
      </w:r>
      <w:r>
        <w:rPr>
          <w:rFonts w:ascii="Calibri" w:cs="Calibri" w:eastAsia="Calibri" w:hAnsi="Calibri"/>
          <w:sz w:val="22"/>
          <w:szCs w:val="22"/>
        </w:rPr>
        <w:t xml:space="preserve"> assigns each of the six non-singlet modes a unique pair of Cartan weights (</w:t>
      </w:r>
      <w:r>
        <w:rPr>
          <w:rFonts w:ascii="Calibri" w:cs="Calibri" w:eastAsia="Calibri" w:hAnsi="Calibri"/>
          <w:i/>
          <w:iCs/>
          <w:sz w:val="22"/>
          <w:szCs w:val="22"/>
        </w:rPr>
        <w:t xml:space="preserve">w</w:t>
      </w:r>
      <w:r>
        <w:rPr>
          <w:rFonts w:ascii="Calibri" w:cs="Calibri" w:eastAsia="Calibri" w:hAnsi="Calibri"/>
          <w:sz w:val="22"/>
          <w:szCs w:val="22"/>
        </w:rPr>
        <w:t xml:space="preserve">₁</w:t>
      </w:r>
      <w:r>
        <w:rPr>
          <w:rFonts w:ascii="Calibri" w:cs="Calibri" w:eastAsia="Calibri" w:hAnsi="Calibri"/>
          <w:sz w:val="22"/>
          <w:szCs w:val="22"/>
        </w:rPr>
        <w:t xml:space="preserve">, </w:t>
      </w:r>
      <w:r>
        <w:rPr>
          <w:rFonts w:ascii="Calibri" w:cs="Calibri" w:eastAsia="Calibri" w:hAnsi="Calibri"/>
          <w:i/>
          <w:iCs/>
          <w:sz w:val="22"/>
          <w:szCs w:val="22"/>
        </w:rPr>
        <w:t xml:space="preserve">w</w:t>
      </w:r>
      <w:r>
        <w:rPr>
          <w:rFonts w:ascii="Calibri" w:cs="Calibri" w:eastAsia="Calibri" w:hAnsi="Calibri"/>
          <w:sz w:val="22"/>
          <w:szCs w:val="22"/>
        </w:rPr>
        <w:t xml:space="preserve">₂</w:t>
      </w:r>
      <w:r>
        <w:rPr>
          <w:rFonts w:ascii="Calibri" w:cs="Calibri" w:eastAsia="Calibri" w:hAnsi="Calibri"/>
          <w:sz w:val="22"/>
          <w:szCs w:val="22"/>
        </w:rPr>
        <w:t xml:space="preserve">), with the triplet and anti-triplet carrying opposite signs. This weight structure is the root of the conjugate pairing that will appear in the spectral analysis below.</w:t>
      </w:r>
    </w:p>
    <w:p>
      <w:pPr>
        <w:pStyle w:val="Heading2"/>
        <w:spacing w:after="200" w:before="360"/>
      </w:pPr>
      <w:r>
        <w:rPr>
          <w:rFonts w:ascii="Calibri" w:cs="Calibri" w:eastAsia="Calibri" w:hAnsi="Calibri"/>
          <w:b/>
          <w:bCs/>
          <w:sz w:val="26"/>
          <w:szCs w:val="26"/>
        </w:rPr>
        <w:t xml:space="preserve">3.3 Spectral Analysis of the Daemon Hamiltonian</w:t>
      </w:r>
    </w:p>
    <w:p>
      <w:pPr>
        <w:spacing w:after="160" w:line="276"/>
      </w:pPr>
      <w:r>
        <w:rPr>
          <w:rFonts w:ascii="Calibri" w:cs="Calibri" w:eastAsia="Calibri" w:hAnsi="Calibri"/>
          <w:sz w:val="22"/>
          <w:szCs w:val="22"/>
        </w:rPr>
        <w:t xml:space="preserve">We now assemble the full daemon Hamiltonian from the ingredients derived above. The most general Hamiltonian consistent with the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 SU(3) breaking pattern, restricted to operators that are at most quadratic in the generators, takes the form:</w:t>
      </w:r>
    </w:p>
    <w:p>
      <w:pPr>
        <w:tabs>
          <w:tab w:val="center" w:pos="4680"/>
          <w:tab w:val="right" w:pos="9360"/>
        </w:tabs>
        <w:spacing w:after="200" w:before="200"/>
      </w:pPr>
      <w:r>
        <w:rPr>
          <w:rFonts w:ascii="Calibri" w:cs="Calibri" w:eastAsia="Calibri" w:hAnsi="Calibri"/>
          <w:sz w:val="22"/>
          <w:szCs w:val="22"/>
        </w:rPr>
        <w:t xml:space="preserve">	</w:t>
      </w:r>
      <w:r>
        <w:rPr>
          <w:rFonts w:ascii="Calibri" w:cs="Calibri" w:eastAsia="Calibri" w:hAnsi="Calibri"/>
          <w:i/>
          <w:iCs/>
          <w:sz w:val="22"/>
          <w:szCs w:val="22"/>
        </w:rPr>
        <w:t xml:space="preserve">H = α·C₂(G₂) + β·C₂(SU(3)) + γ·P_void + a₁·H_c1 + a₂·H_c2</w:t>
      </w:r>
      <w:r>
        <w:rPr>
          <w:rFonts w:ascii="Calibri" w:cs="Calibri" w:eastAsia="Calibri" w:hAnsi="Calibri"/>
          <w:sz w:val="22"/>
          <w:szCs w:val="22"/>
        </w:rPr>
        <w:t xml:space="preserve">	</w:t>
      </w:r>
      <w:r>
        <w:rPr>
          <w:rFonts w:ascii="Calibri" w:cs="Calibri" w:eastAsia="Calibri" w:hAnsi="Calibri"/>
          <w:sz w:val="22"/>
          <w:szCs w:val="22"/>
        </w:rPr>
        <w:t xml:space="preserve">(7)</w:t>
      </w:r>
    </w:p>
    <w:p>
      <w:pPr>
        <w:spacing w:after="160" w:line="276"/>
      </w:pPr>
      <w:r>
        <w:rPr>
          <w:rFonts w:ascii="Calibri" w:cs="Calibri" w:eastAsia="Calibri" w:hAnsi="Calibri"/>
          <w:sz w:val="22"/>
          <w:szCs w:val="22"/>
        </w:rPr>
        <w:t xml:space="preserve">where </w:t>
      </w:r>
      <w:r>
        <w:rPr>
          <w:rFonts w:ascii="Calibri" w:cs="Calibri" w:eastAsia="Calibri" w:hAnsi="Calibri"/>
          <w:i/>
          <w:iCs/>
          <w:sz w:val="22"/>
          <w:szCs w:val="22"/>
        </w:rPr>
        <w:t xml:space="preserve">C</w:t>
      </w:r>
      <w:r>
        <w:rPr>
          <w:rFonts w:ascii="Calibri" w:cs="Calibri" w:eastAsia="Calibri" w:hAnsi="Calibri"/>
          <w:sz w:val="22"/>
          <w:szCs w:val="22"/>
        </w:rPr>
        <w:t xml:space="preserve">₂</w:t>
      </w:r>
      <w:r>
        <w:rPr>
          <w:rFonts w:ascii="Calibri" w:cs="Calibri" w:eastAsia="Calibri" w:hAnsi="Calibri"/>
          <w:sz w:val="22"/>
          <w:szCs w:val="22"/>
        </w:rPr>
        <w:t xml:space="preserve">(G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is the full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Casimir (Equation 4), </w:t>
      </w:r>
      <w:r>
        <w:rPr>
          <w:rFonts w:ascii="Calibri" w:cs="Calibri" w:eastAsia="Calibri" w:hAnsi="Calibri"/>
          <w:i/>
          <w:iCs/>
          <w:sz w:val="22"/>
          <w:szCs w:val="22"/>
        </w:rPr>
        <w:t xml:space="preserve">C</w:t>
      </w:r>
      <w:r>
        <w:rPr>
          <w:rFonts w:ascii="Calibri" w:cs="Calibri" w:eastAsia="Calibri" w:hAnsi="Calibri"/>
          <w:sz w:val="22"/>
          <w:szCs w:val="22"/>
        </w:rPr>
        <w:t xml:space="preserve">₂</w:t>
      </w:r>
      <w:r>
        <w:rPr>
          <w:rFonts w:ascii="Calibri" w:cs="Calibri" w:eastAsia="Calibri" w:hAnsi="Calibri"/>
          <w:sz w:val="22"/>
          <w:szCs w:val="22"/>
        </w:rPr>
        <w:t xml:space="preserve">(SU(3)) is the SU(3) Casimir, </w:t>
      </w:r>
      <w:r>
        <w:rPr>
          <w:rFonts w:ascii="Calibri" w:cs="Calibri" w:eastAsia="Calibri" w:hAnsi="Calibri"/>
          <w:i/>
          <w:iCs/>
          <w:sz w:val="22"/>
          <w:szCs w:val="22"/>
        </w:rPr>
        <w:t xml:space="preserve">P</w:t>
      </w:r>
      <w:r>
        <w:rPr>
          <w:rFonts w:ascii="Calibri" w:cs="Calibri" w:eastAsia="Calibri" w:hAnsi="Calibri"/>
          <w:sz w:val="22"/>
          <w:szCs w:val="22"/>
          <w:vertAlign w:val="subscript"/>
        </w:rPr>
        <w:t xml:space="preserve">void</w:t>
      </w:r>
      <w:r>
        <w:rPr>
          <w:rFonts w:ascii="Calibri" w:cs="Calibri" w:eastAsia="Calibri" w:hAnsi="Calibri"/>
          <w:sz w:val="22"/>
          <w:szCs w:val="22"/>
        </w:rPr>
        <w:t xml:space="preserve"> is the projector onto the singlet direction, and </w:t>
      </w:r>
      <w:r>
        <w:rPr>
          <w:rFonts w:ascii="Calibri" w:cs="Calibri" w:eastAsia="Calibri" w:hAnsi="Calibri"/>
          <w:i/>
          <w:iCs/>
          <w:sz w:val="22"/>
          <w:szCs w:val="22"/>
        </w:rPr>
        <w:t xml:space="preserve">H</w:t>
      </w:r>
      <w:r>
        <w:rPr>
          <w:rFonts w:ascii="Calibri" w:cs="Calibri" w:eastAsia="Calibri" w:hAnsi="Calibri"/>
          <w:sz w:val="22"/>
          <w:szCs w:val="22"/>
          <w:vertAlign w:val="subscript"/>
        </w:rPr>
        <w:t xml:space="preserve">c1</w:t>
      </w:r>
      <w:r>
        <w:rPr>
          <w:rFonts w:ascii="Calibri" w:cs="Calibri" w:eastAsia="Calibri" w:hAnsi="Calibri"/>
          <w:sz w:val="22"/>
          <w:szCs w:val="22"/>
        </w:rPr>
        <w:t xml:space="preserve">, </w:t>
      </w:r>
      <w:r>
        <w:rPr>
          <w:rFonts w:ascii="Calibri" w:cs="Calibri" w:eastAsia="Calibri" w:hAnsi="Calibri"/>
          <w:i/>
          <w:iCs/>
          <w:sz w:val="22"/>
          <w:szCs w:val="22"/>
        </w:rPr>
        <w:t xml:space="preserve">H</w:t>
      </w:r>
      <w:r>
        <w:rPr>
          <w:rFonts w:ascii="Calibri" w:cs="Calibri" w:eastAsia="Calibri" w:hAnsi="Calibri"/>
          <w:sz w:val="22"/>
          <w:szCs w:val="22"/>
          <w:vertAlign w:val="subscript"/>
        </w:rPr>
        <w:t xml:space="preserve">c2</w:t>
      </w:r>
      <w:r>
        <w:rPr>
          <w:rFonts w:ascii="Calibri" w:cs="Calibri" w:eastAsia="Calibri" w:hAnsi="Calibri"/>
          <w:sz w:val="22"/>
          <w:szCs w:val="22"/>
        </w:rPr>
        <w:t xml:space="preserve"> are the two independent Cartan generators (Equations 6a–6b). The five parameters (α, β, γ, </w:t>
      </w:r>
      <w:r>
        <w:rPr>
          <w:rFonts w:ascii="Calibri" w:cs="Calibri" w:eastAsia="Calibri" w:hAnsi="Calibri"/>
          <w:i/>
          <w:iCs/>
          <w:sz w:val="22"/>
          <w:szCs w:val="22"/>
        </w:rPr>
        <w:t xml:space="preserve">a</w:t>
      </w:r>
      <w:r>
        <w:rPr>
          <w:rFonts w:ascii="Calibri" w:cs="Calibri" w:eastAsia="Calibri" w:hAnsi="Calibri"/>
          <w:sz w:val="22"/>
          <w:szCs w:val="22"/>
        </w:rPr>
        <w:t xml:space="preserve">₁</w:t>
      </w:r>
      <w:r>
        <w:rPr>
          <w:rFonts w:ascii="Calibri" w:cs="Calibri" w:eastAsia="Calibri" w:hAnsi="Calibri"/>
          <w:sz w:val="22"/>
          <w:szCs w:val="22"/>
        </w:rPr>
        <w:t xml:space="preserve">, </w:t>
      </w:r>
      <w:r>
        <w:rPr>
          <w:rFonts w:ascii="Calibri" w:cs="Calibri" w:eastAsia="Calibri" w:hAnsi="Calibri"/>
          <w:i/>
          <w:iCs/>
          <w:sz w:val="22"/>
          <w:szCs w:val="22"/>
        </w:rPr>
        <w:t xml:space="preserve">a</w:t>
      </w:r>
      <w:r>
        <w:rPr>
          <w:rFonts w:ascii="Calibri" w:cs="Calibri" w:eastAsia="Calibri" w:hAnsi="Calibri"/>
          <w:sz w:val="22"/>
          <w:szCs w:val="22"/>
        </w:rPr>
        <w:t xml:space="preserve">₂</w:t>
      </w:r>
      <w:r>
        <w:rPr>
          <w:rFonts w:ascii="Calibri" w:cs="Calibri" w:eastAsia="Calibri" w:hAnsi="Calibri"/>
          <w:sz w:val="22"/>
          <w:szCs w:val="22"/>
        </w:rPr>
        <w:t xml:space="preserve">) play distinct physical roles:</w:t>
      </w:r>
    </w:p>
    <w:p>
      <w:pPr>
        <w:spacing w:after="160" w:line="276"/>
      </w:pPr>
      <w:r>
        <w:rPr>
          <w:rFonts w:ascii="Calibri" w:cs="Calibri" w:eastAsia="Calibri" w:hAnsi="Calibri"/>
          <w:sz w:val="22"/>
          <w:szCs w:val="22"/>
        </w:rPr>
        <w:t xml:space="preserve">• </w:t>
      </w:r>
      <w:r>
        <w:rPr>
          <w:rFonts w:ascii="Calibri" w:cs="Calibri" w:eastAsia="Calibri" w:hAnsi="Calibri"/>
          <w:i/>
          <w:iCs/>
          <w:sz w:val="22"/>
          <w:szCs w:val="22"/>
        </w:rPr>
        <w:t xml:space="preserve">α</w:t>
      </w:r>
      <w:r>
        <w:rPr>
          <w:rFonts w:ascii="Calibri" w:cs="Calibri" w:eastAsia="Calibri" w:hAnsi="Calibri"/>
          <w:sz w:val="22"/>
          <w:szCs w:val="22"/>
        </w:rPr>
        <w:t xml:space="preserve"> is a uniform energy shift (physically irrelevant for the spectrum);</w:t>
      </w:r>
    </w:p>
    <w:p>
      <w:pPr>
        <w:spacing w:after="160" w:line="276"/>
      </w:pPr>
      <w:r>
        <w:rPr>
          <w:rFonts w:ascii="Calibri" w:cs="Calibri" w:eastAsia="Calibri" w:hAnsi="Calibri"/>
          <w:sz w:val="22"/>
          <w:szCs w:val="22"/>
        </w:rPr>
        <w:t xml:space="preserve">• </w:t>
      </w:r>
      <w:r>
        <w:rPr>
          <w:rFonts w:ascii="Calibri" w:cs="Calibri" w:eastAsia="Calibri" w:hAnsi="Calibri"/>
          <w:i/>
          <w:iCs/>
          <w:sz w:val="22"/>
          <w:szCs w:val="22"/>
        </w:rPr>
        <w:t xml:space="preserve">β</w:t>
      </w:r>
      <w:r>
        <w:rPr>
          <w:rFonts w:ascii="Calibri" w:cs="Calibri" w:eastAsia="Calibri" w:hAnsi="Calibri"/>
          <w:sz w:val="22"/>
          <w:szCs w:val="22"/>
        </w:rPr>
        <w:t xml:space="preserve"> controls the singlet–non-singlet gap (the energetic cost of deviating from the void mode);</w:t>
      </w:r>
    </w:p>
    <w:p>
      <w:pPr>
        <w:spacing w:after="160" w:line="276"/>
      </w:pPr>
      <w:r>
        <w:rPr>
          <w:rFonts w:ascii="Calibri" w:cs="Calibri" w:eastAsia="Calibri" w:hAnsi="Calibri"/>
          <w:sz w:val="22"/>
          <w:szCs w:val="22"/>
        </w:rPr>
        <w:t xml:space="preserve">• </w:t>
      </w:r>
      <w:r>
        <w:rPr>
          <w:rFonts w:ascii="Calibri" w:cs="Calibri" w:eastAsia="Calibri" w:hAnsi="Calibri"/>
          <w:i/>
          <w:iCs/>
          <w:sz w:val="22"/>
          <w:szCs w:val="22"/>
        </w:rPr>
        <w:t xml:space="preserve">γ</w:t>
      </w:r>
      <w:r>
        <w:rPr>
          <w:rFonts w:ascii="Calibri" w:cs="Calibri" w:eastAsia="Calibri" w:hAnsi="Calibri"/>
          <w:sz w:val="22"/>
          <w:szCs w:val="22"/>
        </w:rPr>
        <w:t xml:space="preserve"> shifts the singlet independently (an explicit void-mode energy);</w:t>
      </w:r>
    </w:p>
    <w:p>
      <w:pPr>
        <w:spacing w:after="160" w:line="276"/>
      </w:pPr>
      <w:r>
        <w:rPr>
          <w:rFonts w:ascii="Calibri" w:cs="Calibri" w:eastAsia="Calibri" w:hAnsi="Calibri"/>
          <w:sz w:val="22"/>
          <w:szCs w:val="22"/>
        </w:rPr>
        <w:t xml:space="preserve">• </w:t>
      </w:r>
      <w:r>
        <w:rPr>
          <w:rFonts w:ascii="Calibri" w:cs="Calibri" w:eastAsia="Calibri" w:hAnsi="Calibri"/>
          <w:i/>
          <w:iCs/>
          <w:sz w:val="22"/>
          <w:szCs w:val="22"/>
        </w:rPr>
        <w:t xml:space="preserve">a</w:t>
      </w:r>
      <w:r>
        <w:rPr>
          <w:rFonts w:ascii="Calibri" w:cs="Calibri" w:eastAsia="Calibri" w:hAnsi="Calibri"/>
          <w:sz w:val="22"/>
          <w:szCs w:val="22"/>
        </w:rPr>
        <w:t xml:space="preserve">₁</w:t>
      </w:r>
      <w:r>
        <w:rPr>
          <w:rFonts w:ascii="Calibri" w:cs="Calibri" w:eastAsia="Calibri" w:hAnsi="Calibri"/>
          <w:sz w:val="22"/>
          <w:szCs w:val="22"/>
        </w:rPr>
        <w:t xml:space="preserve">, </w:t>
      </w:r>
      <w:r>
        <w:rPr>
          <w:rFonts w:ascii="Calibri" w:cs="Calibri" w:eastAsia="Calibri" w:hAnsi="Calibri"/>
          <w:i/>
          <w:iCs/>
          <w:sz w:val="22"/>
          <w:szCs w:val="22"/>
        </w:rPr>
        <w:t xml:space="preserve">a</w:t>
      </w:r>
      <w:r>
        <w:rPr>
          <w:rFonts w:ascii="Calibri" w:cs="Calibri" w:eastAsia="Calibri" w:hAnsi="Calibri"/>
          <w:sz w:val="22"/>
          <w:szCs w:val="22"/>
        </w:rPr>
        <w:t xml:space="preserve">₂</w:t>
      </w:r>
      <w:r>
        <w:rPr>
          <w:rFonts w:ascii="Calibri" w:cs="Calibri" w:eastAsia="Calibri" w:hAnsi="Calibri"/>
          <w:sz w:val="22"/>
          <w:szCs w:val="22"/>
        </w:rPr>
        <w:t xml:space="preserve"> are the explicit symmetry-breaking couplings that split the six non-singlet modes within the 3 ⊕ 3̅ sector.</w:t>
      </w:r>
    </w:p>
    <w:p>
      <w:pPr>
        <w:spacing w:after="160" w:line="276"/>
      </w:pPr>
      <w:r>
        <w:rPr>
          <w:rFonts w:ascii="Calibri" w:cs="Calibri" w:eastAsia="Calibri" w:hAnsi="Calibri"/>
          <w:sz w:val="22"/>
          <w:szCs w:val="22"/>
        </w:rPr>
        <w:t xml:space="preserve">The spectrum of Equation (7) can be analysed by examining which terms are turned on. We identify four distinct regimes, summarised in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400"/>
        <w:gridCol w:w="3160"/>
      </w:tblGrid>
      <w:tr>
        <w:tc>
          <w:tcPr>
            <w:tcW w:type="dxa" w:w="2600"/>
            <w:tcBorders>
              <w:top w:val="single" w:color="999999" w:sz="1"/>
              <w:left w:val="single" w:color="999999" w:sz="1"/>
              <w:bottom w:val="single" w:color="999999" w:sz="1"/>
              <w:right w:val="single" w:color="999999" w:sz="1"/>
            </w:tcBorders>
            <w:shd w:fill="E8E8E8" w:val="clear"/>
            <w:tcMar>
              <w:top w:type="dxa" w:w="50"/>
              <w:left w:type="dxa" w:w="80"/>
              <w:bottom w:type="dxa" w:w="50"/>
              <w:right w:type="dxa" w:w="80"/>
            </w:tcMar>
          </w:tcPr>
          <w:p>
            <w:pPr>
              <w:spacing w:after="40"/>
            </w:pPr>
            <w:r>
              <w:rPr>
                <w:rFonts w:ascii="Calibri" w:cs="Calibri" w:eastAsia="Calibri" w:hAnsi="Calibri"/>
                <w:b/>
                <w:bCs/>
                <w:sz w:val="20"/>
                <w:szCs w:val="20"/>
              </w:rPr>
              <w:t xml:space="preserve">Parameters</w:t>
            </w:r>
          </w:p>
        </w:tc>
        <w:tc>
          <w:tcPr>
            <w:tcW w:type="dxa" w:w="1200"/>
            <w:tcBorders>
              <w:top w:val="single" w:color="999999" w:sz="1"/>
              <w:left w:val="single" w:color="999999" w:sz="1"/>
              <w:bottom w:val="single" w:color="999999" w:sz="1"/>
              <w:right w:val="single" w:color="999999" w:sz="1"/>
            </w:tcBorders>
            <w:shd w:fill="E8E8E8" w:val="clear"/>
            <w:tcMar>
              <w:top w:type="dxa" w:w="50"/>
              <w:left w:type="dxa" w:w="80"/>
              <w:bottom w:type="dxa" w:w="50"/>
              <w:right w:type="dxa" w:w="80"/>
            </w:tcMar>
          </w:tcPr>
          <w:p>
            <w:pPr>
              <w:spacing w:after="40"/>
            </w:pPr>
            <w:r>
              <w:rPr>
                <w:rFonts w:ascii="Calibri" w:cs="Calibri" w:eastAsia="Calibri" w:hAnsi="Calibri"/>
                <w:b/>
                <w:bCs/>
                <w:sz w:val="20"/>
                <w:szCs w:val="20"/>
              </w:rPr>
              <w:t xml:space="preserve">Levels</w:t>
            </w:r>
          </w:p>
        </w:tc>
        <w:tc>
          <w:tcPr>
            <w:tcW w:type="dxa" w:w="2400"/>
            <w:tcBorders>
              <w:top w:val="single" w:color="999999" w:sz="1"/>
              <w:left w:val="single" w:color="999999" w:sz="1"/>
              <w:bottom w:val="single" w:color="999999" w:sz="1"/>
              <w:right w:val="single" w:color="999999" w:sz="1"/>
            </w:tcBorders>
            <w:shd w:fill="E8E8E8" w:val="clear"/>
            <w:tcMar>
              <w:top w:type="dxa" w:w="50"/>
              <w:left w:type="dxa" w:w="80"/>
              <w:bottom w:type="dxa" w:w="50"/>
              <w:right w:type="dxa" w:w="80"/>
            </w:tcMar>
          </w:tcPr>
          <w:p>
            <w:pPr>
              <w:spacing w:after="40"/>
            </w:pPr>
            <w:r>
              <w:rPr>
                <w:rFonts w:ascii="Calibri" w:cs="Calibri" w:eastAsia="Calibri" w:hAnsi="Calibri"/>
                <w:b/>
                <w:bCs/>
                <w:sz w:val="20"/>
                <w:szCs w:val="20"/>
              </w:rPr>
              <w:t xml:space="preserve">Structure</w:t>
            </w:r>
          </w:p>
        </w:tc>
        <w:tc>
          <w:tcPr>
            <w:tcW w:type="dxa" w:w="3160"/>
            <w:tcBorders>
              <w:top w:val="single" w:color="999999" w:sz="1"/>
              <w:left w:val="single" w:color="999999" w:sz="1"/>
              <w:bottom w:val="single" w:color="999999" w:sz="1"/>
              <w:right w:val="single" w:color="999999" w:sz="1"/>
            </w:tcBorders>
            <w:shd w:fill="E8E8E8" w:val="clear"/>
            <w:tcMar>
              <w:top w:type="dxa" w:w="50"/>
              <w:left w:type="dxa" w:w="80"/>
              <w:bottom w:type="dxa" w:w="50"/>
              <w:right w:type="dxa" w:w="80"/>
            </w:tcMar>
          </w:tcPr>
          <w:p>
            <w:pPr>
              <w:spacing w:after="40"/>
            </w:pPr>
            <w:r>
              <w:rPr>
                <w:rFonts w:ascii="Calibri" w:cs="Calibri" w:eastAsia="Calibri" w:hAnsi="Calibri"/>
                <w:b/>
                <w:bCs/>
                <w:sz w:val="20"/>
                <w:szCs w:val="20"/>
              </w:rPr>
              <w:t xml:space="preserve">Physical interpretation</w:t>
            </w:r>
          </w:p>
        </w:tc>
      </w:tr>
      <w:tr>
        <w:tc>
          <w:tcPr>
            <w:tcW w:type="dxa" w:w="2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β = γ = a₁ = a₂ = 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1</w:t>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7-fold degenerate</w:t>
            </w:r>
          </w:p>
        </w:tc>
        <w:tc>
          <w:tcPr>
            <w:tcW w:type="dxa" w:w="3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Pure G₂ Casimir; no splitting</w:t>
            </w:r>
          </w:p>
        </w:tc>
      </w:tr>
      <w:tr>
        <w:tc>
          <w:tcPr>
            <w:tcW w:type="dxa" w:w="2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β ≠ 0, rest = 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2</w:t>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singlet ⊕ [6-fold]</w:t>
            </w:r>
          </w:p>
        </w:tc>
        <w:tc>
          <w:tcPr>
            <w:tcW w:type="dxa" w:w="3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SU(3) Casimir only; void vs. daemons</w:t>
            </w:r>
          </w:p>
        </w:tc>
      </w:tr>
      <w:tr>
        <w:tc>
          <w:tcPr>
            <w:tcW w:type="dxa" w:w="2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β ≠ 0, a₁ = a₂ ≠ 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4</w:t>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singlet ⊕ 3×[2-fold]</w:t>
            </w:r>
          </w:p>
        </w:tc>
        <w:tc>
          <w:tcPr>
            <w:tcW w:type="dxa" w:w="3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Triplet-of-triplet (symmetric Cartan)</w:t>
            </w:r>
          </w:p>
        </w:tc>
      </w:tr>
      <w:tr>
        <w:tc>
          <w:tcPr>
            <w:tcW w:type="dxa" w:w="2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β ≠ 0, a₁ ≠ a₂ ≠ 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7</w:t>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All distinct</w:t>
            </w:r>
          </w:p>
        </w:tc>
        <w:tc>
          <w:tcPr>
            <w:tcW w:type="dxa" w:w="3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Fully resolved (asymmetric Cartan)</w:t>
            </w:r>
          </w:p>
        </w:tc>
      </w:tr>
    </w:tbl>
    <w:p>
      <w:pPr>
        <w:spacing w:after="160" w:line="276"/>
      </w:pPr>
    </w:p>
    <w:p>
      <w:pPr>
        <w:spacing w:after="200"/>
      </w:pPr>
      <w:r>
        <w:rPr>
          <w:rFonts w:ascii="Calibri" w:cs="Calibri" w:eastAsia="Calibri" w:hAnsi="Calibri"/>
          <w:b/>
          <w:bCs/>
          <w:sz w:val="22"/>
          <w:szCs w:val="22"/>
        </w:rPr>
        <w:t xml:space="preserve">Table 2.</w:t>
      </w:r>
      <w:r>
        <w:rPr>
          <w:rFonts w:ascii="Calibri" w:cs="Calibri" w:eastAsia="Calibri" w:hAnsi="Calibri"/>
          <w:sz w:val="22"/>
          <w:szCs w:val="22"/>
        </w:rPr>
        <w:t xml:space="preserve"> Spectral regimes of the daemon Hamiltonian (Equation 7). The level count depends on which symmetry-breaking terms are active. The triplet-of-triplet pattern (4 levels) requires non-zero Cartan terms, not merely the Casimir.</w:t>
      </w:r>
    </w:p>
    <w:p>
      <w:pPr>
        <w:spacing w:after="160" w:line="276"/>
      </w:pPr>
      <w:r>
        <w:rPr>
          <w:rFonts w:ascii="Calibri" w:cs="Calibri" w:eastAsia="Calibri" w:hAnsi="Calibri"/>
          <w:sz w:val="22"/>
          <w:szCs w:val="22"/>
        </w:rPr>
        <w:t xml:space="preserve">The key distinction here deserves emphasis. </w:t>
      </w:r>
      <w:r>
        <w:rPr>
          <w:rFonts w:ascii="Calibri" w:cs="Calibri" w:eastAsia="Calibri" w:hAnsi="Calibri"/>
          <w:b/>
          <w:bCs/>
          <w:sz w:val="22"/>
          <w:szCs w:val="22"/>
        </w:rPr>
        <w:t xml:space="preserve">The Casimir-only Hamiltonian (</w:t>
      </w:r>
      <w:r>
        <w:rPr>
          <w:rFonts w:ascii="Calibri" w:cs="Calibri" w:eastAsia="Calibri" w:hAnsi="Calibri"/>
          <w:i/>
          <w:iCs/>
          <w:sz w:val="22"/>
          <w:szCs w:val="22"/>
        </w:rPr>
        <w:t xml:space="preserve">β</w:t>
      </w:r>
      <w:r>
        <w:rPr>
          <w:rFonts w:ascii="Calibri" w:cs="Calibri" w:eastAsia="Calibri" w:hAnsi="Calibri"/>
          <w:b/>
          <w:bCs/>
          <w:sz w:val="22"/>
          <w:szCs w:val="22"/>
        </w:rPr>
        <w:t xml:space="preserve"> ≠ 0, no Cartan terms) produces only a two-level split</w:t>
      </w:r>
      <w:r>
        <w:rPr>
          <w:rFonts w:ascii="Calibri" w:cs="Calibri" w:eastAsia="Calibri" w:hAnsi="Calibri"/>
          <w:sz w:val="22"/>
          <w:szCs w:val="22"/>
        </w:rPr>
        <w:t xml:space="preserve">: singlet versus a 6-fold degenerate sextet. The triplet-of-triplet structure — four distinct levels, with three doubly-degenerate pairs plus the singlet — </w:t>
      </w:r>
      <w:r>
        <w:rPr>
          <w:rFonts w:ascii="Calibri" w:cs="Calibri" w:eastAsia="Calibri" w:hAnsi="Calibri"/>
          <w:b/>
          <w:bCs/>
          <w:sz w:val="22"/>
          <w:szCs w:val="22"/>
        </w:rPr>
        <w:t xml:space="preserve">requires the Cartan terms.</w:t>
      </w:r>
      <w:r>
        <w:rPr>
          <w:rFonts w:ascii="Calibri" w:cs="Calibri" w:eastAsia="Calibri" w:hAnsi="Calibri"/>
          <w:sz w:val="22"/>
          <w:szCs w:val="22"/>
        </w:rPr>
        <w:t xml:space="preserve"> This means the triplet-of-triplet pattern is a direct signature of spontaneous breaking </w:t>
      </w:r>
      <w:r>
        <w:rPr>
          <w:rFonts w:ascii="Calibri" w:cs="Calibri" w:eastAsia="Calibri" w:hAnsi="Calibri"/>
          <w:i/>
          <w:iCs/>
          <w:sz w:val="22"/>
          <w:szCs w:val="22"/>
        </w:rPr>
        <w:t xml:space="preserve">inside</w:t>
      </w:r>
      <w:r>
        <w:rPr>
          <w:rFonts w:ascii="Calibri" w:cs="Calibri" w:eastAsia="Calibri" w:hAnsi="Calibri"/>
          <w:sz w:val="22"/>
          <w:szCs w:val="22"/>
        </w:rPr>
        <w:t xml:space="preserve"> the residual SU(3), not of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itself. The full symmetry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produces uniform structure; the broken symmetry (SU(3) with Cartan splitting) produces hierarchical structure. This is physically meaningful: the spectral richness of the daemon architecture is a consequence of symmetry-breaking dynamics, not merely of the representation theory of the unbroken group.</w:t>
      </w:r>
    </w:p>
    <w:p>
      <w:pPr>
        <w:pStyle w:val="Heading3"/>
        <w:spacing w:after="160" w:before="280"/>
      </w:pPr>
      <w:r>
        <w:rPr>
          <w:rFonts w:ascii="Calibri" w:cs="Calibri" w:eastAsia="Calibri" w:hAnsi="Calibri"/>
          <w:b/>
          <w:bCs/>
          <w:sz w:val="24"/>
          <w:szCs w:val="24"/>
        </w:rPr>
        <w:t xml:space="preserve">Canonical example</w:t>
      </w:r>
    </w:p>
    <w:p>
      <w:pPr>
        <w:spacing w:after="160" w:line="276"/>
      </w:pPr>
      <w:r>
        <w:rPr>
          <w:rFonts w:ascii="Calibri" w:cs="Calibri" w:eastAsia="Calibri" w:hAnsi="Calibri"/>
          <w:sz w:val="22"/>
          <w:szCs w:val="22"/>
        </w:rPr>
        <w:t xml:space="preserve">To illustrate the triplet-of-triplet regime concretely, we set α = 1, β = 1, γ = 0.5, </w:t>
      </w:r>
      <w:r>
        <w:rPr>
          <w:rFonts w:ascii="Calibri" w:cs="Calibri" w:eastAsia="Calibri" w:hAnsi="Calibri"/>
          <w:i/>
          <w:iCs/>
          <w:sz w:val="22"/>
          <w:szCs w:val="22"/>
        </w:rPr>
        <w:t xml:space="preserve">a</w:t>
      </w:r>
      <w:r>
        <w:rPr>
          <w:rFonts w:ascii="Calibri" w:cs="Calibri" w:eastAsia="Calibri" w:hAnsi="Calibri"/>
          <w:sz w:val="22"/>
          <w:szCs w:val="22"/>
        </w:rPr>
        <w:t xml:space="preserve">₁</w:t>
      </w:r>
      <w:r>
        <w:rPr>
          <w:rFonts w:ascii="Calibri" w:cs="Calibri" w:eastAsia="Calibri" w:hAnsi="Calibri"/>
          <w:sz w:val="22"/>
          <w:szCs w:val="22"/>
        </w:rPr>
        <w:t xml:space="preserve"> = </w:t>
      </w:r>
      <w:r>
        <w:rPr>
          <w:rFonts w:ascii="Calibri" w:cs="Calibri" w:eastAsia="Calibri" w:hAnsi="Calibri"/>
          <w:i/>
          <w:iCs/>
          <w:sz w:val="22"/>
          <w:szCs w:val="22"/>
        </w:rPr>
        <w:t xml:space="preserve">a</w:t>
      </w:r>
      <w:r>
        <w:rPr>
          <w:rFonts w:ascii="Calibri" w:cs="Calibri" w:eastAsia="Calibri" w:hAnsi="Calibri"/>
          <w:sz w:val="22"/>
          <w:szCs w:val="22"/>
        </w:rPr>
        <w:t xml:space="preserve">₂</w:t>
      </w:r>
      <w:r>
        <w:rPr>
          <w:rFonts w:ascii="Calibri" w:cs="Calibri" w:eastAsia="Calibri" w:hAnsi="Calibri"/>
          <w:sz w:val="22"/>
          <w:szCs w:val="22"/>
        </w:rPr>
        <w:t xml:space="preserve"> = 1 (symmetric Cartan). The resulting eigenvalues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8E8" w:val="clear"/>
            <w:tcMar>
              <w:top w:type="dxa" w:w="50"/>
              <w:left w:type="dxa" w:w="80"/>
              <w:bottom w:type="dxa" w:w="50"/>
              <w:right w:type="dxa" w:w="80"/>
            </w:tcMar>
          </w:tcPr>
          <w:p>
            <w:pPr>
              <w:spacing w:after="40"/>
            </w:pPr>
            <w:r>
              <w:rPr>
                <w:rFonts w:ascii="Calibri" w:cs="Calibri" w:eastAsia="Calibri" w:hAnsi="Calibri"/>
                <w:b/>
                <w:bCs/>
                <w:sz w:val="20"/>
                <w:szCs w:val="20"/>
              </w:rPr>
              <w:t xml:space="preserve">Level</w:t>
            </w:r>
          </w:p>
        </w:tc>
        <w:tc>
          <w:tcPr>
            <w:tcW w:type="dxa" w:w="2340"/>
            <w:tcBorders>
              <w:top w:val="single" w:color="999999" w:sz="1"/>
              <w:left w:val="single" w:color="999999" w:sz="1"/>
              <w:bottom w:val="single" w:color="999999" w:sz="1"/>
              <w:right w:val="single" w:color="999999" w:sz="1"/>
            </w:tcBorders>
            <w:shd w:fill="E8E8E8" w:val="clear"/>
            <w:tcMar>
              <w:top w:type="dxa" w:w="50"/>
              <w:left w:type="dxa" w:w="80"/>
              <w:bottom w:type="dxa" w:w="50"/>
              <w:right w:type="dxa" w:w="80"/>
            </w:tcMar>
          </w:tcPr>
          <w:p>
            <w:pPr>
              <w:spacing w:after="40"/>
            </w:pPr>
            <w:r>
              <w:rPr>
                <w:rFonts w:ascii="Calibri" w:cs="Calibri" w:eastAsia="Calibri" w:hAnsi="Calibri"/>
                <w:b/>
                <w:bCs/>
                <w:sz w:val="20"/>
                <w:szCs w:val="20"/>
              </w:rPr>
              <w:t xml:space="preserve">Eigenvalue</w:t>
            </w:r>
          </w:p>
        </w:tc>
        <w:tc>
          <w:tcPr>
            <w:tcW w:type="dxa" w:w="2340"/>
            <w:tcBorders>
              <w:top w:val="single" w:color="999999" w:sz="1"/>
              <w:left w:val="single" w:color="999999" w:sz="1"/>
              <w:bottom w:val="single" w:color="999999" w:sz="1"/>
              <w:right w:val="single" w:color="999999" w:sz="1"/>
            </w:tcBorders>
            <w:shd w:fill="E8E8E8" w:val="clear"/>
            <w:tcMar>
              <w:top w:type="dxa" w:w="50"/>
              <w:left w:type="dxa" w:w="80"/>
              <w:bottom w:type="dxa" w:w="50"/>
              <w:right w:type="dxa" w:w="80"/>
            </w:tcMar>
          </w:tcPr>
          <w:p>
            <w:pPr>
              <w:spacing w:after="40"/>
            </w:pPr>
            <w:r>
              <w:rPr>
                <w:rFonts w:ascii="Calibri" w:cs="Calibri" w:eastAsia="Calibri" w:hAnsi="Calibri"/>
                <w:b/>
                <w:bCs/>
                <w:sz w:val="20"/>
                <w:szCs w:val="20"/>
              </w:rPr>
              <w:t xml:space="preserve">Degeneracy</w:t>
            </w:r>
          </w:p>
        </w:tc>
        <w:tc>
          <w:tcPr>
            <w:tcW w:type="dxa" w:w="2340"/>
            <w:tcBorders>
              <w:top w:val="single" w:color="999999" w:sz="1"/>
              <w:left w:val="single" w:color="999999" w:sz="1"/>
              <w:bottom w:val="single" w:color="999999" w:sz="1"/>
              <w:right w:val="single" w:color="999999" w:sz="1"/>
            </w:tcBorders>
            <w:shd w:fill="E8E8E8" w:val="clear"/>
            <w:tcMar>
              <w:top w:type="dxa" w:w="50"/>
              <w:left w:type="dxa" w:w="80"/>
              <w:bottom w:type="dxa" w:w="50"/>
              <w:right w:type="dxa" w:w="80"/>
            </w:tcMar>
          </w:tcPr>
          <w:p>
            <w:pPr>
              <w:spacing w:after="40"/>
            </w:pPr>
            <w:r>
              <w:rPr>
                <w:rFonts w:ascii="Calibri" w:cs="Calibri" w:eastAsia="Calibri" w:hAnsi="Calibri"/>
                <w:b/>
                <w:bCs/>
                <w:sz w:val="20"/>
                <w:szCs w:val="20"/>
              </w:rPr>
              <w:t xml:space="preserve">Gap from Ωvoid</w:t>
            </w:r>
          </w:p>
        </w:tc>
      </w:tr>
      <w:tr>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Ωvoid (singlet)</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−3.500</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×1</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w:t>
            </w:r>
          </w:p>
        </w:tc>
      </w:tr>
      <w:tr>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Doublet 3</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−5.667</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×2</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2.167</w:t>
            </w:r>
          </w:p>
        </w:tc>
      </w:tr>
      <w:tr>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Doublet 2</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−6.667</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×2</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3.167</w:t>
            </w:r>
          </w:p>
        </w:tc>
      </w:tr>
      <w:tr>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Doublet 1</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−7.667</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×2</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4.167</w:t>
            </w:r>
          </w:p>
        </w:tc>
      </w:tr>
    </w:tbl>
    <w:p>
      <w:pPr>
        <w:spacing w:after="160" w:line="276"/>
      </w:pPr>
    </w:p>
    <w:p>
      <w:pPr>
        <w:spacing w:after="200"/>
      </w:pPr>
      <w:r>
        <w:rPr>
          <w:rFonts w:ascii="Calibri" w:cs="Calibri" w:eastAsia="Calibri" w:hAnsi="Calibri"/>
          <w:b/>
          <w:bCs/>
          <w:sz w:val="22"/>
          <w:szCs w:val="22"/>
        </w:rPr>
        <w:t xml:space="preserve">Table 3.</w:t>
      </w:r>
      <w:r>
        <w:rPr>
          <w:rFonts w:ascii="Calibri" w:cs="Calibri" w:eastAsia="Calibri" w:hAnsi="Calibri"/>
          <w:sz w:val="22"/>
          <w:szCs w:val="22"/>
        </w:rPr>
        <w:t xml:space="preserve"> Eigenvalue spectrum for the canonical parameter set (α = 1, β = 1, γ = 0.5, </w:t>
      </w:r>
      <w:r>
        <w:rPr>
          <w:rFonts w:ascii="Calibri" w:cs="Calibri" w:eastAsia="Calibri" w:hAnsi="Calibri"/>
          <w:i/>
          <w:iCs/>
          <w:sz w:val="22"/>
          <w:szCs w:val="22"/>
        </w:rPr>
        <w:t xml:space="preserve">a</w:t>
      </w:r>
      <w:r>
        <w:rPr>
          <w:rFonts w:ascii="Calibri" w:cs="Calibri" w:eastAsia="Calibri" w:hAnsi="Calibri"/>
          <w:sz w:val="22"/>
          <w:szCs w:val="22"/>
        </w:rPr>
        <w:t xml:space="preserve">₁</w:t>
      </w:r>
      <w:r>
        <w:rPr>
          <w:rFonts w:ascii="Calibri" w:cs="Calibri" w:eastAsia="Calibri" w:hAnsi="Calibri"/>
          <w:sz w:val="22"/>
          <w:szCs w:val="22"/>
        </w:rPr>
        <w:t xml:space="preserve"> = </w:t>
      </w:r>
      <w:r>
        <w:rPr>
          <w:rFonts w:ascii="Calibri" w:cs="Calibri" w:eastAsia="Calibri" w:hAnsi="Calibri"/>
          <w:i/>
          <w:iCs/>
          <w:sz w:val="22"/>
          <w:szCs w:val="22"/>
        </w:rPr>
        <w:t xml:space="preserve">a</w:t>
      </w:r>
      <w:r>
        <w:rPr>
          <w:rFonts w:ascii="Calibri" w:cs="Calibri" w:eastAsia="Calibri" w:hAnsi="Calibri"/>
          <w:sz w:val="22"/>
          <w:szCs w:val="22"/>
        </w:rPr>
        <w:t xml:space="preserve">₂</w:t>
      </w:r>
      <w:r>
        <w:rPr>
          <w:rFonts w:ascii="Calibri" w:cs="Calibri" w:eastAsia="Calibri" w:hAnsi="Calibri"/>
          <w:sz w:val="22"/>
          <w:szCs w:val="22"/>
        </w:rPr>
        <w:t xml:space="preserve"> = 1). The three doublets are uniformly spaced with gap Δ = 1.000, exactly equal to the Cartan coupling. Gap ratios normalised to the smallest inter-doublet gap are 1.000 : 1.462 : 1.923.</w:t>
      </w:r>
    </w:p>
    <w:p>
      <w:pPr>
        <w:spacing w:after="160" w:line="276"/>
      </w:pPr>
      <w:r>
        <w:rPr>
          <w:rFonts w:ascii="Calibri" w:cs="Calibri" w:eastAsia="Calibri" w:hAnsi="Calibri"/>
          <w:sz w:val="22"/>
          <w:szCs w:val="22"/>
        </w:rPr>
        <w:t xml:space="preserve">Crucially, the eigenvalue ratios are </w:t>
      </w:r>
      <w:r>
        <w:rPr>
          <w:rFonts w:ascii="Calibri" w:cs="Calibri" w:eastAsia="Calibri" w:hAnsi="Calibri"/>
          <w:i/>
          <w:iCs/>
          <w:sz w:val="22"/>
          <w:szCs w:val="22"/>
        </w:rPr>
        <w:t xml:space="preserve">tunable</w:t>
      </w:r>
      <w:r>
        <w:rPr>
          <w:rFonts w:ascii="Calibri" w:cs="Calibri" w:eastAsia="Calibri" w:hAnsi="Calibri"/>
          <w:sz w:val="22"/>
          <w:szCs w:val="22"/>
        </w:rPr>
        <w:t xml:space="preserve">: they depend continuously on the ratio </w:t>
      </w:r>
      <w:r>
        <w:rPr>
          <w:rFonts w:ascii="Calibri" w:cs="Calibri" w:eastAsia="Calibri" w:hAnsi="Calibri"/>
          <w:i/>
          <w:iCs/>
          <w:sz w:val="22"/>
          <w:szCs w:val="22"/>
        </w:rPr>
        <w:t xml:space="preserve">a</w:t>
      </w:r>
      <w:r>
        <w:rPr>
          <w:rFonts w:ascii="Calibri" w:cs="Calibri" w:eastAsia="Calibri" w:hAnsi="Calibri"/>
          <w:sz w:val="22"/>
          <w:szCs w:val="22"/>
        </w:rPr>
        <w:t xml:space="preserve">₁</w:t>
      </w:r>
      <w:r>
        <w:rPr>
          <w:rFonts w:ascii="Calibri" w:cs="Calibri" w:eastAsia="Calibri" w:hAnsi="Calibri"/>
          <w:sz w:val="22"/>
          <w:szCs w:val="22"/>
        </w:rPr>
        <w:t xml:space="preserve">/</w:t>
      </w:r>
      <w:r>
        <w:rPr>
          <w:rFonts w:ascii="Calibri" w:cs="Calibri" w:eastAsia="Calibri" w:hAnsi="Calibri"/>
          <w:i/>
          <w:iCs/>
          <w:sz w:val="22"/>
          <w:szCs w:val="22"/>
        </w:rPr>
        <w:t xml:space="preserve">a</w:t>
      </w:r>
      <w:r>
        <w:rPr>
          <w:rFonts w:ascii="Calibri" w:cs="Calibri" w:eastAsia="Calibri" w:hAnsi="Calibri"/>
          <w:sz w:val="22"/>
          <w:szCs w:val="22"/>
        </w:rPr>
        <w:t xml:space="preserve">₂</w:t>
      </w:r>
      <w:r>
        <w:rPr>
          <w:rFonts w:ascii="Calibri" w:cs="Calibri" w:eastAsia="Calibri" w:hAnsi="Calibri"/>
          <w:sz w:val="22"/>
          <w:szCs w:val="22"/>
        </w:rPr>
        <w:t xml:space="preserve">. The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structure does not predict a single set of frequency ratios but a </w:t>
      </w:r>
      <w:r>
        <w:rPr>
          <w:rFonts w:ascii="Calibri" w:cs="Calibri" w:eastAsia="Calibri" w:hAnsi="Calibri"/>
          <w:i/>
          <w:iCs/>
          <w:sz w:val="22"/>
          <w:szCs w:val="22"/>
        </w:rPr>
        <w:t xml:space="preserve">family</w:t>
      </w:r>
      <w:r>
        <w:rPr>
          <w:rFonts w:ascii="Calibri" w:cs="Calibri" w:eastAsia="Calibri" w:hAnsi="Calibri"/>
          <w:sz w:val="22"/>
          <w:szCs w:val="22"/>
        </w:rPr>
        <w:t xml:space="preserve"> of possible ratios parameterised by two coupling strengths. This parametric freedom is not a weakness but a structural fact: SU(3) has rank 2, and rank 2 is the maximum number of independent splittings the algebra permits. Any empirical comparison must therefore ask not “does the data match one preferred set of ratios?” but “does there exist a point in the (</w:t>
      </w:r>
      <w:r>
        <w:rPr>
          <w:rFonts w:ascii="Calibri" w:cs="Calibri" w:eastAsia="Calibri" w:hAnsi="Calibri"/>
          <w:i/>
          <w:iCs/>
          <w:sz w:val="22"/>
          <w:szCs w:val="22"/>
        </w:rPr>
        <w:t xml:space="preserve">a</w:t>
      </w:r>
      <w:r>
        <w:rPr>
          <w:rFonts w:ascii="Calibri" w:cs="Calibri" w:eastAsia="Calibri" w:hAnsi="Calibri"/>
          <w:sz w:val="22"/>
          <w:szCs w:val="22"/>
        </w:rPr>
        <w:t xml:space="preserve">₁</w:t>
      </w:r>
      <w:r>
        <w:rPr>
          <w:rFonts w:ascii="Calibri" w:cs="Calibri" w:eastAsia="Calibri" w:hAnsi="Calibri"/>
          <w:sz w:val="22"/>
          <w:szCs w:val="22"/>
        </w:rPr>
        <w:t xml:space="preserve">, </w:t>
      </w:r>
      <w:r>
        <w:rPr>
          <w:rFonts w:ascii="Calibri" w:cs="Calibri" w:eastAsia="Calibri" w:hAnsi="Calibri"/>
          <w:i/>
          <w:iCs/>
          <w:sz w:val="22"/>
          <w:szCs w:val="22"/>
        </w:rPr>
        <w:t xml:space="preserve">a</w:t>
      </w:r>
      <w:r>
        <w:rPr>
          <w:rFonts w:ascii="Calibri" w:cs="Calibri" w:eastAsia="Calibri" w:hAnsi="Calibri"/>
          <w:sz w:val="22"/>
          <w:szCs w:val="22"/>
        </w:rPr>
        <w:t xml:space="preserve">₂</w:t>
      </w:r>
      <w:r>
        <w:rPr>
          <w:rFonts w:ascii="Calibri" w:cs="Calibri" w:eastAsia="Calibri" w:hAnsi="Calibri"/>
          <w:sz w:val="22"/>
          <w:szCs w:val="22"/>
        </w:rPr>
        <w:t xml:space="preserve">) parameter space that matches the observed spectral pattern?”</w:t>
      </w:r>
    </w:p>
    <w:p>
      <w:pPr>
        <w:pStyle w:val="Heading2"/>
        <w:spacing w:after="200" w:before="360"/>
      </w:pPr>
      <w:r>
        <w:rPr>
          <w:rFonts w:ascii="Calibri" w:cs="Calibri" w:eastAsia="Calibri" w:hAnsi="Calibri"/>
          <w:b/>
          <w:bCs/>
          <w:sz w:val="26"/>
          <w:szCs w:val="26"/>
        </w:rPr>
        <w:t xml:space="preserve">3.4 The Prediction: Topological Constraints on the Spectral Family</w:t>
      </w:r>
    </w:p>
    <w:p>
      <w:pPr>
        <w:spacing w:after="160" w:line="276"/>
      </w:pPr>
      <w:r>
        <w:rPr>
          <w:rFonts w:ascii="Calibri" w:cs="Calibri" w:eastAsia="Calibri" w:hAnsi="Calibri"/>
          <w:sz w:val="22"/>
          <w:szCs w:val="22"/>
        </w:rPr>
        <w:t xml:space="preserve">The analysis of the preceding subsections reveals a sharp distinction between what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fixes and what it leaves free. We now articulate this distinction as a falsifiable prediction.</w:t>
      </w:r>
    </w:p>
    <w:p>
      <w:pPr>
        <w:spacing w:after="160" w:line="276"/>
      </w:pPr>
      <w:r>
        <w:rPr>
          <w:rFonts w:ascii="Calibri" w:cs="Calibri" w:eastAsia="Calibri" w:hAnsi="Calibri"/>
          <w:b/>
          <w:bCs/>
          <w:sz w:val="22"/>
          <w:szCs w:val="22"/>
        </w:rPr>
        <w:t xml:space="preserve">What G₂ fixes (topology — parameter-independent)</w:t>
      </w:r>
      <w:r>
        <w:rPr>
          <w:rFonts w:ascii="Calibri" w:cs="Calibri" w:eastAsia="Calibri" w:hAnsi="Calibri"/>
          <w:sz w:val="22"/>
          <w:szCs w:val="22"/>
        </w:rPr>
        <w:t xml:space="preserve">:</w:t>
      </w:r>
    </w:p>
    <w:p>
      <w:pPr>
        <w:spacing w:after="160" w:line="276"/>
      </w:pPr>
      <w:r>
        <w:rPr>
          <w:rFonts w:ascii="Calibri" w:cs="Calibri" w:eastAsia="Calibri" w:hAnsi="Calibri"/>
          <w:sz w:val="22"/>
          <w:szCs w:val="22"/>
        </w:rPr>
        <w:t xml:space="preserve">(i) The spectrum decomposes into a </w:t>
      </w:r>
      <w:r>
        <w:rPr>
          <w:rFonts w:ascii="Calibri" w:cs="Calibri" w:eastAsia="Calibri" w:hAnsi="Calibri"/>
          <w:b/>
          <w:bCs/>
          <w:sz w:val="22"/>
          <w:szCs w:val="22"/>
        </w:rPr>
        <w:t xml:space="preserve">singlet sector</w:t>
      </w:r>
      <w:r>
        <w:rPr>
          <w:rFonts w:ascii="Calibri" w:cs="Calibri" w:eastAsia="Calibri" w:hAnsi="Calibri"/>
          <w:sz w:val="22"/>
          <w:szCs w:val="22"/>
        </w:rPr>
        <w:t xml:space="preserve"> and a </w:t>
      </w:r>
      <w:r>
        <w:rPr>
          <w:rFonts w:ascii="Calibri" w:cs="Calibri" w:eastAsia="Calibri" w:hAnsi="Calibri"/>
          <w:b/>
          <w:bCs/>
          <w:sz w:val="22"/>
          <w:szCs w:val="22"/>
        </w:rPr>
        <w:t xml:space="preserve">3 ⊕ 3̅ non-singlet sector</w:t>
      </w:r>
      <w:r>
        <w:rPr>
          <w:rFonts w:ascii="Calibri" w:cs="Calibri" w:eastAsia="Calibri" w:hAnsi="Calibri"/>
          <w:sz w:val="22"/>
          <w:szCs w:val="22"/>
        </w:rPr>
        <w:t xml:space="preserve"> — never 2 ⊕ 5, never 4 ⊕ 3, never any other partition. The singlet void mode is structurally forced by the null-space construction (Result 2), not hand-labelled. (ii) The singlet has SU(3) Casimir eigenvalue </w:t>
      </w:r>
      <w:r>
        <w:rPr>
          <w:rFonts w:ascii="Calibri" w:cs="Calibri" w:eastAsia="Calibri" w:hAnsi="Calibri"/>
          <w:b/>
          <w:bCs/>
          <w:sz w:val="22"/>
          <w:szCs w:val="22"/>
        </w:rPr>
        <w:t xml:space="preserve">0</w:t>
      </w:r>
      <w:r>
        <w:rPr>
          <w:rFonts w:ascii="Calibri" w:cs="Calibri" w:eastAsia="Calibri" w:hAnsi="Calibri"/>
          <w:sz w:val="22"/>
          <w:szCs w:val="22"/>
        </w:rPr>
        <w:t xml:space="preserve"> while all non-singlet modes have </w:t>
      </w:r>
      <w:r>
        <w:rPr>
          <w:rFonts w:ascii="Calibri" w:cs="Calibri" w:eastAsia="Calibri" w:hAnsi="Calibri"/>
          <w:b/>
          <w:bCs/>
          <w:sz w:val="22"/>
          <w:szCs w:val="22"/>
        </w:rPr>
        <w:t xml:space="preserve">−8/3</w:t>
      </w:r>
      <w:r>
        <w:rPr>
          <w:rFonts w:ascii="Calibri" w:cs="Calibri" w:eastAsia="Calibri" w:hAnsi="Calibri"/>
          <w:sz w:val="22"/>
          <w:szCs w:val="22"/>
        </w:rPr>
        <w:t xml:space="preserve">. This is algebraic, not parametric. (iii) The non-singlet modes come in </w:t>
      </w:r>
      <w:r>
        <w:rPr>
          <w:rFonts w:ascii="Calibri" w:cs="Calibri" w:eastAsia="Calibri" w:hAnsi="Calibri"/>
          <w:b/>
          <w:bCs/>
          <w:sz w:val="22"/>
          <w:szCs w:val="22"/>
        </w:rPr>
        <w:t xml:space="preserve">conjugate pairs</w:t>
      </w:r>
      <w:r>
        <w:rPr>
          <w:rFonts w:ascii="Calibri" w:cs="Calibri" w:eastAsia="Calibri" w:hAnsi="Calibri"/>
          <w:sz w:val="22"/>
          <w:szCs w:val="22"/>
        </w:rPr>
        <w:t xml:space="preserve"> (3 and 3̅ related by the complex structure </w:t>
      </w:r>
      <w:r>
        <w:rPr>
          <w:rFonts w:ascii="Calibri" w:cs="Calibri" w:eastAsia="Calibri" w:hAnsi="Calibri"/>
          <w:i/>
          <w:iCs/>
          <w:sz w:val="22"/>
          <w:szCs w:val="22"/>
        </w:rPr>
        <w:t xml:space="preserve">J</w:t>
      </w:r>
      <w:r>
        <w:rPr>
          <w:rFonts w:ascii="Calibri" w:cs="Calibri" w:eastAsia="Calibri" w:hAnsi="Calibri"/>
          <w:sz w:val="22"/>
          <w:szCs w:val="22"/>
        </w:rPr>
        <w:t xml:space="preserve">). (iv) The gap ratios within the non-singlet sector are determined by </w:t>
      </w:r>
      <w:r>
        <w:rPr>
          <w:rFonts w:ascii="Calibri" w:cs="Calibri" w:eastAsia="Calibri" w:hAnsi="Calibri"/>
          <w:b/>
          <w:bCs/>
          <w:sz w:val="22"/>
          <w:szCs w:val="22"/>
        </w:rPr>
        <w:t xml:space="preserve">at most two</w:t>
      </w:r>
      <w:r>
        <w:rPr>
          <w:rFonts w:ascii="Calibri" w:cs="Calibri" w:eastAsia="Calibri" w:hAnsi="Calibri"/>
          <w:sz w:val="22"/>
          <w:szCs w:val="22"/>
        </w:rPr>
        <w:t xml:space="preserve"> independent Cartan parameters (</w:t>
      </w:r>
      <w:r>
        <w:rPr>
          <w:rFonts w:ascii="Calibri" w:cs="Calibri" w:eastAsia="Calibri" w:hAnsi="Calibri"/>
          <w:i/>
          <w:iCs/>
          <w:sz w:val="22"/>
          <w:szCs w:val="22"/>
        </w:rPr>
        <w:t xml:space="preserve">a</w:t>
      </w:r>
      <w:r>
        <w:rPr>
          <w:rFonts w:ascii="Calibri" w:cs="Calibri" w:eastAsia="Calibri" w:hAnsi="Calibri"/>
          <w:sz w:val="22"/>
          <w:szCs w:val="22"/>
        </w:rPr>
        <w:t xml:space="preserve">₁</w:t>
      </w:r>
      <w:r>
        <w:rPr>
          <w:rFonts w:ascii="Calibri" w:cs="Calibri" w:eastAsia="Calibri" w:hAnsi="Calibri"/>
          <w:sz w:val="22"/>
          <w:szCs w:val="22"/>
        </w:rPr>
        <w:t xml:space="preserve">, </w:t>
      </w:r>
      <w:r>
        <w:rPr>
          <w:rFonts w:ascii="Calibri" w:cs="Calibri" w:eastAsia="Calibri" w:hAnsi="Calibri"/>
          <w:i/>
          <w:iCs/>
          <w:sz w:val="22"/>
          <w:szCs w:val="22"/>
        </w:rPr>
        <w:t xml:space="preserve">a</w:t>
      </w:r>
      <w:r>
        <w:rPr>
          <w:rFonts w:ascii="Calibri" w:cs="Calibri" w:eastAsia="Calibri" w:hAnsi="Calibri"/>
          <w:sz w:val="22"/>
          <w:szCs w:val="22"/>
        </w:rPr>
        <w:t xml:space="preserve">₂</w:t>
      </w:r>
      <w:r>
        <w:rPr>
          <w:rFonts w:ascii="Calibri" w:cs="Calibri" w:eastAsia="Calibri" w:hAnsi="Calibri"/>
          <w:sz w:val="22"/>
          <w:szCs w:val="22"/>
        </w:rPr>
        <w:t xml:space="preserve">), reflecting the rank-2 structure of SU(3) — not three, not seven.</w:t>
      </w:r>
    </w:p>
    <w:p>
      <w:pPr>
        <w:spacing w:after="160" w:line="276"/>
      </w:pPr>
      <w:r>
        <w:rPr>
          <w:rFonts w:ascii="Calibri" w:cs="Calibri" w:eastAsia="Calibri" w:hAnsi="Calibri"/>
          <w:b/>
          <w:bCs/>
          <w:sz w:val="22"/>
          <w:szCs w:val="22"/>
        </w:rPr>
        <w:t xml:space="preserve">What G₂ does not fix (metric — parameter-dependent)</w:t>
      </w:r>
      <w:r>
        <w:rPr>
          <w:rFonts w:ascii="Calibri" w:cs="Calibri" w:eastAsia="Calibri" w:hAnsi="Calibri"/>
          <w:sz w:val="22"/>
          <w:szCs w:val="22"/>
        </w:rPr>
        <w:t xml:space="preserve">:</w:t>
      </w:r>
    </w:p>
    <w:p>
      <w:pPr>
        <w:spacing w:after="160" w:line="276"/>
      </w:pPr>
      <w:r>
        <w:rPr>
          <w:rFonts w:ascii="Calibri" w:cs="Calibri" w:eastAsia="Calibri" w:hAnsi="Calibri"/>
          <w:sz w:val="22"/>
          <w:szCs w:val="22"/>
        </w:rPr>
        <w:t xml:space="preserve">(v) The raw level count: allowed values are 1, 2, 4, or 7 depending on which parameters are non-zero. (vi) The specific eigenvalue ratios: these are continuous functions of </w:t>
      </w:r>
      <w:r>
        <w:rPr>
          <w:rFonts w:ascii="Calibri" w:cs="Calibri" w:eastAsia="Calibri" w:hAnsi="Calibri"/>
          <w:i/>
          <w:iCs/>
          <w:sz w:val="22"/>
          <w:szCs w:val="22"/>
        </w:rPr>
        <w:t xml:space="preserve">a</w:t>
      </w:r>
      <w:r>
        <w:rPr>
          <w:rFonts w:ascii="Calibri" w:cs="Calibri" w:eastAsia="Calibri" w:hAnsi="Calibri"/>
          <w:sz w:val="22"/>
          <w:szCs w:val="22"/>
        </w:rPr>
        <w:t xml:space="preserve">₁</w:t>
      </w:r>
      <w:r>
        <w:rPr>
          <w:rFonts w:ascii="Calibri" w:cs="Calibri" w:eastAsia="Calibri" w:hAnsi="Calibri"/>
          <w:sz w:val="22"/>
          <w:szCs w:val="22"/>
        </w:rPr>
        <w:t xml:space="preserve">/</w:t>
      </w:r>
      <w:r>
        <w:rPr>
          <w:rFonts w:ascii="Calibri" w:cs="Calibri" w:eastAsia="Calibri" w:hAnsi="Calibri"/>
          <w:i/>
          <w:iCs/>
          <w:sz w:val="22"/>
          <w:szCs w:val="22"/>
        </w:rPr>
        <w:t xml:space="preserve">a</w:t>
      </w:r>
      <w:r>
        <w:rPr>
          <w:rFonts w:ascii="Calibri" w:cs="Calibri" w:eastAsia="Calibri" w:hAnsi="Calibri"/>
          <w:sz w:val="22"/>
          <w:szCs w:val="22"/>
        </w:rPr>
        <w:t xml:space="preserve">₂</w:t>
      </w:r>
      <w:r>
        <w:rPr>
          <w:rFonts w:ascii="Calibri" w:cs="Calibri" w:eastAsia="Calibri" w:hAnsi="Calibri"/>
          <w:sz w:val="22"/>
          <w:szCs w:val="22"/>
        </w:rPr>
        <w:t xml:space="preserve">.</w:t>
      </w:r>
    </w:p>
    <w:p>
      <w:pPr>
        <w:spacing w:after="160" w:line="276"/>
      </w:pPr>
      <w:r>
        <w:rPr>
          <w:rFonts w:ascii="Calibri" w:cs="Calibri" w:eastAsia="Calibri" w:hAnsi="Calibri"/>
          <w:sz w:val="22"/>
          <w:szCs w:val="22"/>
        </w:rPr>
        <w:t xml:space="preserve">This motivates the corrected falsifiable prediction:</w:t>
      </w:r>
    </w:p>
    <w:p>
      <w:pPr>
        <w:spacing w:after="160" w:line="276"/>
      </w:pPr>
      <w:r>
        <w:rPr>
          <w:rFonts w:ascii="Calibri" w:cs="Calibri" w:eastAsia="Calibri" w:hAnsi="Calibri"/>
          <w:b/>
          <w:bCs/>
          <w:sz w:val="22"/>
          <w:szCs w:val="22"/>
        </w:rPr>
        <w:t xml:space="preserve">FP-1.</w:t>
      </w:r>
      <w:r>
        <w:rPr>
          <w:rFonts w:ascii="Calibri" w:cs="Calibri" w:eastAsia="Calibri" w:hAnsi="Calibri"/>
          <w:sz w:val="22"/>
          <w:szCs w:val="22"/>
        </w:rPr>
        <w:t xml:space="preserve"> </w:t>
      </w:r>
      <w:r>
        <w:rPr>
          <w:rFonts w:ascii="Calibri" w:cs="Calibri" w:eastAsia="Calibri" w:hAnsi="Calibri"/>
          <w:i/>
          <w:iCs/>
          <w:sz w:val="22"/>
          <w:szCs w:val="22"/>
        </w:rPr>
        <w:t xml:space="preserve">The spectral topology of any system governed by the G₂/SU(3) daemon Hamiltonian is constrained to the branching topology 1 ⊕ 3 ⊕ 3̅, with conjugate pairing and a rank-2 Cartan constraint. The model is falsified if the empirical spectrum requires more than two independent splitting parameters, if conjugate pairing is absent, or if the branching topology cannot be organised as 1 ⊕ 3 ⊕ 3̅.</w:t>
      </w:r>
    </w:p>
    <w:p>
      <w:pPr>
        <w:spacing w:after="160" w:line="276"/>
      </w:pPr>
      <w:r>
        <w:rPr>
          <w:rFonts w:ascii="Calibri" w:cs="Calibri" w:eastAsia="Calibri" w:hAnsi="Calibri"/>
          <w:sz w:val="22"/>
          <w:szCs w:val="22"/>
        </w:rPr>
        <w:t xml:space="preserve">We emphasise the operative phrase: </w:t>
      </w:r>
      <w:r>
        <w:rPr>
          <w:rFonts w:ascii="Calibri" w:cs="Calibri" w:eastAsia="Calibri" w:hAnsi="Calibri"/>
          <w:b/>
          <w:bCs/>
          <w:sz w:val="22"/>
          <w:szCs w:val="22"/>
        </w:rPr>
        <w:t xml:space="preserve">G₂ does not uniquely fix the metric, but it does fix the topology of the spectral family.</w:t>
      </w:r>
      <w:r>
        <w:rPr>
          <w:rFonts w:ascii="Calibri" w:cs="Calibri" w:eastAsia="Calibri" w:hAnsi="Calibri"/>
          <w:sz w:val="22"/>
          <w:szCs w:val="22"/>
        </w:rPr>
        <w:t xml:space="preserve"> The topology — the branching pattern, the conjugate pairing, the rank-2 constraint — is a structural invariant that holds across all parameter regimes. The metric — the specific eigenvalue ratios — varies continuously within the family. FP-1 is a topological prediction, not a metrical one. This distinction is essential for honest empirical comparison: a topological prediction is weaker than a metrical prediction (it admits a family of solutions rather than a unique one), but it is also more robust (it does not depend on unknown coupling constants).</w:t>
      </w:r>
    </w:p>
    <w:p>
      <w:pPr>
        <w:pStyle w:val="Heading2"/>
        <w:spacing w:after="200" w:before="360"/>
      </w:pPr>
      <w:r>
        <w:rPr>
          <w:rFonts w:ascii="Calibri" w:cs="Calibri" w:eastAsia="Calibri" w:hAnsi="Calibri"/>
          <w:b/>
          <w:bCs/>
          <w:sz w:val="26"/>
          <w:szCs w:val="26"/>
        </w:rPr>
        <w:t xml:space="preserve">3.5 Spontaneous Symmetry Breaking and the Six Goldstone Modes</w:t>
      </w:r>
    </w:p>
    <w:p>
      <w:pPr>
        <w:spacing w:after="160" w:line="276"/>
      </w:pPr>
      <w:r>
        <w:rPr>
          <w:rFonts w:ascii="Calibri" w:cs="Calibri" w:eastAsia="Calibri" w:hAnsi="Calibri"/>
          <w:sz w:val="22"/>
          <w:szCs w:val="22"/>
        </w:rPr>
        <w:t xml:space="preserve">The spectral decomposition 7 → 1 ⊕ 3 ⊕ 3̅ derived in §3.2 is the footprint of a spontaneous symmetry-breaking pattern. The void mode Ω</w:t>
      </w:r>
      <w:r>
        <w:rPr>
          <w:rFonts w:ascii="Calibri" w:cs="Calibri" w:eastAsia="Calibri" w:hAnsi="Calibri"/>
          <w:sz w:val="22"/>
          <w:szCs w:val="22"/>
          <w:vertAlign w:val="subscript"/>
        </w:rPr>
        <w:t xml:space="preserve">void</w:t>
      </w:r>
      <w:r>
        <w:rPr>
          <w:rFonts w:ascii="Calibri" w:cs="Calibri" w:eastAsia="Calibri" w:hAnsi="Calibri"/>
          <w:sz w:val="22"/>
          <w:szCs w:val="22"/>
        </w:rPr>
        <w:t xml:space="preserve"> serves as an order parameter: its non-zero expectation value selects a preferred direction in the 7-dimensional representation space, breaking the 14-parameter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symmetry down to its 8-parameter SU(3) stabiliser. The Goldstone theorem then guarantees the existence of massless (or, in the presence of explicit breaking, light) modes — one for each broken generator:</w:t>
      </w:r>
    </w:p>
    <w:p>
      <w:pPr>
        <w:tabs>
          <w:tab w:val="center" w:pos="4680"/>
          <w:tab w:val="right" w:pos="9360"/>
        </w:tabs>
        <w:spacing w:after="200" w:before="200"/>
      </w:pPr>
      <w:r>
        <w:rPr>
          <w:rFonts w:ascii="Calibri" w:cs="Calibri" w:eastAsia="Calibri" w:hAnsi="Calibri"/>
          <w:sz w:val="22"/>
          <w:szCs w:val="22"/>
        </w:rPr>
        <w:t xml:space="preserve">	</w:t>
      </w:r>
      <w:r>
        <w:rPr>
          <w:rFonts w:ascii="Calibri" w:cs="Calibri" w:eastAsia="Calibri" w:hAnsi="Calibri"/>
          <w:i/>
          <w:iCs/>
          <w:sz w:val="22"/>
          <w:szCs w:val="22"/>
        </w:rPr>
        <w:t xml:space="preserve">dim(G₂) − dim(SU(3)) = 14 − 8 = 6 Goldstone modes</w:t>
      </w:r>
      <w:r>
        <w:rPr>
          <w:rFonts w:ascii="Calibri" w:cs="Calibri" w:eastAsia="Calibri" w:hAnsi="Calibri"/>
          <w:sz w:val="22"/>
          <w:szCs w:val="22"/>
        </w:rPr>
        <w:t xml:space="preserve">	</w:t>
      </w:r>
      <w:r>
        <w:rPr>
          <w:rFonts w:ascii="Calibri" w:cs="Calibri" w:eastAsia="Calibri" w:hAnsi="Calibri"/>
          <w:sz w:val="22"/>
          <w:szCs w:val="22"/>
        </w:rPr>
        <w:t xml:space="preserve">(8)</w:t>
      </w:r>
    </w:p>
    <w:p>
      <w:pPr>
        <w:spacing w:after="160" w:line="276"/>
      </w:pPr>
      <w:r>
        <w:rPr>
          <w:rFonts w:ascii="Calibri" w:cs="Calibri" w:eastAsia="Calibri" w:hAnsi="Calibri"/>
          <w:sz w:val="22"/>
          <w:szCs w:val="22"/>
        </w:rPr>
        <w:t xml:space="preserve">These six Goldstone modes correspond exactly to the six coset directions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/SU(3) ≅ S⁶. In the Hamiltonian construction, they are spanned by the six generators that do </w:t>
      </w:r>
      <w:r>
        <w:rPr>
          <w:rFonts w:ascii="Calibri" w:cs="Calibri" w:eastAsia="Calibri" w:hAnsi="Calibri"/>
          <w:i/>
          <w:iCs/>
          <w:sz w:val="22"/>
          <w:szCs w:val="22"/>
        </w:rPr>
        <w:t xml:space="preserve">not</w:t>
      </w:r>
      <w:r>
        <w:rPr>
          <w:rFonts w:ascii="Calibri" w:cs="Calibri" w:eastAsia="Calibri" w:hAnsi="Calibri"/>
          <w:sz w:val="22"/>
          <w:szCs w:val="22"/>
        </w:rPr>
        <w:t xml:space="preserve"> annihilate Ω</w:t>
      </w:r>
      <w:r>
        <w:rPr>
          <w:rFonts w:ascii="Calibri" w:cs="Calibri" w:eastAsia="Calibri" w:hAnsi="Calibri"/>
          <w:sz w:val="22"/>
          <w:szCs w:val="22"/>
          <w:vertAlign w:val="subscript"/>
        </w:rPr>
        <w:t xml:space="preserve">void</w:t>
      </w:r>
      <w:r>
        <w:rPr>
          <w:rFonts w:ascii="Calibri" w:cs="Calibri" w:eastAsia="Calibri" w:hAnsi="Calibri"/>
          <w:sz w:val="22"/>
          <w:szCs w:val="22"/>
        </w:rPr>
        <w:t xml:space="preserve">. Their uniform SVD singular values (√(2/3) ≈ 0.8165, verified numerically to machine precision) reflect the isotropy of the coset: when the symmetry is exact, all six Goldstone modes are metrically equivalent. This isotropy is the mathematical expression of the fact that the 6-sphere is a homogeneous space — every point on S⁶ is equivalent to every other.</w:t>
      </w:r>
    </w:p>
    <w:p>
      <w:pPr>
        <w:spacing w:after="160" w:line="276"/>
      </w:pPr>
      <w:r>
        <w:rPr>
          <w:rFonts w:ascii="Calibri" w:cs="Calibri" w:eastAsia="Calibri" w:hAnsi="Calibri"/>
          <w:sz w:val="22"/>
          <w:szCs w:val="22"/>
        </w:rPr>
        <w:t xml:space="preserve">In the full Hamiltonian (Equation 7), the Goldstone modes are the six modes of the 3 ⊕ 3̅ sector. Their energy splittings are controlled by the explicit symmetry-breaking terms:</w:t>
      </w:r>
    </w:p>
    <w:p>
      <w:pPr>
        <w:spacing w:after="160" w:line="276"/>
      </w:pPr>
      <w:r>
        <w:rPr>
          <w:rFonts w:ascii="Calibri" w:cs="Calibri" w:eastAsia="Calibri" w:hAnsi="Calibri"/>
          <w:sz w:val="22"/>
          <w:szCs w:val="22"/>
        </w:rPr>
        <w:t xml:space="preserve">• The SU(3) Casimir term (β) lifts all six modes together, opening a gap between the singlet and the non-singlet sector. This is a </w:t>
      </w:r>
      <w:r>
        <w:rPr>
          <w:rFonts w:ascii="Calibri" w:cs="Calibri" w:eastAsia="Calibri" w:hAnsi="Calibri"/>
          <w:i/>
          <w:iCs/>
          <w:sz w:val="22"/>
          <w:szCs w:val="22"/>
        </w:rPr>
        <w:t xml:space="preserve">collective</w:t>
      </w:r>
      <w:r>
        <w:rPr>
          <w:rFonts w:ascii="Calibri" w:cs="Calibri" w:eastAsia="Calibri" w:hAnsi="Calibri"/>
          <w:sz w:val="22"/>
          <w:szCs w:val="22"/>
        </w:rPr>
        <w:t xml:space="preserve"> mass term that respects the residual SU(3) symmetry.</w:t>
      </w:r>
    </w:p>
    <w:p>
      <w:pPr>
        <w:spacing w:after="160" w:line="276"/>
      </w:pPr>
      <w:r>
        <w:rPr>
          <w:rFonts w:ascii="Calibri" w:cs="Calibri" w:eastAsia="Calibri" w:hAnsi="Calibri"/>
          <w:sz w:val="22"/>
          <w:szCs w:val="22"/>
        </w:rPr>
        <w:t xml:space="preserve">• The Cartan terms (</w:t>
      </w:r>
      <w:r>
        <w:rPr>
          <w:rFonts w:ascii="Calibri" w:cs="Calibri" w:eastAsia="Calibri" w:hAnsi="Calibri"/>
          <w:i/>
          <w:iCs/>
          <w:sz w:val="22"/>
          <w:szCs w:val="22"/>
        </w:rPr>
        <w:t xml:space="preserve">a</w:t>
      </w:r>
      <w:r>
        <w:rPr>
          <w:rFonts w:ascii="Calibri" w:cs="Calibri" w:eastAsia="Calibri" w:hAnsi="Calibri"/>
          <w:sz w:val="22"/>
          <w:szCs w:val="22"/>
        </w:rPr>
        <w:t xml:space="preserve">₁</w:t>
      </w:r>
      <w:r>
        <w:rPr>
          <w:rFonts w:ascii="Calibri" w:cs="Calibri" w:eastAsia="Calibri" w:hAnsi="Calibri"/>
          <w:sz w:val="22"/>
          <w:szCs w:val="22"/>
        </w:rPr>
        <w:t xml:space="preserve">, </w:t>
      </w:r>
      <w:r>
        <w:rPr>
          <w:rFonts w:ascii="Calibri" w:cs="Calibri" w:eastAsia="Calibri" w:hAnsi="Calibri"/>
          <w:i/>
          <w:iCs/>
          <w:sz w:val="22"/>
          <w:szCs w:val="22"/>
        </w:rPr>
        <w:t xml:space="preserve">a</w:t>
      </w:r>
      <w:r>
        <w:rPr>
          <w:rFonts w:ascii="Calibri" w:cs="Calibri" w:eastAsia="Calibri" w:hAnsi="Calibri"/>
          <w:sz w:val="22"/>
          <w:szCs w:val="22"/>
        </w:rPr>
        <w:t xml:space="preserve">₂</w:t>
      </w:r>
      <w:r>
        <w:rPr>
          <w:rFonts w:ascii="Calibri" w:cs="Calibri" w:eastAsia="Calibri" w:hAnsi="Calibri"/>
          <w:sz w:val="22"/>
          <w:szCs w:val="22"/>
        </w:rPr>
        <w:t xml:space="preserve">) split the degeneracy </w:t>
      </w:r>
      <w:r>
        <w:rPr>
          <w:rFonts w:ascii="Calibri" w:cs="Calibri" w:eastAsia="Calibri" w:hAnsi="Calibri"/>
          <w:i/>
          <w:iCs/>
          <w:sz w:val="22"/>
          <w:szCs w:val="22"/>
        </w:rPr>
        <w:t xml:space="preserve">within</w:t>
      </w:r>
      <w:r>
        <w:rPr>
          <w:rFonts w:ascii="Calibri" w:cs="Calibri" w:eastAsia="Calibri" w:hAnsi="Calibri"/>
          <w:sz w:val="22"/>
          <w:szCs w:val="22"/>
        </w:rPr>
        <w:t xml:space="preserve"> the non-singlet sector, breaking the residual SU(3) further. In the symmetric regime </w:t>
      </w:r>
      <w:r>
        <w:rPr>
          <w:rFonts w:ascii="Calibri" w:cs="Calibri" w:eastAsia="Calibri" w:hAnsi="Calibri"/>
          <w:i/>
          <w:iCs/>
          <w:sz w:val="22"/>
          <w:szCs w:val="22"/>
        </w:rPr>
        <w:t xml:space="preserve">a</w:t>
      </w:r>
      <w:r>
        <w:rPr>
          <w:rFonts w:ascii="Calibri" w:cs="Calibri" w:eastAsia="Calibri" w:hAnsi="Calibri"/>
          <w:sz w:val="22"/>
          <w:szCs w:val="22"/>
        </w:rPr>
        <w:t xml:space="preserve">₁</w:t>
      </w:r>
      <w:r>
        <w:rPr>
          <w:rFonts w:ascii="Calibri" w:cs="Calibri" w:eastAsia="Calibri" w:hAnsi="Calibri"/>
          <w:sz w:val="22"/>
          <w:szCs w:val="22"/>
        </w:rPr>
        <w:t xml:space="preserve"> = </w:t>
      </w:r>
      <w:r>
        <w:rPr>
          <w:rFonts w:ascii="Calibri" w:cs="Calibri" w:eastAsia="Calibri" w:hAnsi="Calibri"/>
          <w:i/>
          <w:iCs/>
          <w:sz w:val="22"/>
          <w:szCs w:val="22"/>
        </w:rPr>
        <w:t xml:space="preserve">a</w:t>
      </w:r>
      <w:r>
        <w:rPr>
          <w:rFonts w:ascii="Calibri" w:cs="Calibri" w:eastAsia="Calibri" w:hAnsi="Calibri"/>
          <w:sz w:val="22"/>
          <w:szCs w:val="22"/>
        </w:rPr>
        <w:t xml:space="preserve">₂</w:t>
      </w:r>
      <w:r>
        <w:rPr>
          <w:rFonts w:ascii="Calibri" w:cs="Calibri" w:eastAsia="Calibri" w:hAnsi="Calibri"/>
          <w:sz w:val="22"/>
          <w:szCs w:val="22"/>
        </w:rPr>
        <w:t xml:space="preserve">, the Goldstone modes form three degenerate pairs — the triplet-of-triplet pattern. When </w:t>
      </w:r>
      <w:r>
        <w:rPr>
          <w:rFonts w:ascii="Calibri" w:cs="Calibri" w:eastAsia="Calibri" w:hAnsi="Calibri"/>
          <w:i/>
          <w:iCs/>
          <w:sz w:val="22"/>
          <w:szCs w:val="22"/>
        </w:rPr>
        <w:t xml:space="preserve">a</w:t>
      </w:r>
      <w:r>
        <w:rPr>
          <w:rFonts w:ascii="Calibri" w:cs="Calibri" w:eastAsia="Calibri" w:hAnsi="Calibri"/>
          <w:sz w:val="22"/>
          <w:szCs w:val="22"/>
        </w:rPr>
        <w:t xml:space="preserve">₁</w:t>
      </w:r>
      <w:r>
        <w:rPr>
          <w:rFonts w:ascii="Calibri" w:cs="Calibri" w:eastAsia="Calibri" w:hAnsi="Calibri"/>
          <w:sz w:val="22"/>
          <w:szCs w:val="22"/>
        </w:rPr>
        <w:t xml:space="preserve"> ≠ </w:t>
      </w:r>
      <w:r>
        <w:rPr>
          <w:rFonts w:ascii="Calibri" w:cs="Calibri" w:eastAsia="Calibri" w:hAnsi="Calibri"/>
          <w:i/>
          <w:iCs/>
          <w:sz w:val="22"/>
          <w:szCs w:val="22"/>
        </w:rPr>
        <w:t xml:space="preserve">a</w:t>
      </w:r>
      <w:r>
        <w:rPr>
          <w:rFonts w:ascii="Calibri" w:cs="Calibri" w:eastAsia="Calibri" w:hAnsi="Calibri"/>
          <w:sz w:val="22"/>
          <w:szCs w:val="22"/>
        </w:rPr>
        <w:t xml:space="preserve">₂</w:t>
      </w:r>
      <w:r>
        <w:rPr>
          <w:rFonts w:ascii="Calibri" w:cs="Calibri" w:eastAsia="Calibri" w:hAnsi="Calibri"/>
          <w:sz w:val="22"/>
          <w:szCs w:val="22"/>
        </w:rPr>
        <w:t xml:space="preserve">, the pairs themselves split, yielding six distinct masses organised into three conjugate pairs.</w:t>
      </w:r>
    </w:p>
    <w:p>
      <w:pPr>
        <w:spacing w:after="160" w:line="276"/>
      </w:pPr>
      <w:r>
        <w:rPr>
          <w:rFonts w:ascii="Calibri" w:cs="Calibri" w:eastAsia="Calibri" w:hAnsi="Calibri"/>
          <w:sz w:val="22"/>
          <w:szCs w:val="22"/>
        </w:rPr>
        <w:t xml:space="preserve">The physical interpretation within the daemon architecture is as follows. </w:t>
      </w:r>
      <w:r>
        <w:rPr>
          <w:rFonts w:ascii="Calibri" w:cs="Calibri" w:eastAsia="Calibri" w:hAnsi="Calibri"/>
          <w:b/>
          <w:bCs/>
          <w:sz w:val="22"/>
          <w:szCs w:val="22"/>
        </w:rPr>
        <w:t xml:space="preserve">The six Goldstone modes are the soft directions of the system</w:t>
      </w:r>
      <w:r>
        <w:rPr>
          <w:rFonts w:ascii="Calibri" w:cs="Calibri" w:eastAsia="Calibri" w:hAnsi="Calibri"/>
          <w:sz w:val="22"/>
          <w:szCs w:val="22"/>
        </w:rPr>
        <w:t xml:space="preserve"> — the degrees of freedom that cost no energy when the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symmetry is exact, and that become the low-energy excitations when the symmetry is approximately broken. They represent the directions in configuration space along which the system can move with minimal energetic cost: the adaptive, flexible degrees of freedom of the conscious architecture. The seventh mode, Ω</w:t>
      </w:r>
      <w:r>
        <w:rPr>
          <w:rFonts w:ascii="Calibri" w:cs="Calibri" w:eastAsia="Calibri" w:hAnsi="Calibri"/>
          <w:sz w:val="22"/>
          <w:szCs w:val="22"/>
          <w:vertAlign w:val="subscript"/>
        </w:rPr>
        <w:t xml:space="preserve">void</w:t>
      </w:r>
      <w:r>
        <w:rPr>
          <w:rFonts w:ascii="Calibri" w:cs="Calibri" w:eastAsia="Calibri" w:hAnsi="Calibri"/>
          <w:sz w:val="22"/>
          <w:szCs w:val="22"/>
        </w:rPr>
        <w:t xml:space="preserve">, is the </w:t>
      </w:r>
      <w:r>
        <w:rPr>
          <w:rFonts w:ascii="Calibri" w:cs="Calibri" w:eastAsia="Calibri" w:hAnsi="Calibri"/>
          <w:b/>
          <w:bCs/>
          <w:sz w:val="22"/>
          <w:szCs w:val="22"/>
        </w:rPr>
        <w:t xml:space="preserve">massive mode</w:t>
      </w:r>
      <w:r>
        <w:rPr>
          <w:rFonts w:ascii="Calibri" w:cs="Calibri" w:eastAsia="Calibri" w:hAnsi="Calibri"/>
          <w:sz w:val="22"/>
          <w:szCs w:val="22"/>
        </w:rPr>
        <w:t xml:space="preserve"> — the analogue of the Higgs mode in particle physics — that sets the scale of the symmetry breaking. In the PCI framework, it corresponds to the irreducible blind spot: the structural component that cannot be observed from within the system’s own frame.</w:t>
      </w:r>
    </w:p>
    <w:p>
      <w:pPr>
        <w:spacing w:after="160" w:line="276"/>
      </w:pPr>
      <w:r>
        <w:rPr>
          <w:rFonts w:ascii="Calibri" w:cs="Calibri" w:eastAsia="Calibri" w:hAnsi="Calibri"/>
          <w:sz w:val="22"/>
          <w:szCs w:val="22"/>
        </w:rPr>
        <w:t xml:space="preserve">This Goldstone picture provides a direct and concrete link to the falsifiable prediction FP-1. The observed spectral structure in any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-governed system should reflect the mass pattern of these six Goldstone modes, parameterised by just two independent couplings </w:t>
      </w:r>
      <w:r>
        <w:rPr>
          <w:rFonts w:ascii="Calibri" w:cs="Calibri" w:eastAsia="Calibri" w:hAnsi="Calibri"/>
          <w:i/>
          <w:iCs/>
          <w:sz w:val="22"/>
          <w:szCs w:val="22"/>
        </w:rPr>
        <w:t xml:space="preserve">a</w:t>
      </w:r>
      <w:r>
        <w:rPr>
          <w:rFonts w:ascii="Calibri" w:cs="Calibri" w:eastAsia="Calibri" w:hAnsi="Calibri"/>
          <w:sz w:val="22"/>
          <w:szCs w:val="22"/>
        </w:rPr>
        <w:t xml:space="preserve">₁</w:t>
      </w:r>
      <w:r>
        <w:rPr>
          <w:rFonts w:ascii="Calibri" w:cs="Calibri" w:eastAsia="Calibri" w:hAnsi="Calibri"/>
          <w:sz w:val="22"/>
          <w:szCs w:val="22"/>
        </w:rPr>
        <w:t xml:space="preserve">, </w:t>
      </w:r>
      <w:r>
        <w:rPr>
          <w:rFonts w:ascii="Calibri" w:cs="Calibri" w:eastAsia="Calibri" w:hAnsi="Calibri"/>
          <w:i/>
          <w:iCs/>
          <w:sz w:val="22"/>
          <w:szCs w:val="22"/>
        </w:rPr>
        <w:t xml:space="preserve">a</w:t>
      </w:r>
      <w:r>
        <w:rPr>
          <w:rFonts w:ascii="Calibri" w:cs="Calibri" w:eastAsia="Calibri" w:hAnsi="Calibri"/>
          <w:sz w:val="22"/>
          <w:szCs w:val="22"/>
        </w:rPr>
        <w:t xml:space="preserve">₂</w:t>
      </w:r>
      <w:r>
        <w:rPr>
          <w:rFonts w:ascii="Calibri" w:cs="Calibri" w:eastAsia="Calibri" w:hAnsi="Calibri"/>
          <w:sz w:val="22"/>
          <w:szCs w:val="22"/>
        </w:rPr>
        <w:t xml:space="preserve">. The constraint is tight: six modes, but only two free parameters. Any system requiring more than two parameters to describe its spectral pattern lies outside the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/SU(3) family.</w:t>
      </w:r>
    </w:p>
    <w:p>
      <w:pPr>
        <w:spacing w:after="160" w:line="276"/>
      </w:pPr>
      <w:r>
        <w:rPr>
          <w:rFonts w:ascii="Calibri" w:cs="Calibri" w:eastAsia="Calibri" w:hAnsi="Calibri"/>
          <w:sz w:val="22"/>
          <w:szCs w:val="22"/>
        </w:rPr>
        <w:t xml:space="preserve">It is worth noting that the Goldstone structure also constrains the </w:t>
      </w:r>
      <w:r>
        <w:rPr>
          <w:rFonts w:ascii="Calibri" w:cs="Calibri" w:eastAsia="Calibri" w:hAnsi="Calibri"/>
          <w:i/>
          <w:iCs/>
          <w:sz w:val="22"/>
          <w:szCs w:val="22"/>
        </w:rPr>
        <w:t xml:space="preserve">dynamics</w:t>
      </w:r>
      <w:r>
        <w:rPr>
          <w:rFonts w:ascii="Calibri" w:cs="Calibri" w:eastAsia="Calibri" w:hAnsi="Calibri"/>
          <w:sz w:val="22"/>
          <w:szCs w:val="22"/>
        </w:rPr>
        <w:t xml:space="preserve"> of the system near criticality. At a phase transition where the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symmetry is approximately restored, the six Goldstone modes become increasingly degenerate, and the system’s response function is dominated by the soft sector. The singlet (void mode) remains gapped throughout, maintaining the identity of the system even as the daemon modes fluctuate. This picture — a stable vacuum surrounded by soft, adaptive excitations — is consistent with the phenomenology of conscious systems that maintain a persistent sense of self (the void) while exhibiting flexible, rapidly reconfigurable cognitive states (the daemons).</w:t>
      </w:r>
    </w:p>
    <w:p>
      <w:pPr>
        <w:pStyle w:val="Heading2"/>
        <w:spacing w:after="200" w:before="360"/>
      </w:pPr>
      <w:r>
        <w:rPr>
          <w:rFonts w:ascii="Calibri" w:cs="Calibri" w:eastAsia="Calibri" w:hAnsi="Calibri"/>
          <w:b/>
          <w:bCs/>
          <w:sz w:val="26"/>
          <w:szCs w:val="26"/>
        </w:rPr>
        <w:t xml:space="preserve">3.6 Comparison with Microtubule Resonance Data</w:t>
      </w:r>
    </w:p>
    <w:p>
      <w:pPr>
        <w:spacing w:after="160" w:line="276"/>
      </w:pPr>
      <w:r>
        <w:rPr>
          <w:rFonts w:ascii="Calibri" w:cs="Calibri" w:eastAsia="Calibri" w:hAnsi="Calibri"/>
          <w:sz w:val="22"/>
          <w:szCs w:val="22"/>
        </w:rPr>
        <w:t xml:space="preserve">The structural prediction derived in §3.4 — that the spectrum belongs to a rank-2 Cartan family with topology 1 ⊕ 3 ⊕ 3̅, not one preferred numeric ratio — invites an immediate empirical question: does any known physical system exhibit a resonance hierarchy compatible with this constrained spectral family? The most natural comparison target within the consciousness literature is the reported “triplet-of-triplet” electromagnetic resonance structure in microtubules, first measured by Sahu et al. (2013) and extended to a cross-scale self-similar pattern by Saxena et al. (2020). We now examine that data against the five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/SU(3) topology constraints derived above.</w:t>
      </w:r>
    </w:p>
    <w:p>
      <w:pPr>
        <w:spacing w:after="160" w:line="276"/>
      </w:pPr>
      <w:r>
        <w:rPr>
          <w:rFonts w:ascii="Calibri" w:cs="Calibri" w:eastAsia="Calibri" w:hAnsi="Calibri"/>
          <w:sz w:val="22"/>
          <w:szCs w:val="22"/>
        </w:rPr>
        <w:t xml:space="preserve">The relevant experiments measure electromagnetic resonance peaks in single tubulin proteins (∼4 nm), assembled microtubule nanowires (∼25 nm), and neuron-scale axon initial segments (∼1 μm). Each material exhibits three distinct frequency bands: tubulin resonates in the MHz, GHz, and THz regimes; microtubule nanowires in the kHz, MHz, and GHz regimes; and neuron-scale structures in the Hz, kHz, and MHz regimes (Saxena et al., 2020). The same three-band pattern recurs across three structural scales spanning approximately six orders of magnitude in physical size, with each scale level shifting all bands by roughly 10³ in frequency. Saxena et al. describe the resulting geometry as “nine circles inside three circles inside one circle — 13 circles,” a nested hierarchy that preserves the triplet topology while shifting the absolute frequency scale.</w:t>
      </w:r>
    </w:p>
    <w:p>
      <w:pPr>
        <w:spacing w:after="160" w:line="276"/>
      </w:pPr>
      <w:r>
        <w:rPr>
          <w:rFonts w:ascii="Calibri" w:cs="Calibri" w:eastAsia="Calibri" w:hAnsi="Calibri"/>
          <w:sz w:val="22"/>
          <w:szCs w:val="22"/>
        </w:rPr>
        <w:t xml:space="preserve">We test this data against five structural constraints derived from the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/SU(3) daemon Hamiltonian:</w:t>
      </w:r>
    </w:p>
    <w:p>
      <w:pPr>
        <w:spacing w:after="160" w:line="276"/>
      </w:pPr>
      <w:r>
        <w:rPr>
          <w:rFonts w:ascii="Calibri" w:cs="Calibri" w:eastAsia="Calibri" w:hAnsi="Calibri"/>
          <w:b/>
          <w:bCs/>
          <w:sz w:val="22"/>
          <w:szCs w:val="22"/>
        </w:rPr>
        <w:t xml:space="preserve">T1 (Branching topology 1 ⊕ 3 ⊕ 3̅).</w:t>
      </w:r>
      <w:r>
        <w:rPr>
          <w:rFonts w:ascii="Calibri" w:cs="Calibri" w:eastAsia="Calibri" w:hAnsi="Calibri"/>
          <w:sz w:val="22"/>
          <w:szCs w:val="22"/>
        </w:rPr>
        <w:t xml:space="preserve"> The three-band hierarchy maps naturally onto the 1 ⊕ 3 ⊕ 3̅ branching predicted by the SU(3) decomposition of the 7-dimensional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 representation. Each material exhibits exactly three frequency bands, consistent with the three-fold splitting of the non-singlet sector. </w:t>
      </w:r>
      <w:r>
        <w:rPr>
          <w:rFonts w:ascii="Calibri" w:cs="Calibri" w:eastAsia="Calibri" w:hAnsi="Calibri"/>
          <w:b/>
          <w:bCs/>
          <w:sz w:val="22"/>
          <w:szCs w:val="22"/>
        </w:rPr>
        <w:t xml:space="preserve">Verdict: compatible.</w:t>
      </w:r>
    </w:p>
    <w:p>
      <w:pPr>
        <w:spacing w:after="160" w:line="276"/>
      </w:pPr>
      <w:r>
        <w:rPr>
          <w:rFonts w:ascii="Calibri" w:cs="Calibri" w:eastAsia="Calibri" w:hAnsi="Calibri"/>
          <w:b/>
          <w:bCs/>
          <w:sz w:val="22"/>
          <w:szCs w:val="22"/>
        </w:rPr>
        <w:t xml:space="preserve">T2 (Structurally forced singlet).</w:t>
      </w:r>
      <w:r>
        <w:rPr>
          <w:rFonts w:ascii="Calibri" w:cs="Calibri" w:eastAsia="Calibri" w:hAnsi="Calibri"/>
          <w:sz w:val="22"/>
          <w:szCs w:val="22"/>
        </w:rPr>
        <w:t xml:space="preserve"> The enclosing “one circle” — the scale-free invariant that the triplet pattern itself is preserved — is qualitatively consistent with a structurally forced singlet. Bandyopadhyay’s language, that “self-similarity lies in the principles of symmetry-breaking” (Saxena et al., 2020), is consistent with the singlet being the symmetry-breaking principle rather than a specific frequency peak. However, no individual frequency has yet been identified as a void mode. </w:t>
      </w:r>
      <w:r>
        <w:rPr>
          <w:rFonts w:ascii="Calibri" w:cs="Calibri" w:eastAsia="Calibri" w:hAnsi="Calibri"/>
          <w:b/>
          <w:bCs/>
          <w:sz w:val="22"/>
          <w:szCs w:val="22"/>
        </w:rPr>
        <w:t xml:space="preserve">Verdict: weakly compatible.</w:t>
      </w:r>
    </w:p>
    <w:p>
      <w:pPr>
        <w:spacing w:after="160" w:line="276"/>
      </w:pPr>
      <w:r>
        <w:rPr>
          <w:rFonts w:ascii="Calibri" w:cs="Calibri" w:eastAsia="Calibri" w:hAnsi="Calibri"/>
          <w:b/>
          <w:bCs/>
          <w:sz w:val="22"/>
          <w:szCs w:val="22"/>
        </w:rPr>
        <w:t xml:space="preserve">T3 (Conjugate pairing).</w:t>
      </w:r>
      <w:r>
        <w:rPr>
          <w:rFonts w:ascii="Calibri" w:cs="Calibri" w:eastAsia="Calibri" w:hAnsi="Calibri"/>
          <w:sz w:val="22"/>
          <w:szCs w:val="22"/>
        </w:rPr>
        <w:t xml:space="preserve"> For the microtubule, Band I (kHz, 3 peaks) and Band III (GHz, 4 peaks) bracket the richer middle Band II (MHz, 8 peaks). The outer bands have fewer peaks while the middle band is denser, consistent with the outer bands being conjugate sectors (3 and 3̅) while the middle band contains overlapping contributions from both. The kHz band (3 peaks) matches the expected triplet multiplicity exactly; the GHz band (4 peaks) is close, with one possible overtone. </w:t>
      </w:r>
      <w:r>
        <w:rPr>
          <w:rFonts w:ascii="Calibri" w:cs="Calibri" w:eastAsia="Calibri" w:hAnsi="Calibri"/>
          <w:b/>
          <w:bCs/>
          <w:sz w:val="22"/>
          <w:szCs w:val="22"/>
        </w:rPr>
        <w:t xml:space="preserve">Verdict: weakly compatible.</w:t>
      </w:r>
    </w:p>
    <w:p>
      <w:pPr>
        <w:spacing w:after="160" w:line="276"/>
      </w:pPr>
      <w:r>
        <w:rPr>
          <w:rFonts w:ascii="Calibri" w:cs="Calibri" w:eastAsia="Calibri" w:hAnsi="Calibri"/>
          <w:b/>
          <w:bCs/>
          <w:sz w:val="22"/>
          <w:szCs w:val="22"/>
        </w:rPr>
        <w:t xml:space="preserve">T4 (Rank-2 Cartan constraint).</w:t>
      </w:r>
      <w:r>
        <w:rPr>
          <w:rFonts w:ascii="Calibri" w:cs="Calibri" w:eastAsia="Calibri" w:hAnsi="Calibri"/>
          <w:sz w:val="22"/>
          <w:szCs w:val="22"/>
        </w:rPr>
        <w:t xml:space="preserve"> The inter-band structure is fully described by two independent scaling ratios (Band II/Band I and Band III/Band I), consistent with the rank-2 Cartan constraint that permits at most two free parameters. The data does not require more than two independent scaling parameters to describe the band architecture. </w:t>
      </w:r>
      <w:r>
        <w:rPr>
          <w:rFonts w:ascii="Calibri" w:cs="Calibri" w:eastAsia="Calibri" w:hAnsi="Calibri"/>
          <w:b/>
          <w:bCs/>
          <w:sz w:val="22"/>
          <w:szCs w:val="22"/>
        </w:rPr>
        <w:t xml:space="preserve">Verdict: compatible.</w:t>
      </w:r>
    </w:p>
    <w:p>
      <w:pPr>
        <w:spacing w:after="160" w:line="276"/>
      </w:pPr>
      <w:r>
        <w:rPr>
          <w:rFonts w:ascii="Calibri" w:cs="Calibri" w:eastAsia="Calibri" w:hAnsi="Calibri"/>
          <w:b/>
          <w:bCs/>
          <w:sz w:val="22"/>
          <w:szCs w:val="22"/>
        </w:rPr>
        <w:t xml:space="preserve">T5 (Cross-scale self-similarity).</w:t>
      </w:r>
      <w:r>
        <w:rPr>
          <w:rFonts w:ascii="Calibri" w:cs="Calibri" w:eastAsia="Calibri" w:hAnsi="Calibri"/>
          <w:sz w:val="22"/>
          <w:szCs w:val="22"/>
        </w:rPr>
        <w:t xml:space="preserve"> The triplet-of-triplet structure is preserved across tubulin (4 nm) → microtubule (25 nm) → neuron (1 μm), spanning approximately 10⁶ variation in physical size with ∼10³ frequency shifts between levels. This is precisely the behaviour expected from an algebraic constraint surface, as opposed to parameter fine-tuning: the topology is scale-invariant because it is determined by the algebra, not by material-specific coupling constants. </w:t>
      </w:r>
      <w:r>
        <w:rPr>
          <w:rFonts w:ascii="Calibri" w:cs="Calibri" w:eastAsia="Calibri" w:hAnsi="Calibri"/>
          <w:b/>
          <w:bCs/>
          <w:sz w:val="22"/>
          <w:szCs w:val="22"/>
        </w:rPr>
        <w:t xml:space="preserve">Verdict: strongly 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999999" w:sz="1"/>
              <w:left w:val="single" w:color="999999" w:sz="1"/>
              <w:bottom w:val="single" w:color="999999" w:sz="1"/>
              <w:right w:val="single" w:color="999999" w:sz="1"/>
            </w:tcBorders>
            <w:shd w:fill="E8E8E8" w:val="clear"/>
            <w:tcMar>
              <w:top w:type="dxa" w:w="50"/>
              <w:left w:type="dxa" w:w="80"/>
              <w:bottom w:type="dxa" w:w="50"/>
              <w:right w:type="dxa" w:w="80"/>
            </w:tcMar>
          </w:tcPr>
          <w:p>
            <w:pPr>
              <w:spacing w:after="40"/>
            </w:pPr>
            <w:r>
              <w:rPr>
                <w:rFonts w:ascii="Calibri" w:cs="Calibri" w:eastAsia="Calibri" w:hAnsi="Calibri"/>
                <w:b/>
                <w:bCs/>
                <w:sz w:val="20"/>
                <w:szCs w:val="20"/>
              </w:rPr>
              <w:t xml:space="preserve">Test</w:t>
            </w:r>
          </w:p>
        </w:tc>
        <w:tc>
          <w:tcPr>
            <w:tcW w:type="dxa" w:w="3760"/>
            <w:tcBorders>
              <w:top w:val="single" w:color="999999" w:sz="1"/>
              <w:left w:val="single" w:color="999999" w:sz="1"/>
              <w:bottom w:val="single" w:color="999999" w:sz="1"/>
              <w:right w:val="single" w:color="999999" w:sz="1"/>
            </w:tcBorders>
            <w:shd w:fill="E8E8E8" w:val="clear"/>
            <w:tcMar>
              <w:top w:type="dxa" w:w="50"/>
              <w:left w:type="dxa" w:w="80"/>
              <w:bottom w:type="dxa" w:w="50"/>
              <w:right w:type="dxa" w:w="80"/>
            </w:tcMar>
          </w:tcPr>
          <w:p>
            <w:pPr>
              <w:spacing w:after="40"/>
            </w:pPr>
            <w:r>
              <w:rPr>
                <w:rFonts w:ascii="Calibri" w:cs="Calibri" w:eastAsia="Calibri" w:hAnsi="Calibri"/>
                <w:b/>
                <w:bCs/>
                <w:sz w:val="20"/>
                <w:szCs w:val="20"/>
              </w:rPr>
              <w:t xml:space="preserve">Verdict</w:t>
            </w:r>
          </w:p>
        </w:tc>
      </w:tr>
      <w:tr>
        <w:tc>
          <w:tcPr>
            <w:tcW w:type="dxa" w:w="5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T1: 1 ⊕ 3 ⊕ 3̅ branching topology</w:t>
            </w:r>
          </w:p>
        </w:tc>
        <w:tc>
          <w:tcPr>
            <w:tcW w:type="dxa" w:w="3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Compatible</w:t>
            </w:r>
          </w:p>
        </w:tc>
      </w:tr>
      <w:tr>
        <w:tc>
          <w:tcPr>
            <w:tcW w:type="dxa" w:w="5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T2: Structurally forced singlet (void mode)</w:t>
            </w:r>
          </w:p>
        </w:tc>
        <w:tc>
          <w:tcPr>
            <w:tcW w:type="dxa" w:w="3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Weakly compatible</w:t>
            </w:r>
          </w:p>
        </w:tc>
      </w:tr>
      <w:tr>
        <w:tc>
          <w:tcPr>
            <w:tcW w:type="dxa" w:w="5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T3: Conjugate pairing (3 ↔ 3̅)</w:t>
            </w:r>
          </w:p>
        </w:tc>
        <w:tc>
          <w:tcPr>
            <w:tcW w:type="dxa" w:w="3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Weakly compatible</w:t>
            </w:r>
          </w:p>
        </w:tc>
      </w:tr>
      <w:tr>
        <w:tc>
          <w:tcPr>
            <w:tcW w:type="dxa" w:w="5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T4: Rank-2 Cartan constraint (≤ 2 free params)</w:t>
            </w:r>
          </w:p>
        </w:tc>
        <w:tc>
          <w:tcPr>
            <w:tcW w:type="dxa" w:w="3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Compatible</w:t>
            </w:r>
          </w:p>
        </w:tc>
      </w:tr>
      <w:tr>
        <w:tc>
          <w:tcPr>
            <w:tcW w:type="dxa" w:w="5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T5: Cross-scale self-similarity</w:t>
            </w:r>
          </w:p>
        </w:tc>
        <w:tc>
          <w:tcPr>
            <w:tcW w:type="dxa" w:w="3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sz w:val="20"/>
                <w:szCs w:val="20"/>
              </w:rPr>
              <w:t xml:space="preserve">Strongly compatible</w:t>
            </w:r>
          </w:p>
        </w:tc>
      </w:tr>
      <w:tr>
        <w:tc>
          <w:tcPr>
            <w:tcW w:type="dxa" w:w="5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b/>
                <w:bCs/>
                <w:sz w:val="20"/>
                <w:szCs w:val="20"/>
              </w:rPr>
              <w:t xml:space="preserve">Overall</w:t>
            </w:r>
          </w:p>
        </w:tc>
        <w:tc>
          <w:tcPr>
            <w:tcW w:type="dxa" w:w="3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40"/>
            </w:pPr>
            <w:r>
              <w:rPr>
                <w:rFonts w:ascii="Calibri" w:cs="Calibri" w:eastAsia="Calibri" w:hAnsi="Calibri"/>
                <w:b/>
                <w:bCs/>
                <w:sz w:val="20"/>
                <w:szCs w:val="20"/>
              </w:rPr>
              <w:t xml:space="preserve">Weakly compatible — FP-1 not falsified</w:t>
            </w:r>
          </w:p>
        </w:tc>
      </w:tr>
    </w:tbl>
    <w:p>
      <w:pPr>
        <w:spacing w:after="160" w:line="276"/>
      </w:pPr>
    </w:p>
    <w:p>
      <w:pPr>
        <w:spacing w:after="200"/>
      </w:pPr>
      <w:r>
        <w:rPr>
          <w:rFonts w:ascii="Calibri" w:cs="Calibri" w:eastAsia="Calibri" w:hAnsi="Calibri"/>
          <w:b/>
          <w:bCs/>
          <w:sz w:val="22"/>
          <w:szCs w:val="22"/>
        </w:rPr>
        <w:t xml:space="preserve">Table 4.</w:t>
      </w:r>
      <w:r>
        <w:rPr>
          <w:rFonts w:ascii="Calibri" w:cs="Calibri" w:eastAsia="Calibri" w:hAnsi="Calibri"/>
          <w:sz w:val="22"/>
          <w:szCs w:val="22"/>
        </w:rPr>
        <w:t xml:space="preserve"> Summary of five topology tests of the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/SU(3) spectral constraints against microtubule resonance data (Sahu et al., 2013; Singh et al., 2014; Saxena et al., 2020).</w:t>
      </w:r>
    </w:p>
    <w:p>
      <w:pPr>
        <w:spacing w:after="160" w:line="276"/>
      </w:pPr>
      <w:r>
        <w:rPr>
          <w:rFonts w:ascii="Calibri" w:cs="Calibri" w:eastAsia="Calibri" w:hAnsi="Calibri"/>
          <w:sz w:val="22"/>
          <w:szCs w:val="22"/>
        </w:rPr>
        <w:t xml:space="preserve">The overall assessment is </w:t>
      </w:r>
      <w:r>
        <w:rPr>
          <w:rFonts w:ascii="Calibri" w:cs="Calibri" w:eastAsia="Calibri" w:hAnsi="Calibri"/>
          <w:b/>
          <w:bCs/>
          <w:sz w:val="22"/>
          <w:szCs w:val="22"/>
        </w:rPr>
        <w:t xml:space="preserve">weakly compatible</w:t>
      </w:r>
      <w:r>
        <w:rPr>
          <w:rFonts w:ascii="Calibri" w:cs="Calibri" w:eastAsia="Calibri" w:hAnsi="Calibri"/>
          <w:sz w:val="22"/>
          <w:szCs w:val="22"/>
        </w:rPr>
        <w:t xml:space="preserve">: the data passes all hard topology tests and fails none, while the softer tests (void-mode identification, exact conjugate pairing) remain inconclusive rather than negative. Crucially, no feature of the data requires a fourth independent frequency band, more than two independent scaling parameters, or a branching topology inconsistent with 1 ⊕ 3 ⊕ 3̅. The corrected falsifiable prediction FP-1 is not falsified.</w:t>
      </w:r>
    </w:p>
    <w:p>
      <w:pPr>
        <w:spacing w:after="160" w:line="276"/>
      </w:pPr>
      <w:r>
        <w:rPr>
          <w:rFonts w:ascii="Calibri" w:cs="Calibri" w:eastAsia="Calibri" w:hAnsi="Calibri"/>
          <w:sz w:val="22"/>
          <w:szCs w:val="22"/>
        </w:rPr>
        <w:t xml:space="preserve">We stress that this assessment is conservative and intentionally cautious. The convergence between the algebraic prediction and the empirical data motivates continued investigation; it does not constitute confirmation. Several open questions remain. First, the microtubule data contains 15 resolved peaks within each material, considerably more than the 7 fundamental modes predicted by the Hamiltonian; identifying which peaks are fundamental and which are overtones or combinatorial harmonics requires a full harmonic decomposition that has not yet been performed. Second, the predicted neuron-scale Hz–kHz–MHz triplet has only been partially characterised experimentally: the Hz band is predicted but not yet measured (Saxena et al., 2020). Third, direct identification of the void-mode frequency — the singlet that should be metrically distinct from the 3 ⊕ 3̅ sector — awaits a more refined mapping between the algebraic structure and the physical resonance peaks.</w:t>
      </w:r>
    </w:p>
    <w:p>
      <w:pPr>
        <w:spacing w:after="160" w:line="276"/>
      </w:pPr>
      <w:r>
        <w:rPr>
          <w:rFonts w:ascii="Calibri" w:cs="Calibri" w:eastAsia="Calibri" w:hAnsi="Calibri"/>
          <w:sz w:val="22"/>
          <w:szCs w:val="22"/>
        </w:rPr>
        <w:t xml:space="preserve">A stronger test will become possible when (a) a full harmonic decomposition of the microtubule peaks is performed to identify which are fundamental modes and which are overtones, (b) the predicted neuron-scale Hz–kHz–MHz triplet is measured in its entirety, and (c) the two Cartan parameters (</w:t>
      </w:r>
      <w:r>
        <w:rPr>
          <w:rFonts w:ascii="Calibri" w:cs="Calibri" w:eastAsia="Calibri" w:hAnsi="Calibri"/>
          <w:i/>
          <w:iCs/>
          <w:sz w:val="22"/>
          <w:szCs w:val="22"/>
        </w:rPr>
        <w:t xml:space="preserve">a</w:t>
      </w:r>
      <w:r>
        <w:rPr>
          <w:rFonts w:ascii="Calibri" w:cs="Calibri" w:eastAsia="Calibri" w:hAnsi="Calibri"/>
          <w:sz w:val="22"/>
          <w:szCs w:val="22"/>
        </w:rPr>
        <w:t xml:space="preserve">₁</w:t>
      </w:r>
      <w:r>
        <w:rPr>
          <w:rFonts w:ascii="Calibri" w:cs="Calibri" w:eastAsia="Calibri" w:hAnsi="Calibri"/>
          <w:sz w:val="22"/>
          <w:szCs w:val="22"/>
        </w:rPr>
        <w:t xml:space="preserve">, </w:t>
      </w:r>
      <w:r>
        <w:rPr>
          <w:rFonts w:ascii="Calibri" w:cs="Calibri" w:eastAsia="Calibri" w:hAnsi="Calibri"/>
          <w:i/>
          <w:iCs/>
          <w:sz w:val="22"/>
          <w:szCs w:val="22"/>
        </w:rPr>
        <w:t xml:space="preserve">a</w:t>
      </w:r>
      <w:r>
        <w:rPr>
          <w:rFonts w:ascii="Calibri" w:cs="Calibri" w:eastAsia="Calibri" w:hAnsi="Calibri"/>
          <w:sz w:val="22"/>
          <w:szCs w:val="22"/>
        </w:rPr>
        <w:t xml:space="preserve">₂</w:t>
      </w:r>
      <w:r>
        <w:rPr>
          <w:rFonts w:ascii="Calibri" w:cs="Calibri" w:eastAsia="Calibri" w:hAnsi="Calibri"/>
          <w:sz w:val="22"/>
          <w:szCs w:val="22"/>
        </w:rPr>
        <w:t xml:space="preserve">) are fitted to the fundamental modes and tested for cross-scale consistency. Until then, the honest summary is: the G</w:t>
      </w:r>
      <w:r>
        <w:rPr>
          <w:rFonts w:ascii="Calibri" w:cs="Calibri" w:eastAsia="Calibri" w:hAnsi="Calibri"/>
          <w:sz w:val="22"/>
          <w:szCs w:val="22"/>
          <w:vertAlign w:val="subscript"/>
        </w:rPr>
        <w:t xml:space="preserve">₂</w:t>
      </w:r>
      <w:r>
        <w:rPr>
          <w:rFonts w:ascii="Calibri" w:cs="Calibri" w:eastAsia="Calibri" w:hAnsi="Calibri"/>
          <w:sz w:val="22"/>
          <w:szCs w:val="22"/>
        </w:rPr>
        <w:t xml:space="preserve">/SU(3) spectral topology is not falsified by existing microtubule resonance data, and the self-similar triplet-of-triplet structure provides a natural empirical home for the 1 ⊕ 3 ⊕ 3̅ branching prediction.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Graise — G₂ Daemon Hamiltonian (Section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Calibri" w:cs="Calibri" w:eastAsia="Calibri" w:hAnsi="Calibri"/>
      <w:b/>
      <w:bCs/>
      <w:sz w:val="32"/>
      <w:szCs w:val="32"/>
    </w:rPr>
  </w:style>
  <w:style w:type="paragraph" w:styleId="Heading2">
    <w:name w:val="Heading 2"/>
    <w:basedOn w:val="Normal"/>
    <w:next w:val="Normal"/>
    <w:qFormat/>
    <w:pPr>
      <w:spacing w:after="200" w:before="360"/>
      <w:outlineLvl w:val="1"/>
    </w:pPr>
    <w:rPr>
      <w:rFonts w:ascii="Calibri" w:cs="Calibri" w:eastAsia="Calibri" w:hAnsi="Calibri"/>
      <w:b/>
      <w:bCs/>
      <w:sz w:val="26"/>
      <w:szCs w:val="26"/>
    </w:rPr>
  </w:style>
  <w:style w:type="paragraph" w:styleId="Heading3">
    <w:name w:val="Heading 3"/>
    <w:basedOn w:val="Normal"/>
    <w:next w:val="Normal"/>
    <w:qFormat/>
    <w:pPr>
      <w:spacing w:after="160" w:before="2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G₂ Symmetry — Section 3: The G₂ Daemon Hamiltonian</dc:title>
  <dc:creator>Martin Luther Graise</dc:creator>
  <dc:description>Section 3 of the paper: G₂ Symmetry as a Constraint on Conscious Information Processing</dc:description>
  <cp:lastModifiedBy>Un-named</cp:lastModifiedBy>
  <cp:revision>1</cp:revision>
  <dcterms:created xsi:type="dcterms:W3CDTF">2026-03-23T23:56:54.245Z</dcterms:created>
  <dcterms:modified xsi:type="dcterms:W3CDTF">2026-03-23T23:56:54.441Z</dcterms:modified>
</cp:coreProperties>
</file>

<file path=docProps/custom.xml><?xml version="1.0" encoding="utf-8"?>
<Properties xmlns="http://schemas.openxmlformats.org/officeDocument/2006/custom-properties" xmlns:vt="http://schemas.openxmlformats.org/officeDocument/2006/docPropsVTypes"/>
</file>