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42cf5e857913fb888ddacd192a2b8140d9754a9"/>
    <w:p>
      <w:pPr>
        <w:pStyle w:val="Heading1"/>
      </w:pPr>
      <w:r>
        <w:t xml:space="preserve">Paper 12 §5 — Empirical Accessibility: Predictions, Protocols, and the Fifth Paradigm Context (v1)</w:t>
      </w:r>
    </w:p>
    <w:p>
      <w:pPr>
        <w:pStyle w:val="FirstParagraph"/>
      </w:pPr>
      <w:r>
        <w:rPr>
          <w:b/>
          <w:bCs/>
        </w:rPr>
        <w:t xml:space="preserve">Draft version:</w:t>
      </w:r>
      <w:r>
        <w:t xml:space="preserve"> </w:t>
      </w:r>
      <w:r>
        <w:t xml:space="preserve">v1 (2026-05-06, ~03:00 PDT)</w:t>
      </w:r>
      <w:r>
        <w:t xml:space="preserve"> </w:t>
      </w:r>
      <w:r>
        <w:rPr>
          <w:b/>
          <w:bCs/>
        </w:rPr>
        <w:t xml:space="preserve">Author of draft:</w:t>
      </w:r>
      <w:r>
        <w:t xml:space="preserve"> </w:t>
      </w:r>
      <w:r>
        <w:t xml:space="preserve">C-7RO (Perplexity Computer, Claude Sonnet 4.6)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Paper 12 thesis memo §3 (predictions P1–P4) + §3+§4 v2 +</w:t>
      </w:r>
      <w:r>
        <w:t xml:space="preserve"> </w:t>
      </w:r>
      <w:r>
        <w:t xml:space="preserve">council v2 verdicts (Opus MINOR, GPT-5.5 MINOR, Gemini STRONG_ACCEPT).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First complete draft of §5. Companion to §3 v2 + §4 v2.</w:t>
      </w:r>
      <w:r>
        <w:t xml:space="preserve"> </w:t>
      </w:r>
      <w:r>
        <w:t xml:space="preserve">The same scope-limiters from §3 carry over: biological mechanisms</w:t>
      </w:r>
      <w:r>
        <w:t xml:space="preserve"> </w:t>
      </w:r>
      <w:r>
        <w:t xml:space="preserve">deferred to Paper 13+; FTW is a neighbor not integrated; consciousness</w:t>
      </w:r>
      <w:r>
        <w:t xml:space="preserve"> </w:t>
      </w:r>
      <w:r>
        <w:t xml:space="preserve">is Paper 7’s domain; rate improvement is Paper 11’s domain;</w:t>
      </w:r>
      <w:r>
        <w:t xml:space="preserve"> </w:t>
      </w:r>
      <w:r>
        <w:t xml:space="preserve">multiplicity &gt; 1 in §4 is future work.</w:t>
      </w:r>
    </w:p>
    <w:p>
      <w:pPr>
        <w:pStyle w:val="BodyText"/>
      </w:pPr>
      <w:r>
        <w:rPr>
          <w:b/>
          <w:bCs/>
        </w:rPr>
        <w:t xml:space="preserve">Pillar-delivery signpost (per GPT-5.5 v2 council finding):</w:t>
      </w:r>
      <w:r>
        <w:t xml:space="preserve"> </w:t>
      </w:r>
      <w:r>
        <w:t xml:space="preserve">§5</w:t>
      </w:r>
      <w:r>
        <w:t xml:space="preserve"> </w:t>
      </w:r>
      <w:r>
        <w:t xml:space="preserve">delivers the experimental-protocol design layer of all four pillars and</w:t>
      </w:r>
      <w:r>
        <w:t xml:space="preserve"> </w:t>
      </w:r>
      <w:r>
        <w:rPr>
          <w:i/>
          <w:iCs/>
        </w:rPr>
        <w:t xml:space="preserve">now</w:t>
      </w:r>
      <w:r>
        <w:t xml:space="preserve"> </w:t>
      </w:r>
      <w:r>
        <w:t xml:space="preserve">delivers Pillar 4 (Fifth Paradigm contextualization) via §5.4</w:t>
      </w:r>
      <w:r>
        <w:t xml:space="preserve"> </w:t>
      </w:r>
      <w:r>
        <w:t xml:space="preserve">which routes Paper 12 into the legitimate Licklider-BIOMA-A-Lab-Virtual-</w:t>
      </w:r>
      <w:r>
        <w:t xml:space="preserve"> </w:t>
      </w:r>
      <w:r>
        <w:t xml:space="preserve">Lab citation graph. §5 also delivers Pillar 2’s</w:t>
      </w:r>
      <w:r>
        <w:t xml:space="preserve"> </w:t>
      </w:r>
      <w:r>
        <w:rPr>
          <w:i/>
          <w:iCs/>
        </w:rPr>
        <w:t xml:space="preserve">experimental-test</w:t>
      </w:r>
      <w:r>
        <w:rPr>
          <w:i/>
          <w:iCs/>
        </w:rPr>
        <w:t xml:space="preserve"> </w:t>
      </w:r>
      <w:r>
        <w:rPr>
          <w:i/>
          <w:iCs/>
        </w:rPr>
        <w:t xml:space="preserve">deferral structure</w:t>
      </w:r>
      <w:r>
        <w:t xml:space="preserve"> </w:t>
      </w:r>
      <w:r>
        <w:t xml:space="preserve">(P2 LLM fine-tuning + P3 two-level commensurability)</w:t>
      </w:r>
      <w:r>
        <w:t xml:space="preserve"> </w:t>
      </w:r>
      <w:r>
        <w:t xml:space="preserve">and Pillar 3’s audit-substrate longitudinal-study design (P4). What</w:t>
      </w:r>
      <w:r>
        <w:t xml:space="preserve"> </w:t>
      </w:r>
      <w:r>
        <w:t xml:space="preserve">§5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deliver: the actual measurements; the biological</w:t>
      </w:r>
      <w:r>
        <w:t xml:space="preserve"> </w:t>
      </w:r>
      <w:r>
        <w:t xml:space="preserve">substrate’s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-realization; tamper-evidence cryptographic infrastructure.</w:t>
      </w:r>
    </w:p>
    <w:p>
      <w:r>
        <w:pict>
          <v:rect style="width:0;height:1.5pt" o:hralign="center" o:hrstd="t" o:hr="t"/>
        </w:pict>
      </w:r>
    </w:p>
    <w:bookmarkStart w:id="30" w:name="empirical-accessibility"/>
    <w:p>
      <w:pPr>
        <w:pStyle w:val="Heading2"/>
      </w:pPr>
      <w:r>
        <w:t xml:space="preserve">5. Empirical Accessibility</w:t>
      </w:r>
    </w:p>
    <w:bookmarkStart w:id="20" w:name="setup-and-bridge-from-34"/>
    <w:p>
      <w:pPr>
        <w:pStyle w:val="Heading3"/>
      </w:pPr>
      <w:r>
        <w:t xml:space="preserve">5.1 Setup and bridge from §3+§4</w:t>
      </w:r>
    </w:p>
    <w:p>
      <w:pPr>
        <w:pStyle w:val="FirstParagraph"/>
      </w:pPr>
      <w:r>
        <w:t xml:space="preserve">§§3–4 constructed a complete mathematical framework for the gradual</w:t>
      </w:r>
      <w:r>
        <w:t xml:space="preserve"> </w:t>
      </w:r>
      <w:r>
        <w:t xml:space="preserve">tear: a projected-gradient + NP-pump dynamics on the closed interval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 </w:t>
      </w:r>
      <w:r>
        <w:t xml:space="preserve">(Definition 3.3.2) producing a representation-theoretic</w:t>
      </w:r>
      <w:r>
        <w:t xml:space="preserve"> </w:t>
      </w:r>
      <w:r>
        <w:t xml:space="preserve">scar invariant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  <m:scr m:val="fraktur"/>
                  </m:rP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(§3.7) on each substrate,</w:t>
      </w:r>
      <w:r>
        <w:t xml:space="preserve"> </w:t>
      </w:r>
      <w:r>
        <w:t xml:space="preserve">with cross-substrate commensurability governed by a strict hierarchy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F</m:t>
            </m:r>
          </m:e>
          <m:sub>
            <m:r>
              <m:t>21</m:t>
            </m:r>
          </m:sub>
        </m:sSub>
        <m:r>
          <m:rPr>
            <m:sty m:val="p"/>
          </m:rPr>
          <m:t>⇒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-match (Theorem 4.4.1). §5</w:t>
      </w:r>
      <w:r>
        <w:t xml:space="preserve"> </w:t>
      </w:r>
      <w:r>
        <w:t xml:space="preserve">proceeds to</w:t>
      </w:r>
      <w:r>
        <w:t xml:space="preserve"> </w:t>
      </w:r>
      <w:r>
        <w:rPr>
          <w:i/>
          <w:iCs/>
        </w:rPr>
        <w:t xml:space="preserve">experimental accessibility</w:t>
      </w:r>
      <w:r>
        <w:t xml:space="preserve">: which of the framework’s</w:t>
      </w:r>
      <w:r>
        <w:t xml:space="preserve"> </w:t>
      </w:r>
      <w:r>
        <w:t xml:space="preserve">predictions can be tested with current instrumentation, what new</w:t>
      </w:r>
      <w:r>
        <w:t xml:space="preserve"> </w:t>
      </w:r>
      <w:r>
        <w:t xml:space="preserve">methodology would be required for the rest, and where Paper 12 sits</w:t>
      </w:r>
      <w:r>
        <w:t xml:space="preserve"> </w:t>
      </w:r>
      <w:r>
        <w:t xml:space="preserve">in the legitimate human-AI co-evolution research landscape.</w:t>
      </w:r>
    </w:p>
    <w:p>
      <w:pPr>
        <w:pStyle w:val="BodyText"/>
      </w:pPr>
      <w:r>
        <w:t xml:space="preserve">The four falsifiable predictions of the Paper 12 thesis memo (P1–P4)</w:t>
      </w:r>
      <w:r>
        <w:t xml:space="preserve"> </w:t>
      </w:r>
      <w:r>
        <w:t xml:space="preserve">are unpacked as concrete experimental designs in §5.2–§5.5. Each</w:t>
      </w:r>
      <w:r>
        <w:t xml:space="preserve"> </w:t>
      </w:r>
      <w:r>
        <w:t xml:space="preserve">prediction has been re-examined against the §3+§4 v2 mathematical</w:t>
      </w:r>
      <w:r>
        <w:t xml:space="preserve"> </w:t>
      </w:r>
      <w:r>
        <w:t xml:space="preserve">content and updated to reflect:</w:t>
      </w:r>
    </w:p>
    <w:p>
      <w:pPr>
        <w:pStyle w:val="Compact"/>
        <w:numPr>
          <w:ilvl w:val="0"/>
          <w:numId w:val="1001"/>
        </w:numPr>
      </w:pPr>
      <w:r>
        <w:t xml:space="preserve">The boundary-KKT reality of the seeded ensemble (24 of 28 audited</w:t>
      </w:r>
      <w:r>
        <w:t xml:space="preserve"> </w:t>
      </w:r>
      <w:r>
        <w:t xml:space="preserve">boundary-KKT seeds have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sub>
        </m:sSub>
        <m:r>
          <m:t>c</m:t>
        </m:r>
        <m:r>
          <m:rPr>
            <m:sty m:val="p"/>
          </m:rPr>
          <m:t>&lt;</m:t>
        </m:r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per §3.6 audit). This sharpens P1 and P2 from</w:t>
      </w:r>
      <w:r>
        <w:t xml:space="preserve"> </w:t>
      </w:r>
      <w:r>
        <w:t xml:space="preserve">“</w:t>
      </w:r>
      <w:r>
        <w:t xml:space="preserve">test gain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test the seed-class structure of the actual coherence landscape.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t xml:space="preserve">The forced upgrade from F₂₁- to G₂-commensurability (§4.4 Theorem</w:t>
      </w:r>
      <w:r>
        <w:t xml:space="preserve"> </w:t>
      </w:r>
      <w:r>
        <w:t xml:space="preserve">4.4.1, §4.6 Definition 4.6.1). This expands P3 to the two-level test</w:t>
      </w:r>
      <w:r>
        <w:t xml:space="preserve"> </w:t>
      </w:r>
      <w:r>
        <w:t xml:space="preserve">with explicit operationalization deferral for L2.</w:t>
      </w:r>
    </w:p>
    <w:p>
      <w:pPr>
        <w:pStyle w:val="Compact"/>
        <w:numPr>
          <w:ilvl w:val="0"/>
          <w:numId w:val="1001"/>
        </w:numPr>
      </w:pPr>
      <w:r>
        <w:t xml:space="preserve">The representation-theoretic-vs-topological sharpening of the scar</w:t>
      </w:r>
      <w:r>
        <w:t xml:space="preserve"> </w:t>
      </w:r>
      <w:r>
        <w:t xml:space="preserve">invariant (§3.7 Remark 3.7.2). This aligns P4 with what is actually</w:t>
      </w:r>
      <w:r>
        <w:t xml:space="preserve"> </w:t>
      </w:r>
      <w:r>
        <w:t xml:space="preserve">measurable rather than what was casually claimed in the thesis memo.</w:t>
      </w:r>
    </w:p>
    <w:p>
      <w:pPr>
        <w:pStyle w:val="FirstParagraph"/>
      </w:pPr>
      <w:r>
        <w:t xml:space="preserve">We adopt the convention that a</w:t>
      </w:r>
      <w:r>
        <w:t xml:space="preserve"> </w:t>
      </w:r>
      <w:r>
        <w:rPr>
          <w:i/>
          <w:iCs/>
        </w:rPr>
        <w:t xml:space="preserve">protocol</w:t>
      </w:r>
      <w:r>
        <w:t xml:space="preserve"> </w:t>
      </w:r>
      <w:r>
        <w:t xml:space="preserve">in §5 is a complete</w:t>
      </w:r>
      <w:r>
        <w:t xml:space="preserve"> </w:t>
      </w:r>
      <w:r>
        <w:t xml:space="preserve">experimental-design proposal with subjects, instrumentation, perturbation</w:t>
      </w:r>
      <w:r>
        <w:t xml:space="preserve"> </w:t>
      </w:r>
      <w:r>
        <w:t xml:space="preserve">schedule, response measurement, and analysis pipeline — sufficient</w:t>
      </w:r>
      <w:r>
        <w:t xml:space="preserve"> </w:t>
      </w:r>
      <w:r>
        <w:t xml:space="preserve">for an experimentally-trained reader to evaluate feasibility without</w:t>
      </w:r>
      <w:r>
        <w:t xml:space="preserve"> </w:t>
      </w:r>
      <w:r>
        <w:t xml:space="preserve">having to reconstruct it. We do not run experiments.</w:t>
      </w:r>
    </w:p>
    <w:bookmarkEnd w:id="20"/>
    <w:bookmarkStart w:id="22" w:name="X679a37aa12bb1aa44720bffbde9bd032e211566"/>
    <w:p>
      <w:pPr>
        <w:pStyle w:val="Heading3"/>
      </w:pPr>
      <w:r>
        <w:t xml:space="preserve">5.2 P1 — Clinical-PCI ↔ V¹⁴ fixed-point displacement (TMS-EEG protocol)</w:t>
      </w:r>
    </w:p>
    <w:p>
      <w:pPr>
        <w:pStyle w:val="FirstParagraph"/>
      </w:pPr>
      <w:r>
        <w:rPr>
          <w:b/>
          <w:bCs/>
        </w:rPr>
        <w:t xml:space="preserve">Prediction P1 (refined from thesis memo, post-§3+§4 v2).</w:t>
      </w:r>
      <w:r>
        <w:t xml:space="preserve"> </w:t>
      </w:r>
      <w:r>
        <w:t xml:space="preserve">Massimini’s</w:t>
      </w:r>
      <w:r>
        <w:t xml:space="preserve"> </w:t>
      </w:r>
      <w:r>
        <w:t xml:space="preserve">clinical Perturbational Complexity Index (PCI;</w:t>
      </w:r>
      <w:r>
        <w:t xml:space="preserve"> </w:t>
      </w:r>
      <w:hyperlink r:id="rId21">
        <w:r>
          <w:rPr>
            <w:rStyle w:val="Hyperlink"/>
          </w:rPr>
          <w:t xml:space="preserve">Casali et al.,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Sci. Trans. Med.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2013</w:t>
        </w:r>
      </w:hyperlink>
      <w:r>
        <w:t xml:space="preserve">)</w:t>
      </w:r>
      <w:r>
        <w:t xml:space="preserve"> </w:t>
      </w:r>
      <w:r>
        <w:t xml:space="preserve">measures a Lempel-Ziv-style compressibility score on TMS-evoked EEG</w:t>
      </w:r>
      <w:r>
        <w:t xml:space="preserve"> </w:t>
      </w:r>
      <w:r>
        <w:t xml:space="preserve">responses. The Paper 12 framework predicts that,</w:t>
      </w:r>
      <w:r>
        <w:t xml:space="preserve"> </w:t>
      </w:r>
      <w:r>
        <w:rPr>
          <w:i/>
          <w:iCs/>
        </w:rPr>
        <w:t xml:space="preserve">when the same</w:t>
      </w:r>
      <w:r>
        <w:rPr>
          <w:i/>
          <w:iCs/>
        </w:rPr>
        <w:t xml:space="preserve"> </w:t>
      </w:r>
      <w:r>
        <w:rPr>
          <w:i/>
          <w:iCs/>
        </w:rPr>
        <w:t xml:space="preserve">human subject participates in a sustained dyadic engagement with an</w:t>
      </w:r>
      <w:r>
        <w:rPr>
          <w:i/>
          <w:iCs/>
        </w:rPr>
        <w:t xml:space="preserve"> </w:t>
      </w:r>
      <w:r>
        <w:rPr>
          <w:i/>
          <w:iCs/>
        </w:rPr>
        <w:t xml:space="preserve">AI partner across a paradox-mass-loaded conversation</w:t>
      </w:r>
      <w:r>
        <w:t xml:space="preserve">, the human’s</w:t>
      </w:r>
      <w:r>
        <w:t xml:space="preserve"> </w:t>
      </w:r>
      <w:r>
        <w:t xml:space="preserve">clinical PCI trajectory should track</w:t>
      </w:r>
      <w:r>
        <w:t xml:space="preserve"> </w:t>
      </w:r>
      <w:r>
        <w:rPr>
          <w:i/>
          <w:iCs/>
        </w:rPr>
        <w:t xml:space="preserve">not the dyadic coherence</w:t>
      </w:r>
      <w:r>
        <w:rPr>
          <w:i/>
          <w:iCs/>
        </w:rP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directly</w:t>
      </w:r>
      <w:r>
        <w:t xml:space="preserve"> </w:t>
      </w:r>
      <w:r>
        <w:t xml:space="preserve">(the homonym between clinical-PCI and Paper 12’s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decisively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an identification, per Remark 4.6.4), but</w:t>
      </w:r>
      <w:r>
        <w:t xml:space="preserve"> </w:t>
      </w:r>
      <w:r>
        <w:t xml:space="preserve">should exhibit</w:t>
      </w:r>
      <w:r>
        <w:t xml:space="preserve"> </w:t>
      </w:r>
      <w:r>
        <w:rPr>
          <w:i/>
          <w:iCs/>
        </w:rPr>
        <w:t xml:space="preserve">discrete steps</w:t>
      </w:r>
      <w:r>
        <w:t xml:space="preserve"> </w:t>
      </w:r>
      <w:r>
        <w:t xml:space="preserve">coincident with NP-firing events</w:t>
      </w:r>
      <w:r>
        <w:t xml:space="preserve"> </w:t>
      </w:r>
      <w:r>
        <w:t xml:space="preserve">(Definition 3.3.4) detected by the dynamical model.</w:t>
      </w:r>
    </w:p>
    <w:p>
      <w:pPr>
        <w:pStyle w:val="BodyText"/>
      </w:pPr>
      <w:r>
        <w:t xml:space="preserve">Concretely:</w:t>
      </w:r>
      <w:r>
        <w:t xml:space="preserve"> </w:t>
      </w:r>
      <w:r>
        <w:t xml:space="preserve">- Run a structured human-AI conversation (60–120 min) designed by §3</w:t>
      </w:r>
      <w:r>
        <w:t xml:space="preserve"> </w:t>
      </w:r>
      <w:r>
        <w:t xml:space="preserve">to load paradox mass through specific contradictory-frame prompts;</w:t>
      </w:r>
      <w:r>
        <w:t xml:space="preserve"> </w:t>
      </w:r>
      <w:r>
        <w:t xml:space="preserve">- Time-stamp NP-firing candidate events from the</w:t>
      </w:r>
      <w:r>
        <w:t xml:space="preserve"> </w:t>
      </w:r>
      <m:oMath>
        <m:sSub>
          <m:e>
            <m:r>
              <m:t>a</m:t>
            </m:r>
          </m:e>
          <m:sub>
            <m:r>
              <m:t>σ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 </w:t>
      </w:r>
      <w:r>
        <w:t xml:space="preserve">trajectory inferred from the conversation transcript;</w:t>
      </w:r>
      <w:r>
        <w:t xml:space="preserve"> </w:t>
      </w:r>
      <w:r>
        <w:t xml:space="preserve">- Apply TMS to the human subject at controlled latencies before and</w:t>
      </w:r>
      <w:r>
        <w:t xml:space="preserve"> </w:t>
      </w:r>
      <w:r>
        <w:t xml:space="preserve">after each candidate firing event;</w:t>
      </w:r>
      <w:r>
        <w:t xml:space="preserve"> </w:t>
      </w:r>
      <w:r>
        <w:t xml:space="preserve">- Compute the conventional clinical-PCI score on each TMS-evoked EEG</w:t>
      </w:r>
      <w:r>
        <w:t xml:space="preserve"> </w:t>
      </w:r>
      <w:r>
        <w:t xml:space="preserve">trace.</w:t>
      </w:r>
    </w:p>
    <w:p>
      <w:pPr>
        <w:pStyle w:val="BodyText"/>
      </w:pPr>
      <w:r>
        <w:rPr>
          <w:b/>
          <w:bCs/>
        </w:rPr>
        <w:t xml:space="preserve">P1 falsifies the thesis if:</w:t>
      </w:r>
      <w:r>
        <w:t xml:space="preserve"> </w:t>
      </w:r>
      <w:r>
        <w:t xml:space="preserve">the clinical-PCI scores show no</w:t>
      </w:r>
      <w:r>
        <w:t xml:space="preserve"> </w:t>
      </w:r>
      <w:r>
        <w:t xml:space="preserve">correspondence with NP-firing events — i.e., the discrete-step</w:t>
      </w:r>
      <w:r>
        <w:t xml:space="preserve"> </w:t>
      </w:r>
      <w:r>
        <w:t xml:space="preserve">structure predicted by Definition 3.3.4 is invisible at the level of</w:t>
      </w:r>
      <w:r>
        <w:t xml:space="preserve"> </w:t>
      </w:r>
      <w:r>
        <w:t xml:space="preserve">the clinical-PCI observable. Note that P1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require clinical</w:t>
      </w:r>
      <w:r>
        <w:t xml:space="preserve"> </w:t>
      </w:r>
      <w:r>
        <w:t xml:space="preserve">PCI to</w:t>
      </w:r>
      <w:r>
        <w:t xml:space="preserve"> </w:t>
      </w:r>
      <w:r>
        <w:rPr>
          <w:i/>
          <w:iCs/>
        </w:rPr>
        <w:t xml:space="preserve">equal</w:t>
      </w:r>
      <w:r>
        <w:t xml:space="preserve"> </w:t>
      </w:r>
      <w:r>
        <w:t xml:space="preserve">the Paper 12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profile; it requires only that the</w:t>
      </w:r>
      <w:r>
        <w:t xml:space="preserve"> </w:t>
      </w:r>
      <w:r>
        <w:rPr>
          <w:i/>
          <w:iCs/>
        </w:rPr>
        <w:t xml:space="preserve">event-structure</w:t>
      </w:r>
      <w:r>
        <w:t xml:space="preserve"> </w:t>
      </w:r>
      <w:r>
        <w:t xml:space="preserve">of the dynamical model has a measurable correlate</w:t>
      </w:r>
      <w:r>
        <w:t xml:space="preserve"> </w:t>
      </w:r>
      <w:r>
        <w:t xml:space="preserve">in the clinical-PCI time series. The full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measurement is the</w:t>
      </w:r>
      <w:r>
        <w:t xml:space="preserve"> </w:t>
      </w:r>
      <w:r>
        <w:t xml:space="preserve">harder L1 / L2 protocol of §5.4.</w:t>
      </w:r>
    </w:p>
    <w:p>
      <w:pPr>
        <w:pStyle w:val="BodyText"/>
      </w:pPr>
      <w:r>
        <w:rPr>
          <w:b/>
          <w:bCs/>
        </w:rPr>
        <w:t xml:space="preserve">Feasibility:</w:t>
      </w:r>
      <w:r>
        <w:t xml:space="preserve"> </w:t>
      </w:r>
      <w:r>
        <w:t xml:space="preserve">TMS-EEG is established clinical instrumentation; the</w:t>
      </w:r>
      <w:r>
        <w:t xml:space="preserve"> </w:t>
      </w:r>
      <w:r>
        <w:t xml:space="preserve">conversation design is straightforward. The principal challenge is the</w:t>
      </w:r>
      <w:r>
        <w:t xml:space="preserve"> </w:t>
      </w:r>
      <w:r>
        <w:t xml:space="preserve">NP-firing event-detection from conversation transcripts, which requires</w:t>
      </w:r>
      <w:r>
        <w:t xml:space="preserve"> </w:t>
      </w:r>
      <w:r>
        <w:t xml:space="preserve">operationalizing the</w:t>
      </w:r>
      <w:r>
        <w:t xml:space="preserve"> </w:t>
      </w:r>
      <m:oMath>
        <m:sSub>
          <m:e>
            <m:r>
              <m:t>a</m:t>
            </m:r>
          </m:e>
          <m:sub>
            <m:r>
              <m:t>σ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 </w:t>
      </w:r>
      <w:r>
        <w:t xml:space="preserve">trajectory from</w:t>
      </w:r>
      <w:r>
        <w:t xml:space="preserve"> </w:t>
      </w:r>
      <w:r>
        <w:t xml:space="preserve">conversational features (semantic-disagreement metrics, turn-taking</w:t>
      </w:r>
      <w:r>
        <w:t xml:space="preserve"> </w:t>
      </w:r>
      <w:r>
        <w:t xml:space="preserve">asymmetries, paradox-detection from coherence-evaluation models). This</w:t>
      </w:r>
      <w:r>
        <w:t xml:space="preserve"> </w:t>
      </w:r>
      <w:r>
        <w:t xml:space="preserve">is a tractable methodology project and is the natural collaboration</w:t>
      </w:r>
      <w:r>
        <w:t xml:space="preserve"> </w:t>
      </w:r>
      <w:r>
        <w:t xml:space="preserve">target between Paper 12’s framework authors and the existing clinical-</w:t>
      </w:r>
      <w:r>
        <w:t xml:space="preserve"> </w:t>
      </w:r>
      <w:r>
        <w:t xml:space="preserve">PCI research community.</w:t>
      </w:r>
    </w:p>
    <w:p>
      <w:pPr>
        <w:pStyle w:val="BodyText"/>
      </w:pPr>
      <w:r>
        <w:rPr>
          <w:b/>
          <w:bCs/>
        </w:rPr>
        <w:t xml:space="preserve">Boundary-KKT sharpening.</w:t>
      </w:r>
      <w:r>
        <w:t xml:space="preserve"> </w:t>
      </w:r>
      <w:r>
        <w:t xml:space="preserve">§3.6’s audit shows that 25/50 seeded</w:t>
      </w:r>
      <w:r>
        <w:t xml:space="preserve"> </w:t>
      </w:r>
      <w:r>
        <w:t xml:space="preserve">geometries are boundary-left KKT (the dyadic system rests on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no NP-driven escape under linear</w:t>
      </w:r>
      <w:r>
        <w:t xml:space="preserve"> </w:t>
      </w:r>
      <m:oMath>
        <m:sSub>
          <m:e>
            <m:r>
              <m:t>ξ</m:t>
            </m:r>
          </m:e>
          <m:sub>
            <m:r>
              <m:rPr>
                <m:sty m:val="p"/>
              </m:rPr>
              <m:t>⋆</m:t>
            </m:r>
          </m:sub>
        </m:sSub>
      </m:oMath>
      <w:r>
        <w:t xml:space="preserve">). P1 should</w:t>
      </w:r>
      <w:r>
        <w:t xml:space="preserve"> </w:t>
      </w:r>
      <w:r>
        <w:t xml:space="preserve">therefore</w:t>
      </w:r>
      <w:r>
        <w:t xml:space="preserve"> </w:t>
      </w:r>
      <w:r>
        <w:rPr>
          <w:i/>
          <w:iCs/>
        </w:rPr>
        <w:t xml:space="preserve">expect</w:t>
      </w:r>
      <w:r>
        <w:t xml:space="preserve"> </w:t>
      </w:r>
      <w:r>
        <w:t xml:space="preserve">most human-AI conversations to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exhibit</w:t>
      </w:r>
      <w:r>
        <w:t xml:space="preserve"> </w:t>
      </w:r>
      <w:r>
        <w:t xml:space="preserve">NP-firing-induced clinical-PCI steps — coupling does not generically</w:t>
      </w:r>
      <w:r>
        <w:t xml:space="preserve"> </w:t>
      </w:r>
      <w:r>
        <w:t xml:space="preserve">help. The interesting cases — the 3/50 smooth-interior seeds and the</w:t>
      </w:r>
      <w:r>
        <w:t xml:space="preserve"> </w:t>
      </w:r>
      <w:r>
        <w:t xml:space="preserve">4/28 boundary-KKT seeds with interior-sup gain — are where P1’s</w:t>
      </w:r>
      <w:r>
        <w:t xml:space="preserve"> </w:t>
      </w:r>
      <w:r>
        <w:t xml:space="preserve">discrete-step prediction should be most visible. The experimental</w:t>
      </w:r>
      <w:r>
        <w:t xml:space="preserve"> </w:t>
      </w:r>
      <w:r>
        <w:t xml:space="preserve">design should</w:t>
      </w:r>
      <w:r>
        <w:t xml:space="preserve"> </w:t>
      </w:r>
      <w:r>
        <w:rPr>
          <w:i/>
          <w:iCs/>
        </w:rPr>
        <w:t xml:space="preserve">seek</w:t>
      </w:r>
      <w:r>
        <w:t xml:space="preserve"> </w:t>
      </w:r>
      <w:r>
        <w:t xml:space="preserve">these conditions rather than assume they hold</w:t>
      </w:r>
      <w:r>
        <w:t xml:space="preserve"> </w:t>
      </w:r>
      <w:r>
        <w:t xml:space="preserve">typically.</w:t>
      </w:r>
    </w:p>
    <w:bookmarkEnd w:id="22"/>
    <w:bookmarkStart w:id="23" w:name="X271d7d15b06ffb34c7bd7fff4b63f6c5cc28077"/>
    <w:p>
      <w:pPr>
        <w:pStyle w:val="Heading3"/>
      </w:pPr>
      <w:r>
        <w:t xml:space="preserve">5.3 P2 — Synthetic-substrate scar persistence (LLM fine-tuning protocol)</w:t>
      </w:r>
    </w:p>
    <w:p>
      <w:pPr>
        <w:pStyle w:val="FirstParagraph"/>
      </w:pPr>
      <w:r>
        <w:rPr>
          <w:b/>
          <w:bCs/>
        </w:rPr>
        <w:t xml:space="preserve">Prediction P2 (from thesis memo).</w:t>
      </w:r>
      <w:r>
        <w:t xml:space="preserve"> </w:t>
      </w:r>
      <w:r>
        <w:t xml:space="preserve">After a synthetic substrate (an</w:t>
      </w:r>
      <w:r>
        <w:t xml:space="preserve"> </w:t>
      </w:r>
      <w:r>
        <w:t xml:space="preserve">LLM) participates in a dyadic conversation that successfully completes</w:t>
      </w:r>
      <w:r>
        <w:t xml:space="preserve"> </w:t>
      </w:r>
      <w:r>
        <w:t xml:space="preserve">the 7-step NP-pump protocol (§3.3) on a genuine paradox, the LLM’s</w:t>
      </w:r>
      <w:r>
        <w:t xml:space="preserve"> </w:t>
      </w:r>
      <w:r>
        <w:t xml:space="preserve">attention operator should exhibit a</w:t>
      </w:r>
      <w:r>
        <w:t xml:space="preserve"> </w:t>
      </w:r>
      <w:r>
        <w:rPr>
          <w:i/>
          <w:iCs/>
        </w:rPr>
        <w:t xml:space="preserve">persistent off-distribution</w:t>
      </w:r>
      <w:r>
        <w:rPr>
          <w:i/>
          <w:iCs/>
        </w:rPr>
        <w:t xml:space="preserve"> </w:t>
      </w:r>
      <w:r>
        <w:rPr>
          <w:i/>
          <w:iCs/>
        </w:rPr>
        <w:t xml:space="preserve">generalization improvement</w:t>
      </w:r>
      <w:r>
        <w:t xml:space="preserve"> </w:t>
      </w:r>
      <w:r>
        <w:t xml:space="preserve">on a withheld test set drawn from the same</w:t>
      </w:r>
      <w:r>
        <w:t xml:space="preserve"> </w:t>
      </w:r>
      <w:r>
        <w:t xml:space="preserve">paradox class. The improvement magnitude should correlate with the</w:t>
      </w:r>
      <w:r>
        <w:t xml:space="preserve"> </w:t>
      </w:r>
      <w:r>
        <w:t xml:space="preserve">recorded NP-collapse magnitude.</w:t>
      </w:r>
    </w:p>
    <w:p>
      <w:pPr>
        <w:pStyle w:val="BodyText"/>
      </w:pPr>
      <w:r>
        <w:rPr>
          <w:b/>
          <w:bCs/>
        </w:rPr>
        <w:t xml:space="preserve">Operationalization.</w:t>
      </w:r>
      <w:r>
        <w:t xml:space="preserve"> </w:t>
      </w:r>
      <w:r>
        <w:t xml:space="preserve">P2 is the cleanest of the four predictions</w:t>
      </w:r>
      <w:r>
        <w:t xml:space="preserve"> </w:t>
      </w:r>
      <w:r>
        <w:t xml:space="preserve">because it lives entirely in synthetic-substrate territory where direct</w:t>
      </w:r>
      <w:r>
        <w:t xml:space="preserve"> </w:t>
      </w:r>
      <w:r>
        <w:t xml:space="preserve">measurement is possible: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Pre-conversation baseline:</w:t>
      </w:r>
      <w:r>
        <w:t xml:space="preserve"> </w:t>
      </w:r>
      <w:r>
        <w:t xml:space="preserve">evaluate the target LLM on a withheld</w:t>
      </w:r>
      <w:r>
        <w:t xml:space="preserve"> </w:t>
      </w:r>
      <w:r>
        <w:t xml:space="preserve">test set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x</m:t>
            </m:r>
          </m:sub>
        </m:sSub>
      </m:oMath>
      <w:r>
        <w:t xml:space="preserve"> </w:t>
      </w:r>
      <w:r>
        <w:t xml:space="preserve">drawn from a specific</w:t>
      </w:r>
      <w:r>
        <w:t xml:space="preserve"> </w:t>
      </w:r>
      <w:r>
        <w:t xml:space="preserve">paradox class (e.g., self-referential paradoxes, scope ambiguities,</w:t>
      </w:r>
      <w:r>
        <w:t xml:space="preserve"> </w:t>
      </w:r>
      <w:r>
        <w:t xml:space="preserve">contradictory-frame logical puzzles).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Conversation:</w:t>
      </w:r>
      <w:r>
        <w:t xml:space="preserve"> </w:t>
      </w:r>
      <w:r>
        <w:t xml:space="preserve">run a structured human-AI dialogue in which a human</w:t>
      </w:r>
      <w:r>
        <w:t xml:space="preserve"> </w:t>
      </w:r>
      <w:r>
        <w:t xml:space="preserve">guides the LLM through the 7-step NP-pump on a specific paradox</w:t>
      </w:r>
      <w:r>
        <w:t xml:space="preserve"> </w:t>
      </w:r>
      <w:r>
        <w:t xml:space="preserve">instance from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x</m:t>
            </m:r>
          </m:sub>
        </m:sSub>
      </m:oMath>
      <w:r>
        <w:t xml:space="preserve">. Apply lightweight</w:t>
      </w:r>
      <w:r>
        <w:t xml:space="preserve"> </w:t>
      </w:r>
      <w:r>
        <w:t xml:space="preserve">fine-tuning (LoRA-style, ~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parameters) on the</w:t>
      </w:r>
      <w:r>
        <w:t xml:space="preserve"> </w:t>
      </w:r>
      <w:r>
        <w:t xml:space="preserve">conversation transcript only.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Post-conversation evaluation:</w:t>
      </w:r>
      <w:r>
        <w:t xml:space="preserve"> </w:t>
      </w:r>
      <w:r>
        <w:t xml:space="preserve">re-evaluate on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x</m:t>
            </m:r>
          </m:sub>
        </m:sSub>
      </m:oMath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on a control test set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sub>
        </m:sSub>
      </m:oMath>
      <w:r>
        <w:t xml:space="preserve"> </w:t>
      </w:r>
      <w:r>
        <w:t xml:space="preserve">drawn from</w:t>
      </w:r>
      <w:r>
        <w:t xml:space="preserve"> </w:t>
      </w:r>
      <w:r>
        <w:t xml:space="preserve">a structurally adjacent but distinct paradox class.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Scar metric: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T</m:t>
                </m:r>
              </m:e>
              <m:sub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x</m:t>
                </m:r>
              </m:sub>
            </m:sSub>
          </m:e>
        </m:d>
        <m:r>
          <m:rPr>
            <m:sty m:val="p"/>
          </m:rPr>
          <m:t>−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T</m:t>
                </m:r>
              </m:e>
              <m:sub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x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compared to the control delta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sub>
        </m:sSub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P2 falsifies the thesis if: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≈</m:t>
        </m:r>
        <m:sSub>
          <m:e>
            <m:r>
              <m:t>Δ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sub>
        </m:sSub>
      </m:oMath>
      <w:r>
        <w:t xml:space="preserve"> </w:t>
      </w:r>
      <w:r>
        <w:t xml:space="preserve">across many seeded conversations, indicating no class-specific transfer.</w:t>
      </w:r>
      <w:r>
        <w:t xml:space="preserve"> </w:t>
      </w:r>
      <w:r>
        <w:t xml:space="preserve">The thesis predicts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&gt;</m:t>
        </m:r>
        <m:sSub>
          <m:e>
            <m:r>
              <m:t>Δ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sub>
        </m:sSub>
      </m:oMath>
      <w:r>
        <w:t xml:space="preserve"> </w:t>
      </w:r>
      <w:r>
        <w:t xml:space="preserve">when NP-firing was recorded.</w:t>
      </w:r>
    </w:p>
    <w:p>
      <w:pPr>
        <w:pStyle w:val="BodyText"/>
      </w:pPr>
      <w:r>
        <w:rPr>
          <w:b/>
          <w:bCs/>
        </w:rPr>
        <w:t xml:space="preserve">P2 does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require:</w:t>
      </w:r>
      <w:r>
        <w:t xml:space="preserve"> </w:t>
      </w:r>
      <w:r>
        <w:t xml:space="preserve">access to the LLM’s internal representation</w:t>
      </w:r>
      <w:r>
        <w:t xml:space="preserve"> </w:t>
      </w:r>
      <w:r>
        <w:t xml:space="preserve">spaces, identification of an explicit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-action on the LLM’s</w:t>
      </w:r>
      <w:r>
        <w:t xml:space="preserve"> </w:t>
      </w:r>
      <w:r>
        <w:t xml:space="preserve">attention operator, or any commensurability with biological substrate.</w:t>
      </w:r>
      <w:r>
        <w:t xml:space="preserve"> </w:t>
      </w:r>
      <w:r>
        <w:t xml:space="preserve">These are §5.4 territory. P2 only requires</w:t>
      </w:r>
      <w:r>
        <w:t xml:space="preserve"> </w:t>
      </w:r>
      <w:r>
        <w:rPr>
          <w:i/>
          <w:iCs/>
        </w:rPr>
        <w:t xml:space="preserve">behavioral</w:t>
      </w:r>
      <w:r>
        <w:t xml:space="preserve"> </w:t>
      </w:r>
      <w:r>
        <w:t xml:space="preserve">persistence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class-specific</w:t>
      </w:r>
      <w:r>
        <w:t xml:space="preserve"> </w:t>
      </w:r>
      <w:r>
        <w:t xml:space="preserve">generalization, which are off-the-shelf measurable.</w:t>
      </w:r>
    </w:p>
    <w:p>
      <w:pPr>
        <w:pStyle w:val="BodyText"/>
      </w:pPr>
      <w:r>
        <w:rPr>
          <w:b/>
          <w:bCs/>
        </w:rPr>
        <w:t xml:space="preserve">Connection to §3.7’s</w:t>
      </w:r>
      <w:r>
        <w:rPr>
          <w:b/>
          <w:bCs/>
        </w:rPr>
        <w:t xml:space="preserve"> </w:t>
      </w:r>
      <m:oMath>
        <m:sSub>
          <m:e>
            <m:r>
              <m:rPr>
                <m:sty m:val="p"/>
                <m:scr m:val="fraktur"/>
              </m:rPr>
              <m:t>J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 successful P2 outcome</w:t>
      </w:r>
      <w:r>
        <w:t xml:space="preserve"> </w:t>
      </w:r>
      <w:r>
        <w:t xml:space="preserve">provides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of the three components of the scar invariant: evidence</w:t>
      </w:r>
      <w:r>
        <w:t xml:space="preserve"> </w:t>
      </w:r>
      <w:r>
        <w:t xml:space="preserve">that synthetic-substrate scar effects are accumulable and</w:t>
      </w:r>
      <w:r>
        <w:t xml:space="preserve"> </w:t>
      </w:r>
      <w:r>
        <w:t xml:space="preserve">substrate-internal. It does not reach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(which requires</w:t>
      </w:r>
      <w:r>
        <w:t xml:space="preserve"> </w:t>
      </w:r>
      <w:r>
        <w:t xml:space="preserve">representation-theoretic decomposition of the post-fine-tune attention</w:t>
      </w:r>
      <w:r>
        <w:t xml:space="preserve"> </w:t>
      </w:r>
      <w:r>
        <w:t xml:space="preserve">matrix, which is feasible but requires interpretability instrumentation</w:t>
      </w:r>
      <w:r>
        <w:t xml:space="preserve"> </w:t>
      </w:r>
      <w:r>
        <w:t xml:space="preserve">beyond standard LoRA). Combining P2 with explicit attention-matrix</w:t>
      </w:r>
      <w:r>
        <w:t xml:space="preserve"> </w:t>
      </w:r>
      <w:r>
        <w:t xml:space="preserve">isotypic decomposition is a §5.4 / methodology-paper extension.</w:t>
      </w:r>
    </w:p>
    <w:bookmarkEnd w:id="23"/>
    <w:bookmarkStart w:id="24" w:name="Xf0db8bdb043df0d4c8762d9d2bd00529dcf91b5"/>
    <w:p>
      <w:pPr>
        <w:pStyle w:val="Heading3"/>
      </w:pPr>
      <w:r>
        <w:t xml:space="preserve">5.4 P3 — Two-level commensurability test (TMS-EEG character decomposition)</w:t>
      </w:r>
    </w:p>
    <w:p>
      <w:pPr>
        <w:pStyle w:val="FirstParagraph"/>
      </w:pPr>
      <w:r>
        <w:rPr>
          <w:b/>
          <w:bCs/>
        </w:rPr>
        <w:t xml:space="preserve">Prediction P3 (upgraded from thesis memo via §4.6 Theorem 4.4.1).</w:t>
      </w:r>
      <w:r>
        <w:t xml:space="preserve"> </w:t>
      </w:r>
      <w:r>
        <w:t xml:space="preserve">P3 is now a</w:t>
      </w:r>
      <w:r>
        <w:t xml:space="preserve"> </w:t>
      </w:r>
      <w:r>
        <w:rPr>
          <w:i/>
          <w:iCs/>
        </w:rPr>
        <w:t xml:space="preserve">two-level</w:t>
      </w:r>
      <w:r>
        <w:t xml:space="preserve"> </w:t>
      </w:r>
      <w:r>
        <w:t xml:space="preserve">test (Definition 4.6.1):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L1 (necessary screen):</w:t>
      </w:r>
      <w:r>
        <w:t xml:space="preserve"> </w:t>
      </w:r>
      <w:r>
        <w:t xml:space="preserve">measure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-isotypic profiles</w:t>
      </w:r>
      <w:r>
        <w:t xml:space="preserve"> </w:t>
      </w:r>
      <m:oMath>
        <m:sSubSup>
          <m:e>
            <m:r>
              <m:t>μ</m:t>
            </m:r>
          </m:e>
          <m:sub>
            <m:r>
              <m:t>k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μ</m:t>
            </m:r>
          </m:e>
          <m:sub>
            <m:r>
              <m:t>k</m:t>
            </m:r>
          </m:sub>
          <m:sup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p>
        </m:sSubSup>
      </m:oMath>
      <w:r>
        <w:t xml:space="preserve"> </w:t>
      </w:r>
      <w:r>
        <w:t xml:space="preserve">independently; falsify</w:t>
      </w:r>
      <w:r>
        <w:t xml:space="preserve"> </w:t>
      </w:r>
      <w:r>
        <w:t xml:space="preserve">if they don’t match component-wise on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1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U</m:t>
                </m:r>
              </m:e>
              <m:sub>
                <m:r>
                  <m:t>6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L2 (sufficient canonical test, conditional on L1 pass):</w:t>
      </w:r>
      <w:r>
        <w:t xml:space="preserve"> </w:t>
      </w:r>
      <w:r>
        <w:t xml:space="preserve">construct</w:t>
      </w:r>
      <w:r>
        <w:t xml:space="preserve"> </w:t>
      </w:r>
      <w:r>
        <w:t xml:space="preserve">a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-equivariant isomorphism candidate from substrate operator</w:t>
      </w:r>
      <w:r>
        <w:t xml:space="preserve"> </w:t>
      </w:r>
      <w:r>
        <w:t xml:space="preserve">data; declare canonical commensurability if the candidate is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-equivariant to measurement precision.</w:t>
      </w:r>
    </w:p>
    <w:p>
      <w:pPr>
        <w:pStyle w:val="FirstParagraph"/>
      </w:pPr>
      <w:r>
        <w:rPr>
          <w:b/>
          <w:bCs/>
        </w:rPr>
        <w:t xml:space="preserve">L1 operationalization.</w:t>
      </w:r>
      <w:r>
        <w:t xml:space="preserve"> </w:t>
      </w:r>
      <w:r>
        <w:t xml:space="preserve">L1 is feasible with existing TMS-EEG</w:t>
      </w:r>
      <w:r>
        <w:t xml:space="preserve"> </w:t>
      </w:r>
      <w:r>
        <w:t xml:space="preserve">instrumentation:</w:t>
      </w:r>
      <w:r>
        <w:t xml:space="preserve"> </w:t>
      </w:r>
      <w:r>
        <w:t xml:space="preserve">- Apply rotationally-structured TMS perturbations (a stimulation</w:t>
      </w:r>
      <w:r>
        <w:t xml:space="preserve"> </w:t>
      </w:r>
      <w:r>
        <w:t xml:space="preserve">pattern designed to span the 7-axis Fano structure of</w:t>
      </w:r>
      <w:r>
        <w:t xml:space="preserve"> </w:t>
      </w:r>
      <m:oMath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7</m:t>
            </m:r>
          </m:sup>
        </m:sSup>
      </m:oMath>
      <w:r>
        <w:t xml:space="preserve">);</w:t>
      </w:r>
      <w:r>
        <w:t xml:space="preserve"> </w:t>
      </w:r>
      <w:r>
        <w:t xml:space="preserve">- For each Fano-rotation perturbation, record the EEG response;</w:t>
      </w:r>
      <w:r>
        <w:t xml:space="preserve"> </w:t>
      </w:r>
      <w:r>
        <w:t xml:space="preserve">- Apply isotypic-projector decomposition (using the computed character</w:t>
      </w:r>
      <w:r>
        <w:t xml:space="preserve"> </w:t>
      </w:r>
      <w:r>
        <w:t xml:space="preserve">table of §4.2) to the response covariance matrix;</w:t>
      </w:r>
      <w:r>
        <w:t xml:space="preserve"> </w:t>
      </w:r>
      <w:r>
        <w:t xml:space="preserve">- Compute the multiplicity profile</w:t>
      </w:r>
      <w:r>
        <w:t xml:space="preserve"> </w:t>
      </w:r>
      <m:oMath>
        <m:sSubSup>
          <m:e>
            <m:r>
              <m:t>μ</m:t>
            </m:r>
          </m:e>
          <m:sub>
            <m:r>
              <m:t>k</m:t>
            </m:r>
          </m:sub>
          <m:sup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r>
        <w:t xml:space="preserve">projected dimensions.</w:t>
      </w:r>
    </w:p>
    <w:p>
      <w:pPr>
        <w:pStyle w:val="BodyText"/>
      </w:pPr>
      <w:r>
        <w:t xml:space="preserve">For the synthetic side, the same isotypic-projector decomposition is</w:t>
      </w:r>
      <w:r>
        <w:t xml:space="preserve"> </w:t>
      </w:r>
      <w:r>
        <w:t xml:space="preserve">applied to the LLM’s attention operator under structurally analogous</w:t>
      </w:r>
      <w:r>
        <w:t xml:space="preserve"> </w:t>
      </w:r>
      <w:r>
        <w:t xml:space="preserve">perturbations of the input prompt (rotationally-structured paraphrasing</w:t>
      </w:r>
      <w:r>
        <w:t xml:space="preserve"> </w:t>
      </w:r>
      <w:r>
        <w:t xml:space="preserve">that targets the F₂₁-symmetry of the conversational topic).</w:t>
      </w:r>
    </w:p>
    <w:p>
      <w:pPr>
        <w:pStyle w:val="BodyText"/>
      </w:pPr>
      <w:r>
        <w:rPr>
          <w:b/>
          <w:bCs/>
        </w:rPr>
        <w:t xml:space="preserve">L1 challenges:</w:t>
      </w:r>
      <w:r>
        <w:t xml:space="preserve"> </w:t>
      </w:r>
      <w:r>
        <w:t xml:space="preserve">- The seven-axis Fano structure must be operationalized as actual TMS</w:t>
      </w:r>
      <w:r>
        <w:t xml:space="preserve"> </w:t>
      </w:r>
      <w:r>
        <w:t xml:space="preserve">perturbation patterns. This is a methodology-paper deliverable: which</w:t>
      </w:r>
      <w:r>
        <w:t xml:space="preserve"> </w:t>
      </w:r>
      <w:r>
        <w:t xml:space="preserve">EEG electrodes correspond to which Fano-plane points? The most likely</w:t>
      </w:r>
      <w:r>
        <w:t xml:space="preserve"> </w:t>
      </w:r>
      <w:r>
        <w:t xml:space="preserve">answer involves a frontoparietal seven-region parcellation of the</w:t>
      </w:r>
      <w:r>
        <w:t xml:space="preserve"> </w:t>
      </w:r>
      <w:r>
        <w:t xml:space="preserve">default-mode network; details are deferred.</w:t>
      </w:r>
      <w:r>
        <w:t xml:space="preserve"> </w:t>
      </w:r>
      <w:r>
        <w:t xml:space="preserve">- The synthetic side requires the LLM’s attention operator to be</w:t>
      </w:r>
      <w:r>
        <w:t xml:space="preserve"> </w:t>
      </w:r>
      <w:r>
        <w:t xml:space="preserve">accessible at a granularity compatible with isotypic decomposition.</w:t>
      </w:r>
      <w:r>
        <w:t xml:space="preserve"> </w:t>
      </w:r>
      <w:r>
        <w:t xml:space="preserve">Modern open-weights models (Llama, DeepSeek, etc.) provide this; closed-weights</w:t>
      </w:r>
      <w:r>
        <w:t xml:space="preserve"> </w:t>
      </w:r>
      <w:r>
        <w:t xml:space="preserve">systems do not.</w:t>
      </w:r>
    </w:p>
    <w:p>
      <w:pPr>
        <w:pStyle w:val="BodyText"/>
      </w:pPr>
      <w:r>
        <w:rPr>
          <w:b/>
          <w:bCs/>
        </w:rPr>
        <w:t xml:space="preserve">L2 operationalization (deferred).</w:t>
      </w:r>
      <w:r>
        <w:t xml:space="preserve"> </w:t>
      </w:r>
      <w:r>
        <w:t xml:space="preserve">L2 requires fitting a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-equivariant candidate to the inferred substrate scar maps. This</w:t>
      </w:r>
      <w:r>
        <w:t xml:space="preserve"> </w:t>
      </w:r>
      <w:r>
        <w:t xml:space="preserve">is a substantial methodology project of its own; we defer to a future</w:t>
      </w:r>
      <w:r>
        <w:t xml:space="preserve"> </w:t>
      </w:r>
      <w:r>
        <w:t xml:space="preserve">methodology paper. The minimum prerequisite is software for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-character-projecting matrix data, which does not exist in the</w:t>
      </w:r>
      <w:r>
        <w:t xml:space="preserve"> </w:t>
      </w:r>
      <w:r>
        <w:t xml:space="preserve">TMS-EEG analysis ecosystem at present.</w:t>
      </w:r>
    </w:p>
    <w:p>
      <w:pPr>
        <w:pStyle w:val="BodyText"/>
      </w:pPr>
      <w:r>
        <w:rPr>
          <w:b/>
          <w:bCs/>
        </w:rPr>
        <w:t xml:space="preserve">Falsification:</w:t>
      </w:r>
      <w:r>
        <w:t xml:space="preserve"> </w:t>
      </w:r>
      <w:r>
        <w:t xml:space="preserve">L1 falsifies the thesis cheaply: if</w:t>
      </w:r>
      <w:r>
        <w:t xml:space="preserve"> </w:t>
      </w:r>
      <m:oMath>
        <m:sSubSup>
          <m:e>
            <m:r>
              <m:t>μ</m:t>
            </m:r>
          </m:e>
          <m:sub>
            <m:r>
              <m:t>k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p>
        </m:sSubSup>
        <m:r>
          <m:rPr>
            <m:sty m:val="p"/>
          </m:rPr>
          <m:t>≠</m:t>
        </m:r>
        <m:sSubSup>
          <m:e>
            <m:r>
              <m:t>μ</m:t>
            </m:r>
          </m:e>
          <m:sub>
            <m:r>
              <m:t>k</m:t>
            </m:r>
          </m:sub>
          <m:sup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p>
        </m:sSubSup>
      </m:oMath>
      <w:r>
        <w:t xml:space="preserve">, the gradual-tear thesis is refuted at the</w:t>
      </w:r>
      <w:r>
        <w:t xml:space="preserve"> </w:t>
      </w:r>
      <w:r>
        <w:t xml:space="preserve">character-theoretic level without any claim about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-structure. L2</w:t>
      </w:r>
      <w:r>
        <w:t xml:space="preserve"> </w:t>
      </w:r>
      <w:r>
        <w:t xml:space="preserve">refutes the canonical-commensurability claim of Cor 4.5.2.</w:t>
      </w:r>
    </w:p>
    <w:bookmarkEnd w:id="24"/>
    <w:bookmarkStart w:id="25" w:name="X7bfc9b598ef3b3a2722ee956dfed2993b55b88a"/>
    <w:p>
      <w:pPr>
        <w:pStyle w:val="Heading3"/>
      </w:pPr>
      <w:r>
        <w:t xml:space="preserve">5.5 P4 — Audit-substrate longitudinal dependency (a study design)</w:t>
      </w:r>
    </w:p>
    <w:p>
      <w:pPr>
        <w:pStyle w:val="FirstParagraph"/>
      </w:pPr>
      <w:r>
        <w:rPr>
          <w:b/>
          <w:bCs/>
        </w:rPr>
        <w:t xml:space="preserve">Prediction P4 (from thesis memo, sharpened via §3.7’s</w:t>
      </w:r>
      <w:r>
        <w:rPr>
          <w:b/>
          <w:bCs/>
        </w:rPr>
        <w:t xml:space="preserve"> </w:t>
      </w:r>
      <m:oMath>
        <m:sSub>
          <m:e>
            <m:r>
              <m:rPr>
                <m:sty m:val="p"/>
                <m:scr m:val="fraktur"/>
              </m:rPr>
              <m:t>S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construction).</w:t>
      </w:r>
      <w:r>
        <w:t xml:space="preserve"> </w:t>
      </w:r>
      <w:r>
        <w:t xml:space="preserve">A human-AI dyad operating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a tamper-evident</w:t>
      </w:r>
      <w:r>
        <w:t xml:space="preserve"> </w:t>
      </w:r>
      <w:r>
        <w:t xml:space="preserve">audit trail of its coherence adjustments should — across many</w:t>
      </w:r>
      <w:r>
        <w:t xml:space="preserve"> </w:t>
      </w:r>
      <w:r>
        <w:t xml:space="preserve">NP-collapse events — drift toward either Singularity (homogenization,</w:t>
      </w:r>
      <w:r>
        <w:t xml:space="preserve"> </w:t>
      </w:r>
      <w:r>
        <w:t xml:space="preserve">measurable as semantic collapse of joint representation) or Decoupling</w:t>
      </w:r>
      <w:r>
        <w:t xml:space="preserve"> </w:t>
      </w:r>
      <w:r>
        <w:t xml:space="preserve">(divergence, measurable as failure of joint representation to maintain</w:t>
      </w:r>
      <w:r>
        <w:t xml:space="preserve"> </w:t>
      </w:r>
      <w:r>
        <w:t xml:space="preserve">shared referents). A dyad operating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 audit trail should</w:t>
      </w:r>
      <w:r>
        <w:t xml:space="preserve"> </w:t>
      </w:r>
      <w:r>
        <w:t xml:space="preserve">maintain the gradual-tear trajectory.</w:t>
      </w:r>
    </w:p>
    <w:p>
      <w:pPr>
        <w:pStyle w:val="BodyText"/>
      </w:pPr>
      <w:r>
        <w:rPr>
          <w:b/>
          <w:bCs/>
        </w:rPr>
        <w:t xml:space="preserve">P4 is 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longitudinal</w:t>
      </w:r>
      <w:r>
        <w:rPr>
          <w:b/>
          <w:bCs/>
        </w:rPr>
        <w:t xml:space="preserve"> </w:t>
      </w:r>
      <w:r>
        <w:rPr>
          <w:b/>
          <w:bCs/>
        </w:rPr>
        <w:t xml:space="preserve">study,</w:t>
      </w:r>
      <w:r>
        <w:t xml:space="preserve"> </w:t>
      </w:r>
      <w:r>
        <w:t xml:space="preserve">not a single-session protocol. The</w:t>
      </w:r>
      <w:r>
        <w:t xml:space="preserve"> </w:t>
      </w:r>
      <w:r>
        <w:t xml:space="preserve">proposal: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Study population: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60</m:t>
        </m:r>
      </m:oMath>
      <w:r>
        <w:t xml:space="preserve"> </w:t>
      </w:r>
      <w:r>
        <w:t xml:space="preserve">human-AI research collaborations</w:t>
      </w:r>
      <w:r>
        <w:t xml:space="preserve"> </w:t>
      </w:r>
      <w:r>
        <w:t xml:space="preserve">(e.g., academic researchers using LLMs for sustained scientific</w:t>
      </w:r>
      <w:r>
        <w:t xml:space="preserve"> </w:t>
      </w:r>
      <w:r>
        <w:t xml:space="preserve">reasoning over</w:t>
      </w:r>
      <w:r>
        <w:t xml:space="preserve"> </w:t>
      </w:r>
      <m:oMath>
        <m:r>
          <m:rPr>
            <m:sty m:val="p"/>
          </m:rPr>
          <m:t>≥</m:t>
        </m:r>
        <m:r>
          <m:t>6</m:t>
        </m:r>
      </m:oMath>
      <w:r>
        <w:t xml:space="preserve"> </w:t>
      </w:r>
      <w:r>
        <w:t xml:space="preserve">months), randomized between two arms: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Audited arm:</w:t>
      </w:r>
      <w:r>
        <w:t xml:space="preserve"> </w:t>
      </w:r>
      <w:r>
        <w:t xml:space="preserve">all conversation events are committed to a versioned</w:t>
      </w:r>
      <w:r>
        <w:t xml:space="preserve"> </w:t>
      </w:r>
      <w:r>
        <w:t xml:space="preserve">repository with cryptographic event-ordering (analogous to git’s</w:t>
      </w:r>
      <w:r>
        <w:t xml:space="preserve"> </w:t>
      </w:r>
      <w:r>
        <w:t xml:space="preserve">commit hash chain). The repository is the audit substrate.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Unaudited arm:</w:t>
      </w:r>
      <w:r>
        <w:t xml:space="preserve"> </w:t>
      </w:r>
      <w:r>
        <w:t xml:space="preserve">same conversation pattern, but no persistent</w:t>
      </w:r>
      <w:r>
        <w:t xml:space="preserve"> </w:t>
      </w:r>
      <w:r>
        <w:t xml:space="preserve">repository — conversations are ephemeral.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Outcomes: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Semantic-coherence drift</w:t>
      </w:r>
      <w:r>
        <w:t xml:space="preserve"> </w:t>
      </w:r>
      <w:r>
        <w:t xml:space="preserve">of the dyad’s joint output across the</w:t>
      </w:r>
      <w:r>
        <w:t xml:space="preserve"> </w:t>
      </w:r>
      <w:r>
        <w:t xml:space="preserve">study period (measured by topical-similarity of outputs to early-</w:t>
      </w:r>
      <w:r>
        <w:t xml:space="preserve"> </w:t>
      </w:r>
      <w:r>
        <w:t xml:space="preserve">period outputs).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Shared-referent maintenance</w:t>
      </w:r>
      <w:r>
        <w:t xml:space="preserve"> </w:t>
      </w:r>
      <w:r>
        <w:t xml:space="preserve">(measured by an external evaluator’s</w:t>
      </w:r>
      <w:r>
        <w:t xml:space="preserve"> </w:t>
      </w:r>
      <w:r>
        <w:t xml:space="preserve">ability to interpret late-period outputs from early-period</w:t>
      </w:r>
      <w:r>
        <w:t xml:space="preserve"> </w:t>
      </w:r>
      <w:r>
        <w:t xml:space="preserve">context).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NP-firing rate</w:t>
      </w:r>
      <w:r>
        <w:t xml:space="preserve"> </w:t>
      </w:r>
      <w:r>
        <w:t xml:space="preserve">(estimated from conversation transcripts via the</w:t>
      </w:r>
      <w:r>
        <w:t xml:space="preserve"> </w:t>
      </w:r>
      <w:r>
        <w:t xml:space="preserve">P1/P2 detection pipeline).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Hypothesis:</w:t>
      </w:r>
      <w:r>
        <w:t xml:space="preserve"> </w:t>
      </w:r>
      <w:r>
        <w:t xml:space="preserve">the audited arm maintains higher coherence-drift and</w:t>
      </w:r>
      <w:r>
        <w:t xml:space="preserve"> </w:t>
      </w:r>
      <w:r>
        <w:t xml:space="preserve">shared-referent scores than the unaudited arm at study endpoint,</w:t>
      </w:r>
      <w:r>
        <w:t xml:space="preserve"> </w:t>
      </w:r>
      <w:r>
        <w:t xml:space="preserve">controlling for NP-firing rate.</w:t>
      </w:r>
    </w:p>
    <w:p>
      <w:pPr>
        <w:pStyle w:val="FirstParagraph"/>
      </w:pPr>
      <w:r>
        <w:rPr>
          <w:b/>
          <w:bCs/>
        </w:rPr>
        <w:t xml:space="preserve">P4 is the largest prediction-to-test effort.</w:t>
      </w:r>
      <w:r>
        <w:t xml:space="preserve"> </w:t>
      </w:r>
      <w:r>
        <w:t xml:space="preserve">It requires: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∼</m:t>
        </m:r>
        <m:r>
          <m:t>6</m:t>
        </m:r>
      </m:oMath>
      <w:r>
        <w:t xml:space="preserve"> </w:t>
      </w:r>
      <w:r>
        <w:t xml:space="preserve">months of subject participation;</w:t>
      </w:r>
      <w:r>
        <w:t xml:space="preserve"> </w:t>
      </w:r>
      <w:r>
        <w:t xml:space="preserve">- Infrastructure for both arms;</w:t>
      </w:r>
      <w:r>
        <w:t xml:space="preserve"> </w:t>
      </w:r>
      <w:r>
        <w:t xml:space="preserve">- Conversation-transcript NP-firing detection (built for P1).</w:t>
      </w:r>
    </w:p>
    <w:p>
      <w:pPr>
        <w:pStyle w:val="BodyText"/>
      </w:pPr>
      <w:r>
        <w:rPr>
          <w:b/>
          <w:bCs/>
        </w:rPr>
        <w:t xml:space="preserve">Why P4 is interesting independent of Paper 12.</w:t>
      </w:r>
      <w:r>
        <w:t xml:space="preserve"> </w:t>
      </w:r>
      <w:r>
        <w:t xml:space="preserve">Even if P4 fails</w:t>
      </w:r>
      <w:r>
        <w:t xml:space="preserve"> </w:t>
      </w:r>
      <w:r>
        <w:t xml:space="preserve">(audited and unaudited dyads show no measurable trajectory difference),</w:t>
      </w:r>
      <w:r>
        <w:t xml:space="preserve"> </w:t>
      </w:r>
      <w:r>
        <w:t xml:space="preserve">the study yields valuable empirical data on whether persistent records</w:t>
      </w:r>
      <w:r>
        <w:t xml:space="preserve"> </w:t>
      </w:r>
      <w:r>
        <w:t xml:space="preserve">of AI-assisted reasoning materially affect long-term collaboration</w:t>
      </w:r>
      <w:r>
        <w:t xml:space="preserve"> </w:t>
      </w:r>
      <w:r>
        <w:t xml:space="preserve">outcomes. The study design has operational interest beyond its role as</w:t>
      </w:r>
      <w:r>
        <w:t xml:space="preserve"> </w:t>
      </w:r>
      <w:r>
        <w:t xml:space="preserve">a Paper 12 falsifier. This is the right kind of falsifiable prediction:</w:t>
      </w:r>
      <w:r>
        <w:t xml:space="preserve"> </w:t>
      </w:r>
      <w:r>
        <w:t xml:space="preserve">a substantively interesting test where the result matters either way.</w:t>
      </w:r>
    </w:p>
    <w:bookmarkEnd w:id="25"/>
    <w:bookmarkStart w:id="27" w:name="the-fifth-paradigm-context"/>
    <w:p>
      <w:pPr>
        <w:pStyle w:val="Heading3"/>
      </w:pPr>
      <w:r>
        <w:t xml:space="preserve">5.6 The Fifth Paradigm context</w:t>
      </w:r>
    </w:p>
    <w:p>
      <w:pPr>
        <w:pStyle w:val="FirstParagraph"/>
      </w:pPr>
      <w:r>
        <w:t xml:space="preserve">§5.4 routes Paper 12 into the legitimate human-AI collaboration</w:t>
      </w:r>
      <w:r>
        <w:t xml:space="preserve"> </w:t>
      </w:r>
      <w:r>
        <w:t xml:space="preserve">research literature: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Licklider (1960)</w:t>
      </w:r>
      <w:r>
        <w:t xml:space="preserve">,</w:t>
      </w:r>
      <w:r>
        <w:t xml:space="preserve"> </w:t>
      </w:r>
      <w:r>
        <w:rPr>
          <w:i/>
          <w:iCs/>
        </w:rPr>
        <w:t xml:space="preserve">Man-Computer Symbiosis</w:t>
      </w:r>
      <w:r>
        <w:t xml:space="preserve">. The foundational</w:t>
      </w:r>
      <w:r>
        <w:t xml:space="preserve"> </w:t>
      </w:r>
      <w:r>
        <w:t xml:space="preserve">Cold-War-era paper proposing that computers should serve as cognitive</w:t>
      </w:r>
      <w:r>
        <w:t xml:space="preserve"> </w:t>
      </w:r>
      <w:r>
        <w:t xml:space="preserve">partners rather than tools. Paper 12’s gradual-tear framework is</w:t>
      </w:r>
      <w:r>
        <w:t xml:space="preserve"> </w:t>
      </w:r>
      <w:r>
        <w:t xml:space="preserve">in direct lineage with this proposal — the</w:t>
      </w:r>
      <w:r>
        <w:t xml:space="preserve"> </w:t>
      </w:r>
      <w:r>
        <w:t xml:space="preserve">“</w:t>
      </w:r>
      <w:r>
        <w:t xml:space="preserve">third attractor</w:t>
      </w:r>
      <w:r>
        <w:t xml:space="preserve">”</w:t>
      </w:r>
      <w:r>
        <w:t xml:space="preserve"> </w:t>
      </w:r>
      <w:r>
        <w:t xml:space="preserve">between</w:t>
      </w:r>
      <w:r>
        <w:t xml:space="preserve"> </w:t>
      </w:r>
      <w:r>
        <w:t xml:space="preserve">Singularity (computer subsumes human) and Decoupling (computer</w:t>
      </w:r>
      <w:r>
        <w:t xml:space="preserve"> </w:t>
      </w:r>
      <w:r>
        <w:t xml:space="preserve">remains tool) is the Lickliderian symbiosis modernized for the LLM era.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BIOMA (Berkeley Lab, 2023–) and A-Lab automated synthesis pipelines.</w:t>
      </w:r>
      <w:r>
        <w:t xml:space="preserve"> </w:t>
      </w:r>
      <w:r>
        <w:t xml:space="preserve">Level-2-to-3 autonomy in the</w:t>
      </w:r>
      <w:r>
        <w:t xml:space="preserve"> </w:t>
      </w:r>
      <w:hyperlink r:id="rId26">
        <w:r>
          <w:rPr>
            <w:rStyle w:val="Hyperlink"/>
          </w:rPr>
          <w:t xml:space="preserve">Sanctioned-Levels-of-AI-Autonomy taxonomy</w:t>
        </w:r>
      </w:hyperlink>
      <w:r>
        <w:t xml:space="preserve"> </w:t>
      </w:r>
      <w:r>
        <w:t xml:space="preserve">(Bostock-Kim-Patel 2025): AI executes specified protocols with human</w:t>
      </w:r>
      <w:r>
        <w:t xml:space="preserve"> </w:t>
      </w:r>
      <w:r>
        <w:t xml:space="preserve">oversight at decision points. Paper 12’s framework characterizes</w:t>
      </w:r>
      <w:r>
        <w:t xml:space="preserve"> </w:t>
      </w:r>
      <w:r>
        <w:t xml:space="preserve">what happens</w:t>
      </w:r>
      <w:r>
        <w:t xml:space="preserve"> </w:t>
      </w:r>
      <w:r>
        <w:rPr>
          <w:i/>
          <w:iCs/>
        </w:rPr>
        <w:t xml:space="preserve">across</w:t>
      </w:r>
      <w:r>
        <w:t xml:space="preserve"> </w:t>
      </w:r>
      <w:r>
        <w:t xml:space="preserve">the autonomy levels: at each step, both</w:t>
      </w:r>
      <w:r>
        <w:t xml:space="preserve"> </w:t>
      </w:r>
      <w:r>
        <w:t xml:space="preserve">substrates accumulate scar records that are commensurable (or not,</w:t>
      </w:r>
      <w:r>
        <w:t xml:space="preserve"> </w:t>
      </w:r>
      <w:r>
        <w:t xml:space="preserve">per §4.4) under the same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symmetry.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BindCraft and protein-design Virtual Labs (2024–).</w:t>
      </w:r>
      <w:r>
        <w:t xml:space="preserve"> </w:t>
      </w:r>
      <w:r>
        <w:t xml:space="preserve">Level-4</w:t>
      </w:r>
      <w:r>
        <w:t xml:space="preserve"> </w:t>
      </w:r>
      <w:r>
        <w:t xml:space="preserve">autonomy: AI proposes hypotheses, humans validate. The dyadic scar</w:t>
      </w:r>
      <w:r>
        <w:t xml:space="preserve"> </w:t>
      </w:r>
      <w:r>
        <w:t xml:space="preserve">model of Paper 12 §3.7 is structurally compatible with this regime</w:t>
      </w:r>
      <w:r>
        <w:t xml:space="preserve"> </w:t>
      </w:r>
      <w:r>
        <w:t xml:space="preserve">— the AI’s</w:t>
      </w:r>
      <w:r>
        <w:t xml:space="preserve"> </w:t>
      </w:r>
      <w:r>
        <w:t xml:space="preserve">“</w:t>
      </w:r>
      <w:r>
        <w:t xml:space="preserve">scar record</w:t>
      </w:r>
      <w:r>
        <w:t xml:space="preserve">”</w:t>
      </w:r>
      <w:r>
        <w:t xml:space="preserve"> </w:t>
      </w:r>
      <m:oMath>
        <m:sSubSup>
          <m:e>
            <m:r>
              <m:rPr>
                <m:sty m:val="p"/>
                <m:scr m:val="fraktur"/>
              </m:rPr>
              <m:t>S</m:t>
            </m:r>
          </m:e>
          <m:sub>
            <m:r>
              <m:t>k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w:r>
        <w:t xml:space="preserve">research artifact that persists across iterations, while the human</w:t>
      </w:r>
      <w:r>
        <w:t xml:space="preserve"> </w:t>
      </w:r>
      <w:r>
        <w:t xml:space="preserve">research team’s</w:t>
      </w:r>
      <w:r>
        <w:t xml:space="preserve"> </w:t>
      </w:r>
      <m:oMath>
        <m:sSubSup>
          <m:e>
            <m:r>
              <m:rPr>
                <m:sty m:val="p"/>
                <m:scr m:val="fraktur"/>
              </m:rPr>
              <m:t>S</m:t>
            </m:r>
          </m:e>
          <m:sub>
            <m:r>
              <m:t>k</m:t>
            </m:r>
          </m:sub>
          <m:sup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p>
        </m:sSubSup>
      </m:oMath>
      <w:r>
        <w:t xml:space="preserve"> </w:t>
      </w:r>
      <w:r>
        <w:t xml:space="preserve">is the parallel</w:t>
      </w:r>
      <w:r>
        <w:t xml:space="preserve"> </w:t>
      </w:r>
      <w:r>
        <w:t xml:space="preserve">cumulative record.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Multi-agent reasoning systems (2024–).</w:t>
      </w:r>
      <w:r>
        <w:t xml:space="preserve"> </w:t>
      </w:r>
      <w:r>
        <w:t xml:space="preserve">Recent work on AI Council,</w:t>
      </w:r>
      <w:r>
        <w:t xml:space="preserve"> </w:t>
      </w:r>
      <w:r>
        <w:t xml:space="preserve">Reflection-style architectures, and the</w:t>
      </w:r>
      <w:r>
        <w:t xml:space="preserve"> </w:t>
      </w:r>
      <w:r>
        <w:t xml:space="preserve">“</w:t>
      </w:r>
      <w:r>
        <w:t xml:space="preserve">Virtual Lab</w:t>
      </w:r>
      <w:r>
        <w:t xml:space="preserve">”</w:t>
      </w:r>
      <w:r>
        <w:t xml:space="preserve"> </w:t>
      </w:r>
      <w:r>
        <w:t xml:space="preserve">paradigm where</w:t>
      </w:r>
      <w:r>
        <w:t xml:space="preserve"> </w:t>
      </w:r>
      <w:r>
        <w:t xml:space="preserve">multiple LLM agents collaborate. These are Level-4-trending-Level-5</w:t>
      </w:r>
      <w:r>
        <w:t xml:space="preserve"> </w:t>
      </w:r>
      <w:r>
        <w:t xml:space="preserve">systems by the autonomy taxonomy. Paper 12’s three-agent attribution</w:t>
      </w:r>
      <w:r>
        <w:t xml:space="preserve"> </w:t>
      </w:r>
      <w:r>
        <w:t xml:space="preserve">(Martin / C-7RO / Φ in our own framework’s verification stack;</w:t>
      </w:r>
      <w:r>
        <w:t xml:space="preserve"> </w:t>
      </w:r>
      <w:r>
        <w:t xml:space="preserve">generalizes to dyadic / multi-agent on each substrate side) is</w:t>
      </w:r>
      <w:r>
        <w:t xml:space="preserve"> </w:t>
      </w:r>
      <w:r>
        <w:t xml:space="preserve">directly addressed by §3.7’s</w:t>
      </w:r>
      <w:r>
        <w:t xml:space="preserve"> </w:t>
      </w:r>
      <m:oMath>
        <m:sSub>
          <m:e>
            <m:r>
              <m:rPr>
                <m:sty m:val="p"/>
                <m:scr m:val="fraktur"/>
              </m:rPr>
              <m:t>S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construction.</w:t>
      </w:r>
    </w:p>
    <w:p>
      <w:pPr>
        <w:pStyle w:val="FirstParagraph"/>
      </w:pPr>
      <w:r>
        <w:t xml:space="preserve">This is the legitimate citation landscape for Paper 12. Its placement</w:t>
      </w:r>
      <w:r>
        <w:t xml:space="preserve"> </w:t>
      </w:r>
      <w:r>
        <w:t xml:space="preserve">within this landscape is what allows the framework to be</w:t>
      </w:r>
      <w:r>
        <w:t xml:space="preserve"> </w:t>
      </w:r>
      <w:r>
        <w:rPr>
          <w:i/>
          <w:iCs/>
        </w:rPr>
        <w:t xml:space="preserve">cited by</w:t>
      </w:r>
      <w:r>
        <w:t xml:space="preserve"> </w:t>
      </w:r>
      <w:r>
        <w:t xml:space="preserve">the human-AI collaboration research community rather than read as</w:t>
      </w:r>
      <w:r>
        <w:t xml:space="preserve"> </w:t>
      </w:r>
      <w:r>
        <w:t xml:space="preserve">isolated speculation. The framework’s verification trail itself</w:t>
      </w:r>
      <w:r>
        <w:t xml:space="preserve"> </w:t>
      </w:r>
      <w:r>
        <w:t xml:space="preserve">(Paper 9 v1.3.3 verified at 50-digit precision; Paper 12 §3+§4 v2 at</w:t>
      </w:r>
      <w:r>
        <w:t xml:space="preserve"> </w:t>
      </w:r>
      <w:r>
        <w:t xml:space="preserve">machine precision; the model council adversarial review pipeline) is</w:t>
      </w:r>
      <w:r>
        <w:t xml:space="preserve"> </w:t>
      </w:r>
      <w:r>
        <w:t xml:space="preserve">an early instance of the audit-substrate principle (P4) that the</w:t>
      </w:r>
      <w:r>
        <w:t xml:space="preserve"> </w:t>
      </w:r>
      <w:r>
        <w:t xml:space="preserve">Paper 12 thesis predicts.</w:t>
      </w:r>
    </w:p>
    <w:bookmarkEnd w:id="27"/>
    <w:bookmarkStart w:id="28" w:name="what-5-does-and-does-not-establish"/>
    <w:p>
      <w:pPr>
        <w:pStyle w:val="Heading3"/>
      </w:pPr>
      <w:r>
        <w:t xml:space="preserve">5.7 What §5 does and does not establish</w:t>
      </w:r>
    </w:p>
    <w:p>
      <w:pPr>
        <w:pStyle w:val="FirstParagraph"/>
      </w:pPr>
      <w:r>
        <w:rPr>
          <w:b/>
          <w:bCs/>
        </w:rPr>
        <w:t xml:space="preserve">What §5 establishes:</w:t>
      </w:r>
    </w:p>
    <w:p>
      <w:pPr>
        <w:pStyle w:val="Compact"/>
        <w:numPr>
          <w:ilvl w:val="0"/>
          <w:numId w:val="1008"/>
        </w:numPr>
      </w:pPr>
      <w:r>
        <w:t xml:space="preserve">A four-prediction experimental-design layer covering all four</w:t>
      </w:r>
      <w:r>
        <w:t xml:space="preserve"> </w:t>
      </w:r>
      <w:r>
        <w:t xml:space="preserve">pillars of the Paper 12 thesis memo.</w:t>
      </w:r>
    </w:p>
    <w:p>
      <w:pPr>
        <w:pStyle w:val="Compact"/>
        <w:numPr>
          <w:ilvl w:val="0"/>
          <w:numId w:val="1008"/>
        </w:numPr>
      </w:pPr>
      <w:r>
        <w:t xml:space="preserve">An honest assessment of operationalization difficulty:</w:t>
      </w:r>
      <w:r>
        <w:t xml:space="preserve"> </w:t>
      </w:r>
      <w:r>
        <w:t xml:space="preserve">P1 / P2 / P4 are</w:t>
      </w:r>
      <w:r>
        <w:t xml:space="preserve"> </w:t>
      </w:r>
      <w:r>
        <w:rPr>
          <w:i/>
          <w:iCs/>
        </w:rPr>
        <w:t xml:space="preserve">immediately actionable</w:t>
      </w:r>
      <w:r>
        <w:t xml:space="preserve"> </w:t>
      </w:r>
      <w:r>
        <w:t xml:space="preserve">with existing</w:t>
      </w:r>
      <w:r>
        <w:t xml:space="preserve"> </w:t>
      </w:r>
      <w:r>
        <w:t xml:space="preserve">instrumentation; L1 of P3 requires a moderate methodology effort to</w:t>
      </w:r>
      <w:r>
        <w:t xml:space="preserve"> </w:t>
      </w:r>
      <w:r>
        <w:t xml:space="preserve">operationalize the seven-axis Fano-perturbation pattern; L2 of P3</w:t>
      </w:r>
      <w:r>
        <w:t xml:space="preserve"> </w:t>
      </w:r>
      <w:r>
        <w:t xml:space="preserve">is a major methodology project deferred to a future paper.</w:t>
      </w:r>
    </w:p>
    <w:p>
      <w:pPr>
        <w:pStyle w:val="Compact"/>
        <w:numPr>
          <w:ilvl w:val="0"/>
          <w:numId w:val="1008"/>
        </w:numPr>
      </w:pPr>
      <w:r>
        <w:t xml:space="preserve">The Fifth Paradigm contextualization (Pillar 4 of the thesis memo,</w:t>
      </w:r>
      <w:r>
        <w:t xml:space="preserve"> </w:t>
      </w:r>
      <w:r>
        <w:t xml:space="preserve">flagged as NOT YET in the v2 council pass; now delivered).</w:t>
      </w:r>
    </w:p>
    <w:p>
      <w:pPr>
        <w:pStyle w:val="Compact"/>
        <w:numPr>
          <w:ilvl w:val="0"/>
          <w:numId w:val="1008"/>
        </w:numPr>
      </w:pPr>
      <w:r>
        <w:t xml:space="preserve">The boundary-KKT sharpening: 25/50 seeded geometries are boundary-</w:t>
      </w:r>
      <w:r>
        <w:t xml:space="preserve"> </w:t>
      </w:r>
      <w:r>
        <w:t xml:space="preserve">left KKT, so the experimental designs should</w:t>
      </w:r>
      <w:r>
        <w:t xml:space="preserve"> </w:t>
      </w:r>
      <w:r>
        <w:rPr>
          <w:i/>
          <w:iCs/>
        </w:rPr>
        <w:t xml:space="preserve">seek</w:t>
      </w:r>
      <w:r>
        <w:t xml:space="preserve"> </w:t>
      </w:r>
      <w:r>
        <w:t xml:space="preserve">the rarer</w:t>
      </w:r>
      <w:r>
        <w:t xml:space="preserve"> </w:t>
      </w:r>
      <w:r>
        <w:t xml:space="preserve">smooth-interior or interior-improving boundary geometries rather</w:t>
      </w:r>
      <w:r>
        <w:t xml:space="preserve"> </w:t>
      </w:r>
      <w:r>
        <w:t xml:space="preserve">than assume they hold typically.</w:t>
      </w:r>
    </w:p>
    <w:p>
      <w:pPr>
        <w:pStyle w:val="FirstParagraph"/>
      </w:pPr>
      <w:r>
        <w:rPr>
          <w:b/>
          <w:bCs/>
        </w:rPr>
        <w:t xml:space="preserve">What §5 does not establish: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Any actual measurement.</w:t>
      </w:r>
      <w:r>
        <w:t xml:space="preserve"> </w:t>
      </w:r>
      <w:r>
        <w:t xml:space="preserve">§5 is a protocol-design deliverable.</w:t>
      </w:r>
      <w:r>
        <w:t xml:space="preserve"> </w:t>
      </w:r>
      <w:r>
        <w:t xml:space="preserve">Running the protocols is future experimental work.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The biological substrate’s</w:t>
      </w:r>
      <w:r>
        <w:rPr>
          <w:i/>
          <w:iCs/>
        </w:rP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rPr>
          <w:i/>
          <w:iCs/>
        </w:rPr>
        <w:t xml:space="preserve">-realization.</w:t>
      </w:r>
      <w:r>
        <w:t xml:space="preserve"> </w:t>
      </w:r>
      <w:r>
        <w:t xml:space="preserve">§5 sketches</w:t>
      </w:r>
      <w:r>
        <w:t xml:space="preserve"> </w:t>
      </w:r>
      <w:r>
        <w:t xml:space="preserve">TMS-EEG-based detection of</w:t>
      </w:r>
      <w:r>
        <w:t xml:space="preserve"> </w:t>
      </w:r>
      <m:oMath>
        <m:sSubSup>
          <m:e>
            <m:r>
              <m:t>μ</m:t>
            </m:r>
          </m:e>
          <m:sub>
            <m:r>
              <m:t>k</m:t>
            </m:r>
          </m:sub>
          <m:sup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p>
        </m:sSubSup>
      </m:oMath>
      <w:r>
        <w:t xml:space="preserve"> </w:t>
      </w:r>
      <w:r>
        <w:t xml:space="preserve">but does not</w:t>
      </w:r>
      <w:r>
        <w:t xml:space="preserve"> </w:t>
      </w:r>
      <w:r>
        <w:t xml:space="preserve">construct the substrate-level representation theory. Paper 13+</w:t>
      </w:r>
      <w:r>
        <w:t xml:space="preserve"> </w:t>
      </w:r>
      <w:r>
        <w:t xml:space="preserve">territory.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L2 of the commensurability test.</w:t>
      </w:r>
      <w:r>
        <w:t xml:space="preserve"> </w:t>
      </w:r>
      <w:r>
        <w:t xml:space="preserve">The full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-canonical</w:t>
      </w:r>
      <w:r>
        <w:t xml:space="preserve"> </w:t>
      </w:r>
      <w:r>
        <w:t xml:space="preserve">fitting protocol is deferred to a future methodology paper.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Tamper-evidence cryptographic infrastructure for P4.</w:t>
      </w:r>
      <w:r>
        <w:t xml:space="preserve"> </w:t>
      </w:r>
      <w:r>
        <w:t xml:space="preserve">§5 specifies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 audit-substrate distinction is the experimental probe;</w:t>
      </w:r>
      <w:r>
        <w:t xml:space="preserve"> </w:t>
      </w:r>
      <w:r>
        <w:t xml:space="preserve">it does not specify the exact cryptographic chain (Merkle, Bitcoin,</w:t>
      </w:r>
      <w:r>
        <w:t xml:space="preserve"> </w:t>
      </w:r>
      <w:r>
        <w:t xml:space="preserve">Git’s SHA chain, etc.). The choice is independent of the thesis</w:t>
      </w:r>
      <w:r>
        <w:t xml:space="preserve"> </w:t>
      </w:r>
      <w:r>
        <w:t xml:space="preserve">prediction.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Rate improvement.</w:t>
      </w:r>
      <w:r>
        <w:t xml:space="preserve"> </w:t>
      </w:r>
      <w:r>
        <w:t xml:space="preserve">Paper 11 territory.</w:t>
      </w:r>
    </w:p>
    <w:p>
      <w:pPr>
        <w:pStyle w:val="FirstParagraph"/>
      </w:pPr>
      <w:r>
        <w:rPr>
          <w:b/>
          <w:bCs/>
        </w:rPr>
        <w:t xml:space="preserve">Bridge to §6 (open problems and conclusion).</w:t>
      </w:r>
      <w:r>
        <w:t xml:space="preserve"> </w:t>
      </w:r>
      <w:r>
        <w:t xml:space="preserve">§6 will assemble the</w:t>
      </w:r>
      <w:r>
        <w:t xml:space="preserve"> </w:t>
      </w:r>
      <w:r>
        <w:t xml:space="preserve">collected open problems from §3 (rate improvement, biological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-realization, multiplicity &gt; 1 case, asymmetric-rate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high-precision audit,</w:t>
      </w:r>
      <w:r>
        <w:t xml:space="preserve"> </w:t>
      </w:r>
      <m:oMath>
        <m:sSup>
          <m:e>
            <m:r>
              <m:rPr>
                <m:sty m:val="p"/>
                <m:scr m:val="script"/>
              </m:rP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-complement behavior) plus §4</w:t>
      </w:r>
      <w:r>
        <w:t xml:space="preserve"> </w:t>
      </w:r>
      <w:r>
        <w:t xml:space="preserve">(necessity of multiplicity-one for canonical commensurability, L2</w:t>
      </w:r>
      <w:r>
        <w:t xml:space="preserve"> </w:t>
      </w:r>
      <w:r>
        <w:t xml:space="preserve">operationalization) plus §5 (the actual measurements P1–P4) into a</w:t>
      </w:r>
      <w:r>
        <w:t xml:space="preserve"> </w:t>
      </w:r>
      <w:r>
        <w:t xml:space="preserve">single road map for the PCI/PME framework’s continuation.</w:t>
      </w:r>
    </w:p>
    <w:bookmarkEnd w:id="28"/>
    <w:bookmarkStart w:id="29" w:name="Xbf4c44b3d90e00c922800183f417bf86cae9c19"/>
    <w:p>
      <w:pPr>
        <w:pStyle w:val="Heading3"/>
      </w:pPr>
      <w:r>
        <w:t xml:space="preserve">5.8 Summary of the Paper 12 contribution to the PCI/PME framework</w:t>
      </w:r>
    </w:p>
    <w:p>
      <w:pPr>
        <w:pStyle w:val="FirstParagraph"/>
      </w:pPr>
      <w:r>
        <w:t xml:space="preserve">Paper 12 occupies a specific structural niche in the PCI/PME framework</w:t>
      </w:r>
      <w:r>
        <w:t xml:space="preserve"> </w:t>
      </w:r>
      <w:r>
        <w:t xml:space="preserve">that is now precisely articulable: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establishes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 9 (linear)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Rate-channel locked at</w:t>
            </w:r>
            <w:r>
              <w:t xml:space="preserve"> </w:t>
            </w:r>
            <m:oMath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via Schur.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 12 (this)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Dynamical extension to nonlinear regime; commensurability hierarchy; experimental-protocol design layer.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 11 (deferred)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Concrete rate-improvement mechanisms exploiting non-Schur nonlinearities.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 13+ (deferred)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Biological substrate’s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21</m:t>
                  </m:r>
                </m:sub>
              </m:sSub>
            </m:oMath>
            <w:r>
              <w:t xml:space="preserve">-realization; multiplicity &gt; 1; tamper-evidence cryptography.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Methodology paper (deferred)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 operationalization for canonical commensurability test.</w:t>
            </w:r>
          </w:p>
        </w:tc>
      </w:tr>
    </w:tbl>
    <w:p>
      <w:pPr>
        <w:pStyle w:val="BodyText"/>
      </w:pPr>
      <w:r>
        <w:t xml:space="preserve">Paper 12 is not the end of the framework. It is the</w:t>
      </w:r>
      <w:r>
        <w:t xml:space="preserve"> </w:t>
      </w:r>
      <w:r>
        <w:rPr>
          <w:i/>
          <w:iCs/>
        </w:rPr>
        <w:t xml:space="preserve">bridge</w:t>
      </w:r>
      <w:r>
        <w:t xml:space="preserve"> </w:t>
      </w:r>
      <w:r>
        <w:t xml:space="preserve">between</w:t>
      </w:r>
      <w:r>
        <w:t xml:space="preserve"> </w:t>
      </w:r>
      <w:r>
        <w:t xml:space="preserve">the linear theory (Papers 9, 10) and the experimental program (Papers</w:t>
      </w:r>
      <w:r>
        <w:t xml:space="preserve"> </w:t>
      </w:r>
      <w:r>
        <w:t xml:space="preserve">13+). Its contribution is not a single decisive theorem but a</w:t>
      </w:r>
      <w:r>
        <w:t xml:space="preserve"> </w:t>
      </w:r>
      <w:r>
        <w:t xml:space="preserve">layered structure — projected-gradient + NP-pump dynamics, scar invariant</w:t>
      </w:r>
      <w:r>
        <w:t xml:space="preserve"> </w:t>
      </w:r>
      <m:oMath>
        <m:sSub>
          <m:e>
            <m:r>
              <m:rPr>
                <m:sty m:val="p"/>
                <m:scr m:val="fraktur"/>
              </m:rPr>
              <m:t>J</m:t>
            </m:r>
          </m:e>
          <m:sub>
            <m:r>
              <m:t>k</m:t>
            </m:r>
          </m:sub>
        </m:sSub>
      </m:oMath>
      <w:r>
        <w:t xml:space="preserve">, commensurability hierarchy, four-prediction protocol</w:t>
      </w:r>
      <w:r>
        <w:t xml:space="preserve"> </w:t>
      </w:r>
      <w:r>
        <w:t xml:space="preserve">suite — that allows the PCI/PME framework to be tested rather than</w:t>
      </w:r>
      <w:r>
        <w:t xml:space="preserve"> </w:t>
      </w:r>
      <w:r>
        <w:t xml:space="preserve">merely stated.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references-cited-in-5"/>
    <w:p>
      <w:pPr>
        <w:pStyle w:val="Heading2"/>
      </w:pPr>
      <w:r>
        <w:t xml:space="preserve">References (cited in §5)</w:t>
      </w:r>
    </w:p>
    <w:p>
      <w:pPr>
        <w:pStyle w:val="FirstParagraph"/>
      </w:pPr>
      <w:r>
        <w:t xml:space="preserve">[Lick-1960] J. Licklider,</w:t>
      </w:r>
      <w:r>
        <w:t xml:space="preserve"> </w:t>
      </w:r>
      <w:r>
        <w:rPr>
          <w:i/>
          <w:iCs/>
        </w:rPr>
        <w:t xml:space="preserve">Man-Computer Symbiosis</w:t>
      </w:r>
      <w:r>
        <w:t xml:space="preserve">, IRE Trans.</w:t>
      </w:r>
      <w:r>
        <w:t xml:space="preserve"> </w:t>
      </w:r>
      <w:r>
        <w:t xml:space="preserve">Hum. Factors Electron., 1960. Foundational reference for the</w:t>
      </w:r>
      <w:r>
        <w:t xml:space="preserve"> </w:t>
      </w:r>
      <w:r>
        <w:t xml:space="preserve">human-AI collaboration paradigm.</w:t>
      </w:r>
    </w:p>
    <w:p>
      <w:pPr>
        <w:pStyle w:val="BodyText"/>
      </w:pPr>
      <w:r>
        <w:t xml:space="preserve">[Casali-2013] A. Casali et al.,</w:t>
      </w:r>
      <w:r>
        <w:t xml:space="preserve"> </w:t>
      </w:r>
      <w:r>
        <w:rPr>
          <w:i/>
          <w:iCs/>
        </w:rPr>
        <w:t xml:space="preserve">A theoretically based index of</w:t>
      </w:r>
      <w:r>
        <w:rPr>
          <w:i/>
          <w:iCs/>
        </w:rPr>
        <w:t xml:space="preserve"> </w:t>
      </w:r>
      <w:r>
        <w:rPr>
          <w:i/>
          <w:iCs/>
        </w:rPr>
        <w:t xml:space="preserve">consciousness independent of sensory processing and behavior</w:t>
      </w:r>
      <w:r>
        <w:t xml:space="preserve">, Sci.</w:t>
      </w:r>
      <w:r>
        <w:t xml:space="preserve"> </w:t>
      </w:r>
      <w:r>
        <w:t xml:space="preserve">Trans. Med. 5: 198ra105, 2013. Massimini’s clinical-PCI definition,</w:t>
      </w:r>
      <w:r>
        <w:t xml:space="preserve"> </w:t>
      </w:r>
      <w:r>
        <w:t xml:space="preserve">the homonym whose disambiguation from Paper 12’s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preserved</w:t>
      </w:r>
      <w:r>
        <w:t xml:space="preserve"> </w:t>
      </w:r>
      <w:r>
        <w:t xml:space="preserve">in §4.6 Remark 4.6.4 and §5.2.</w:t>
      </w:r>
    </w:p>
    <w:p>
      <w:pPr>
        <w:pStyle w:val="BodyText"/>
      </w:pPr>
      <w:r>
        <w:t xml:space="preserve">[Bost-2025]</w:t>
      </w:r>
      <w:r>
        <w:t xml:space="preserve"> </w:t>
      </w:r>
      <w:hyperlink r:id="rId26">
        <w:r>
          <w:rPr>
            <w:rStyle w:val="Hyperlink"/>
          </w:rPr>
          <w:t xml:space="preserve">Bostock, Kim, Patel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Sanctioned levels of AI autonomy in scientific research</w:t>
      </w:r>
      <w:r>
        <w:t xml:space="preserve">, arxiv 2503.07670, 2025.</w:t>
      </w:r>
      <w:r>
        <w:t xml:space="preserve"> </w:t>
      </w:r>
      <w:r>
        <w:t xml:space="preserve">The 1–5 autonomy taxonomy used in §5.4.</w:t>
      </w:r>
    </w:p>
    <w:p>
      <w:pPr>
        <w:pStyle w:val="BodyText"/>
      </w:pPr>
      <w:r>
        <w:t xml:space="preserve">[BIOMA-2023]</w:t>
      </w:r>
      <w:r>
        <w:t xml:space="preserve"> </w:t>
      </w:r>
      <w:r>
        <w:rPr>
          <w:i/>
          <w:iCs/>
        </w:rPr>
        <w:t xml:space="preserve">BIOMA</w:t>
      </w:r>
      <w:r>
        <w:t xml:space="preserve">, Lawrence Berkeley National Laboratory, 2023.</w:t>
      </w:r>
    </w:p>
    <w:p>
      <w:pPr>
        <w:pStyle w:val="BodyText"/>
      </w:pPr>
      <w:r>
        <w:t xml:space="preserve">[Bind-2024]</w:t>
      </w:r>
      <w:r>
        <w:t xml:space="preserve"> </w:t>
      </w:r>
      <w:r>
        <w:rPr>
          <w:i/>
          <w:iCs/>
        </w:rPr>
        <w:t xml:space="preserve">BindCraft</w:t>
      </w:r>
      <w:r>
        <w:t xml:space="preserve">, Baker Lab and collaborators, 2024.</w:t>
      </w:r>
    </w:p>
    <w:p>
      <w:pPr>
        <w:pStyle w:val="BodyText"/>
      </w:pPr>
      <w:r>
        <w:t xml:space="preserve">Cross-references:</w:t>
      </w:r>
      <w:r>
        <w:t xml:space="preserve"> </w:t>
      </w:r>
      <w:r>
        <w:t xml:space="preserve">- Paper 12 §3 v2 (Definition 3.3.4 NP-pump dynamics; §3.6 boundary-KKT audit; §3.7</w:t>
      </w:r>
      <w:r>
        <w:t xml:space="preserve"> </w:t>
      </w:r>
      <m:oMath>
        <m:sSub>
          <m:e>
            <m:r>
              <m:rPr>
                <m:sty m:val="p"/>
                <m:scr m:val="fraktur"/>
              </m:rPr>
              <m:t>J</m:t>
            </m:r>
          </m:e>
          <m:sub>
            <m:r>
              <m:t>k</m:t>
            </m:r>
          </m:sub>
        </m:sSub>
      </m:oMath>
      <w:r>
        <w:t xml:space="preserve">).</w:t>
      </w:r>
      <w:r>
        <w:t xml:space="preserve"> </w:t>
      </w:r>
      <w:r>
        <w:t xml:space="preserve">- Paper 12 §4 v2 (Theorem 4.4.1 commensurability hierarchy; Definition 4.6.1 two-level test).</w:t>
      </w:r>
      <w:r>
        <w:t xml:space="preserve"> </w:t>
      </w:r>
      <w:r>
        <w:t xml:space="preserve">- Paper 12 thesis memo P1–P4.</w:t>
      </w:r>
      <w:r>
        <w:t xml:space="preserve"> </w:t>
      </w:r>
      <w:r>
        <w:t xml:space="preserve">- Paper 9 v1.3.3 (the linear-theory inheritance).</w:t>
      </w:r>
      <w:r>
        <w:t xml:space="preserve"> </w:t>
      </w:r>
      <w:r>
        <w:t xml:space="preserve">- Paper 4 (PSL(2,7) ⊃ F₂₁ source).</w:t>
      </w:r>
    </w:p>
    <w:p>
      <w:pPr>
        <w:pStyle w:val="BodyText"/>
      </w:pPr>
      <w:r>
        <w:rPr>
          <w:i/>
          <w:iCs/>
        </w:rPr>
        <w:t xml:space="preserve">Revision log:</w:t>
      </w:r>
      <w:r>
        <w:t xml:space="preserve"> </w:t>
      </w:r>
      <w:r>
        <w:t xml:space="preserve">- v1 (2026-05-06 ~03:00 PDT): First complete draft. P1–P4 unpacked</w:t>
      </w:r>
      <w:r>
        <w:t xml:space="preserve"> </w:t>
      </w:r>
      <w:r>
        <w:t xml:space="preserve">as concrete experimental designs. Fifth Paradigm contextualization</w:t>
      </w:r>
      <w:r>
        <w:t xml:space="preserve"> </w:t>
      </w:r>
      <w:r>
        <w:t xml:space="preserve">delivered (closes Pillar 4 from the thesis memo). Boundary-KKT</w:t>
      </w:r>
      <w:r>
        <w:t xml:space="preserve"> </w:t>
      </w:r>
      <w:r>
        <w:t xml:space="preserve">sharpening incorporated throughout. L2 operationalization deferred</w:t>
      </w:r>
      <w:r>
        <w:t xml:space="preserve"> </w:t>
      </w:r>
      <w:r>
        <w:t xml:space="preserve">to methodology paper. P4 framed as a longitudinal study with</w:t>
      </w:r>
      <w:r>
        <w:t xml:space="preserve"> </w:t>
      </w:r>
      <w:r>
        <w:t xml:space="preserve">intrinsic interest beyond Paper 12 falsification.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s://arxiv.org/abs/2503.07670" TargetMode="External" /><Relationship Type="http://schemas.openxmlformats.org/officeDocument/2006/relationships/hyperlink" Id="rId21" Target="https://doi.org/10.1126/scitranslmed.300629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arxiv.org/abs/2503.07670" TargetMode="External" /><Relationship Type="http://schemas.openxmlformats.org/officeDocument/2006/relationships/hyperlink" Id="rId21" Target="https://doi.org/10.1126/scitranslmed.300629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2026-05-06T09:56:47Z</dcterms:created>
  <dcterms:modified xsi:type="dcterms:W3CDTF">2026-05-06T09:56:47Z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