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INFORME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Especificación Técnica de Arquitectura: Pipeline IoT y Mantenimiento Predictivo para Molino Coloidal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Resumen ejecutivo y Objetivos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El presente documento describe la arquitectura técnica integral para el sistema de telemetría, monitoreo de condición e inferencia predictiva aplicado a un molino coloidal en una planta de emulsiones asfálticas.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 diseño implementa un esquema híbrido de </w:t>
      </w:r>
      <w:r w:rsidDel="00000000" w:rsidR="00000000" w:rsidRPr="00000000">
        <w:rPr>
          <w:b w:val="1"/>
          <w:bCs w:val="1"/>
          <w:rtl w:val="0"/>
        </w:rPr>
        <w:t xml:space="preserve">Edge Computing y Cloud Computing</w:t>
      </w:r>
      <w:r w:rsidDel="00000000" w:rsidR="00000000" w:rsidRPr="00000000">
        <w:rPr>
          <w:rtl w:val="0"/>
        </w:rPr>
        <w:t xml:space="preserve"> en AWS, resolviendo las limitaciones de instrumentación heredada (legacy) mediante una estrategia de modernización no invasiva. El flujo de datos en la nube opera bajo un patrón de </w:t>
      </w:r>
      <w:r w:rsidDel="00000000" w:rsidR="00000000" w:rsidRPr="00000000">
        <w:rPr>
          <w:b w:val="1"/>
          <w:bCs w:val="1"/>
          <w:rtl w:val="0"/>
        </w:rPr>
        <w:t xml:space="preserve">Tri-Ruta Desacoplada</w:t>
      </w:r>
      <w:r w:rsidDel="00000000" w:rsidR="00000000" w:rsidRPr="00000000">
        <w:rPr>
          <w:rtl w:val="0"/>
        </w:rPr>
        <w:t xml:space="preserve">, permitiendo ingesta masiva, procesamiento de modelos de Machine Learning, almacenamiento analítico histórico y visualización en tiempo real para operadores de planta.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2. Capa de Adquisición y Edge Computing (Nivel OT)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Objetivo general: desarrollar un sistema inteligente de mantenimiento predictivo capaz de anticipar fallas en una cinta transportadora industrial mediante análisis multivariable y temporal de sensores.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35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62513" cy="818593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2513" cy="81859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283.46456692913375" w:right="0" w:hanging="106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heading=h.5esgfjmkpfzv" w:id="0"/>
      <w:bookmarkEnd w:id="0"/>
      <w:r w:rsidDel="00000000" w:rsidR="00000000" w:rsidRPr="00000000">
        <w:rPr>
          <w:rtl w:val="0"/>
        </w:rPr>
        <w:t xml:space="preserve">2.1 Fuentes de Señal e Instrumentación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Lazo de Proceso Existente:</w:t>
      </w:r>
      <w:r w:rsidDel="00000000" w:rsidR="00000000" w:rsidRPr="00000000">
        <w:rPr>
          <w:rFonts w:ascii="Arial" w:cs="Arial" w:eastAsia="Arial" w:hAnsi="Arial"/>
          <w:rtl w:val="0"/>
        </w:rPr>
        <w:t xml:space="preserve"> Monitoreado por un controlador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Siemens S7-300</w:t>
      </w:r>
      <w:r w:rsidDel="00000000" w:rsidR="00000000" w:rsidRPr="00000000">
        <w:rPr>
          <w:rFonts w:ascii="Arial" w:cs="Arial" w:eastAsia="Arial" w:hAnsi="Arial"/>
          <w:rtl w:val="0"/>
        </w:rPr>
        <w:t xml:space="preserve">. Mide variables de formulación química (Temperatura de masa vía termocupla Tipo J y Caudal de emulsión Siemens vía transmisores analógicos 4-20 mA).</w:t>
      </w:r>
    </w:p>
    <w:p w:rsidR="00000000" w:rsidDel="00000000" w:rsidP="00000000" w:rsidRDefault="00000000" w:rsidRPr="00000000" w14:paraId="00000012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Instrumentación Retrofit (Condición Mecánica):</w:t>
      </w:r>
      <w:r w:rsidDel="00000000" w:rsidR="00000000" w:rsidRPr="00000000">
        <w:rPr>
          <w:rFonts w:ascii="Arial" w:cs="Arial" w:eastAsia="Arial" w:hAnsi="Arial"/>
          <w:rtl w:val="0"/>
        </w:rPr>
        <w:t xml:space="preserve"> Nuevos sensores sin cablear al PLC: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Transformadores de Corriente (CT) / Analizador de Red:</w:t>
      </w:r>
      <w:r w:rsidDel="00000000" w:rsidR="00000000" w:rsidRPr="00000000">
        <w:rPr>
          <w:rFonts w:ascii="Arial" w:cs="Arial" w:eastAsia="Arial" w:hAnsi="Arial"/>
          <w:rtl w:val="0"/>
        </w:rPr>
        <w:t xml:space="preserve"> Lectura de corriente (</w:t>
      </w:r>
      <m:oMath>
        <m:r>
          <w:rPr>
            <w:rFonts w:ascii="Arial" w:cs="Arial" w:eastAsia="Arial" w:hAnsi="Arial"/>
          </w:rPr>
          <m:t xml:space="preserve">A</m:t>
        </m:r>
      </m:oMath>
      <w:r w:rsidDel="00000000" w:rsidR="00000000" w:rsidRPr="00000000">
        <w:rPr>
          <w:rFonts w:ascii="Arial" w:cs="Arial" w:eastAsia="Arial" w:hAnsi="Arial"/>
          <w:rtl w:val="0"/>
        </w:rPr>
        <w:t xml:space="preserve">) y potencia activa (</w:t>
      </w:r>
      <m:oMath>
        <m:r>
          <w:rPr>
            <w:rFonts w:ascii="Arial" w:cs="Arial" w:eastAsia="Arial" w:hAnsi="Arial"/>
          </w:rPr>
          <m:t xml:space="preserve">kW</m:t>
        </m:r>
      </m:oMath>
      <w:r w:rsidDel="00000000" w:rsidR="00000000" w:rsidRPr="00000000">
        <w:rPr>
          <w:rFonts w:ascii="Arial" w:cs="Arial" w:eastAsia="Arial" w:hAnsi="Arial"/>
          <w:rtl w:val="0"/>
        </w:rPr>
        <w:t xml:space="preserve">) del motor trifásico vía Modbus RTU para detectar sobrecarga y variación de viscosidad por asfalto frío.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Acelerómetro Triaxial de Grado Industrial:</w:t>
      </w:r>
      <w:r w:rsidDel="00000000" w:rsidR="00000000" w:rsidRPr="00000000">
        <w:rPr>
          <w:rFonts w:ascii="Arial" w:cs="Arial" w:eastAsia="Arial" w:hAnsi="Arial"/>
          <w:rtl w:val="0"/>
        </w:rPr>
        <w:t xml:space="preserve"> Monitoreo de vibración en descansos de rodamientos (RMS de velocidad y aceleración pico) vía Modbus o 4-20 mA para detección de desbalance, desalineación o cavitación.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Transmisores de Presión Diferencial:</w:t>
      </w:r>
      <w:r w:rsidDel="00000000" w:rsidR="00000000" w:rsidRPr="00000000">
        <w:rPr>
          <w:rFonts w:ascii="Arial" w:cs="Arial" w:eastAsia="Arial" w:hAnsi="Arial"/>
          <w:rtl w:val="0"/>
        </w:rPr>
        <w:t xml:space="preserve"> Monitoreo de entrada y descarga de la cámara de molienda.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heading=h.v17abdd9bzh" w:id="1"/>
      <w:bookmarkEnd w:id="1"/>
      <w:r w:rsidDel="00000000" w:rsidR="00000000" w:rsidRPr="00000000">
        <w:rPr>
          <w:rtl w:val="0"/>
        </w:rPr>
        <w:t xml:space="preserve">2.2 Especificaciones del Edge 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Hardware:</w:t>
      </w:r>
      <w:r w:rsidDel="00000000" w:rsidR="00000000" w:rsidRPr="00000000">
        <w:rPr>
          <w:rtl w:val="0"/>
        </w:rPr>
        <w:t xml:space="preserve"> Computador Industrial (IPC) o gateway de riel DIN (Siemens SIMATIC IOT2050 / Raspberry Pi CM4 Industrial). 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Motor de Adquisición: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Hilo OT-Siemens:</w:t>
      </w:r>
      <w:r w:rsidDel="00000000" w:rsidR="00000000" w:rsidRPr="00000000">
        <w:rPr>
          <w:rtl w:val="0"/>
        </w:rPr>
        <w:t xml:space="preserve"> Utiliza la librería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python-snap7</w:t>
      </w:r>
      <w:r w:rsidDel="00000000" w:rsidR="00000000" w:rsidRPr="00000000">
        <w:rPr>
          <w:rtl w:val="0"/>
        </w:rPr>
        <w:t xml:space="preserve"> para consultar directamente los bloques de datos (DB) o marcas de memoria del S7-300 vía Ethernet industrial sin intervención del SCADA.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Hilo OT-Modbus:</w:t>
      </w:r>
      <w:r w:rsidDel="00000000" w:rsidR="00000000" w:rsidRPr="00000000">
        <w:rPr>
          <w:rtl w:val="0"/>
        </w:rPr>
        <w:t xml:space="preserve"> Utiliza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pymodbus</w:t>
      </w:r>
      <w:r w:rsidDel="00000000" w:rsidR="00000000" w:rsidRPr="00000000">
        <w:rPr>
          <w:rtl w:val="0"/>
        </w:rPr>
        <w:t xml:space="preserve"> sobre interfaz serial RS-485 aislada para interrogar la instrumentación complementaria.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Resiliencia Local (Store-and-Forward):</w:t>
      </w:r>
      <w:r w:rsidDel="00000000" w:rsidR="00000000" w:rsidRPr="00000000">
        <w:rPr>
          <w:rtl w:val="0"/>
        </w:rPr>
        <w:t xml:space="preserve"> Base de datos embebida ligera (SQLite o Redis) que almacena la telemetría en caso de corte del enlace WAN/Internet industrial, reenviando los paquetes acumulados con sus marcas de tiempo originales una vez restablecida la conexión.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Seguridad de Enlace:</w:t>
      </w:r>
      <w:r w:rsidDel="00000000" w:rsidR="00000000" w:rsidRPr="00000000">
        <w:rPr>
          <w:rtl w:val="0"/>
        </w:rPr>
        <w:t xml:space="preserve"> Publicador MQTT con autenticación mutua TLS 1.3 (mTLS) utilizando certificados X.509 dedicados emitidos por AWS IoT Core.</w:t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3. Ingesta y Mensajería Cloud (AWS IoT Core)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IoT Core actúa como el bus de mensajería central de alta disponibilidad, garantizando comunicación bidireccional y desacoplamiento total entre los productores de datos y los servicios consumidores.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Topología de Tópicos MQTT: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Ingesta cruda: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planta/asfalto/molino/telemetria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Diagnóstico predictivo: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planta/asfalto/molino/predicciones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Control/Comandos: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planta/asfalto/molino/comandos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Calidad de Servicio:</w:t>
      </w:r>
      <w:r w:rsidDel="00000000" w:rsidR="00000000" w:rsidRPr="00000000">
        <w:rPr>
          <w:rtl w:val="0"/>
        </w:rPr>
        <w:t xml:space="preserve"> QoS 1 (</w:t>
      </w:r>
      <w:r w:rsidDel="00000000" w:rsidR="00000000" w:rsidRPr="00000000">
        <w:rPr>
          <w:i w:val="1"/>
          <w:iCs w:val="1"/>
          <w:rtl w:val="0"/>
        </w:rPr>
        <w:t xml:space="preserve">At least once delivery</w:t>
      </w:r>
      <w:r w:rsidDel="00000000" w:rsidR="00000000" w:rsidRPr="00000000">
        <w:rPr>
          <w:rtl w:val="0"/>
        </w:rPr>
        <w:t xml:space="preserve">) para asegurar la entrega de paquetes críticos sin duplicación destructiva.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Reglas de Enrutamiento (IoT SQL Rules):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Regla Inferencia:</w:t>
      </w:r>
      <w:r w:rsidDel="00000000" w:rsidR="00000000" w:rsidRPr="00000000">
        <w:rPr>
          <w:rtl w:val="0"/>
        </w:rPr>
        <w:t xml:space="preserve"> Filtra y envía el payload entrante a la función AWS Lambda de Machine Learning.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Regla Persistencia:</w:t>
      </w:r>
      <w:r w:rsidDel="00000000" w:rsidR="00000000" w:rsidRPr="00000000">
        <w:rPr>
          <w:rtl w:val="0"/>
        </w:rPr>
        <w:t xml:space="preserve"> Enruta el payload completo hacia Amazon Data Firehose.</w:t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r w:rsidDel="00000000" w:rsidR="00000000" w:rsidRPr="00000000">
        <w:rPr>
          <w:rtl w:val="0"/>
        </w:rPr>
        <w:t xml:space="preserve">4. Estrategia de Tri-Ruta (Procesamiento y Distribución)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La arquitectura procesa el flujo de información dividiéndolo en tres rutas concurrentes, optimizadas para diferentes requerimientos de latencia, consistencia y consumo: </w:t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55600" cy="929922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5600" cy="92992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heading=h.8ns8nkv4oyik" w:id="2"/>
      <w:bookmarkEnd w:id="2"/>
      <w:r w:rsidDel="00000000" w:rsidR="00000000" w:rsidRPr="00000000">
        <w:rPr>
          <w:rtl w:val="0"/>
        </w:rPr>
        <w:t xml:space="preserve">4.1 Ruta 1: Cold Path (Históricos y Analítica a Largo Plazo)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Almacenar de forma inmutable y a bajo costo la totalidad de los datos operacionales para análisis forense, reentrenamiento de modelos y generación de informes de turno.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Componentes: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Data Firehose:</w:t>
      </w:r>
      <w:r w:rsidDel="00000000" w:rsidR="00000000" w:rsidRPr="00000000">
        <w:rPr>
          <w:rtl w:val="0"/>
        </w:rPr>
        <w:t xml:space="preserve"> Amortigua el flujo continuo agrupando registros en ventanas de 60 segundos o 1 MiB. Realiza conversión de formato en vuelo de JSON a </w:t>
      </w:r>
      <w:r w:rsidDel="00000000" w:rsidR="00000000" w:rsidRPr="00000000">
        <w:rPr>
          <w:b w:val="1"/>
          <w:bCs w:val="1"/>
          <w:rtl w:val="0"/>
        </w:rPr>
        <w:t xml:space="preserve">Apache Parquet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S3:</w:t>
      </w:r>
      <w:r w:rsidDel="00000000" w:rsidR="00000000" w:rsidRPr="00000000">
        <w:rPr>
          <w:rtl w:val="0"/>
        </w:rPr>
        <w:t xml:space="preserve"> Repositorio central estructurado bajo particionamiento temporal 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de Consulta: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Amazon Athena</w:t>
      </w:r>
      <w:r w:rsidDel="00000000" w:rsidR="00000000" w:rsidRPr="00000000">
        <w:rPr>
          <w:rtl w:val="0"/>
        </w:rPr>
        <w:t xml:space="preserve"> ejecuta consultas serverless SQL sobre el Data Lake. Una función </w:t>
      </w:r>
      <w:r w:rsidDel="00000000" w:rsidR="00000000" w:rsidRPr="00000000">
        <w:rPr>
          <w:b w:val="1"/>
          <w:bCs w:val="1"/>
          <w:rtl w:val="0"/>
        </w:rPr>
        <w:t xml:space="preserve">AWS Lambda</w:t>
      </w:r>
      <w:r w:rsidDel="00000000" w:rsidR="00000000" w:rsidRPr="00000000">
        <w:rPr>
          <w:rtl w:val="0"/>
        </w:rPr>
        <w:t xml:space="preserve"> expuesta mediante </w:t>
      </w:r>
      <w:r w:rsidDel="00000000" w:rsidR="00000000" w:rsidRPr="00000000">
        <w:rPr>
          <w:b w:val="1"/>
          <w:bCs w:val="1"/>
          <w:rtl w:val="0"/>
        </w:rPr>
        <w:t xml:space="preserve">Amazon API Gateway</w:t>
      </w:r>
      <w:r w:rsidDel="00000000" w:rsidR="00000000" w:rsidRPr="00000000">
        <w:rPr>
          <w:rtl w:val="0"/>
        </w:rPr>
        <w:t xml:space="preserve"> permite al frontend consultar rangos históricos (últimas 24 horas, 7 días o 30 días) mediante peticiones HTTP REST estándar.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80" w:before="280" w:lineRule="auto"/>
        <w:rPr>
          <w:rFonts w:ascii="Aptos" w:cs="Aptos" w:eastAsia="Aptos" w:hAnsi="Aptos"/>
          <w:sz w:val="26"/>
          <w:szCs w:val="26"/>
        </w:rPr>
      </w:pPr>
      <w:bookmarkStart w:colFirst="0" w:colLast="0" w:name="_heading=h.rehwuh4surgn" w:id="3"/>
      <w:bookmarkEnd w:id="3"/>
      <w:r w:rsidDel="00000000" w:rsidR="00000000" w:rsidRPr="00000000">
        <w:rPr>
          <w:rFonts w:ascii="Aptos" w:cs="Aptos" w:eastAsia="Aptos" w:hAnsi="Aptos"/>
          <w:sz w:val="26"/>
          <w:szCs w:val="26"/>
          <w:rtl w:val="0"/>
        </w:rPr>
        <w:t xml:space="preserve">4.2 Ruta 2: ML Path (Inferencia Predictiva en Tiempo Real)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Evaluar cada paquete de telemetría entrante en milisegundos para determinar el régimen operativo del equipo, vigilar desvíos dinámicos en variables acopladas y clasificar posibles fallas mecánicas o de proceso.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Componentes: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Lambda (Motor de Inferencia Serverless):</w:t>
      </w:r>
      <w:r w:rsidDel="00000000" w:rsidR="00000000" w:rsidRPr="00000000">
        <w:rPr>
          <w:rtl w:val="0"/>
        </w:rPr>
        <w:t xml:space="preserve"> Desplegada mediante </w:t>
      </w:r>
      <w:r w:rsidDel="00000000" w:rsidR="00000000" w:rsidRPr="00000000">
        <w:rPr>
          <w:b w:val="1"/>
          <w:bCs w:val="1"/>
          <w:rtl w:val="0"/>
        </w:rPr>
        <w:t xml:space="preserve">Imagen de Contenedor (Docker en Amazon ECR)</w:t>
      </w:r>
      <w:r w:rsidDel="00000000" w:rsidR="00000000" w:rsidRPr="00000000">
        <w:rPr>
          <w:rtl w:val="0"/>
        </w:rPr>
        <w:t xml:space="preserve">. Esta estrategia elimina la restricción de 250 MB de los archivos ZIP y permite empaquetar librerías de árbol y redes neuronales junto a sus dependencias nativas del sistema operativo </w:t>
      </w:r>
      <w:r w:rsidDel="00000000" w:rsidR="00000000" w:rsidRPr="00000000">
        <w:rPr>
          <w:i w:val="1"/>
          <w:iCs w:val="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libgomp.so</w:t>
      </w:r>
      <w:r w:rsidDel="00000000" w:rsidR="00000000" w:rsidRPr="00000000">
        <w:rPr>
          <w:rtl w:val="0"/>
        </w:rPr>
        <w:t xml:space="preserve"> para soporte multi-hilo OpenMP en LightGBM).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Entorno y Dependencias:</w:t>
      </w:r>
      <w:r w:rsidDel="00000000" w:rsidR="00000000" w:rsidRPr="00000000">
        <w:rPr>
          <w:rtl w:val="0"/>
        </w:rPr>
        <w:t xml:space="preserve"> Contenedor optimizado en Python 3.12 con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numpy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lightgbm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joblib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y motor de inferencia neuronal (</w:t>
      </w:r>
      <w:r w:rsidDel="00000000" w:rsidR="00000000" w:rsidRPr="00000000">
        <w:rPr>
          <w:b w:val="1"/>
          <w:bCs w:val="1"/>
          <w:rtl w:val="0"/>
        </w:rPr>
        <w:t xml:space="preserve">ONNX Runtime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torch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en CPU) para ejecutar el Autoencoder con baja latencia y mínimo consumo de memoria en arranque en frío (</w:t>
      </w:r>
      <w:r w:rsidDel="00000000" w:rsidR="00000000" w:rsidRPr="00000000">
        <w:rPr>
          <w:i w:val="1"/>
          <w:iCs w:val="1"/>
          <w:rtl w:val="0"/>
        </w:rPr>
        <w:t xml:space="preserve">cold start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spacing w:after="80" w:before="280" w:lineRule="auto"/>
        <w:rPr>
          <w:rFonts w:ascii="Aptos" w:cs="Aptos" w:eastAsia="Aptos" w:hAnsi="Aptos"/>
          <w:sz w:val="26"/>
          <w:szCs w:val="26"/>
        </w:rPr>
      </w:pPr>
      <w:bookmarkStart w:colFirst="0" w:colLast="0" w:name="_heading=h.yvmddvya0uzi" w:id="4"/>
      <w:bookmarkEnd w:id="4"/>
      <w:r w:rsidDel="00000000" w:rsidR="00000000" w:rsidRPr="00000000">
        <w:rPr>
          <w:rFonts w:ascii="Aptos" w:cs="Aptos" w:eastAsia="Aptos" w:hAnsi="Aptos"/>
          <w:sz w:val="26"/>
          <w:szCs w:val="26"/>
          <w:rtl w:val="0"/>
        </w:rPr>
        <w:t xml:space="preserve">4.3 Ruta 3: Hot Path (Transmisión en Vivo al Frontend)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Proveer a los supervisores de planta una visualización continua de variables críticas y alertas instantáneas sin retrasos de indexación en bases de datos.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Componentes: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Protocolo:</w:t>
      </w:r>
      <w:r w:rsidDel="00000000" w:rsidR="00000000" w:rsidRPr="00000000">
        <w:rPr>
          <w:rtl w:val="0"/>
        </w:rPr>
        <w:t xml:space="preserve"> Conexión persistente </w:t>
      </w:r>
      <w:r w:rsidDel="00000000" w:rsidR="00000000" w:rsidRPr="00000000">
        <w:rPr>
          <w:b w:val="1"/>
          <w:bCs w:val="1"/>
          <w:rtl w:val="0"/>
        </w:rPr>
        <w:t xml:space="preserve">MQTT sobre WebSockets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rtl w:val="0"/>
        </w:rPr>
        <w:t xml:space="preserve">wss://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en el puerto HTTPS 443 entre el navegador web y AWS IoT Core.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Consumo Unificado:</w:t>
      </w:r>
      <w:r w:rsidDel="00000000" w:rsidR="00000000" w:rsidRPr="00000000">
        <w:rPr>
          <w:rtl w:val="0"/>
        </w:rPr>
        <w:t xml:space="preserve"> El cliente web abre una única sesión de WebSocket y se suscribe en paralelo a: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planta/asfalto/molino/telemetria</w:t>
      </w:r>
      <w:r w:rsidDel="00000000" w:rsidR="00000000" w:rsidRPr="00000000">
        <w:rPr>
          <w:rtl w:val="0"/>
        </w:rPr>
        <w:t xml:space="preserve"> (actualización de gráficos, manómetros y lecturas continuas).</w:t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planta/asfalto/molino/predicciones</w:t>
      </w:r>
      <w:r w:rsidDel="00000000" w:rsidR="00000000" w:rsidRPr="00000000">
        <w:rPr>
          <w:rtl w:val="0"/>
        </w:rPr>
        <w:t xml:space="preserve"> (activación de semáforos de advertencia y popups de diagnóstico emitidos por la Ruta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/>
      </w:pPr>
      <w:r w:rsidDel="00000000" w:rsidR="00000000" w:rsidRPr="00000000">
        <w:rPr>
          <w:rtl w:val="0"/>
        </w:rPr>
        <w:t xml:space="preserve">5. Capa de Aplicación y Visualización (Frontend Dashboard) </w:t>
      </w:r>
    </w:p>
    <w:tbl>
      <w:tblPr>
        <w:tblStyle w:val="Table1"/>
        <w:tblW w:w="97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64"/>
        <w:gridCol w:w="3264"/>
        <w:gridCol w:w="3264"/>
        <w:tblGridChange w:id="0">
          <w:tblGrid>
            <w:gridCol w:w="3264"/>
            <w:gridCol w:w="3264"/>
            <w:gridCol w:w="3264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Dominio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Tecnología / Servicio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4F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Justificación Técnica </w:t>
            </w:r>
          </w:p>
        </w:tc>
      </w:tr>
      <w:tr>
        <w:trPr>
          <w:cantSplit w:val="1"/>
          <w:trHeight w:val="197.958984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Hosting &amp; Entrega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AWS Amplify Hosting / CloudFront + S3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Distribución global de contenido estático mediante CDN con certificados SSL automáticos y despliegue CI/CD continuo. 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Framework Web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React / Next.js con Tailwind CSS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Estructuración modular de componentes de instrumentación industrial (HMI virtual, medidores de aguja, paneles de control). 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Gestión de Gráficos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Apache ECharts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Capacidad de renderizado acelerado por Canvas para soportar flujos de telemetría continuos a alta tasa de refresco sin degradar la memoria del navegador. 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Cliente de Streaming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AWS Amplify PubSub / AWS SDK v2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Abstracción de conexión a WebSockets con soporte de reconexión automática y gestión de sesiones MQTT nativas. </w:t>
            </w:r>
          </w:p>
        </w:tc>
      </w:tr>
    </w:tbl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tl w:val="0"/>
        </w:rPr>
        <w:t xml:space="preserve">6. Seguridad y Gobernanza de Acceso 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Aislamiento en Terreno:</w:t>
      </w:r>
      <w:r w:rsidDel="00000000" w:rsidR="00000000" w:rsidRPr="00000000">
        <w:rPr>
          <w:rtl w:val="0"/>
        </w:rPr>
        <w:t xml:space="preserve"> El Edge Gateway dispone de dos interfaces de red físicas independientes (o VLANs dedicadas). La interfaz OT se comunica de forma unidireccional y local con el PLC S7-300; la interfaz IT solo tiene salida hacia Internet mediante el puerto saliente 8883 (MQTT mTLS), sin exponer puertos abiertos hacia el exterior.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Autorización Web hacia AWS IoT Core: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Amazon Cognito Identity Pools</w:t>
      </w:r>
      <w:r w:rsidDel="00000000" w:rsidR="00000000" w:rsidRPr="00000000">
        <w:rPr>
          <w:rtl w:val="0"/>
        </w:rPr>
        <w:t xml:space="preserve"> asocia el token JWT del usuario autenticado a un rol temporal de </w:t>
      </w:r>
      <w:r w:rsidDel="00000000" w:rsidR="00000000" w:rsidRPr="00000000">
        <w:rPr>
          <w:b w:val="1"/>
          <w:bCs w:val="1"/>
          <w:rtl w:val="0"/>
        </w:rPr>
        <w:t xml:space="preserve">AWS IAM</w:t>
      </w:r>
      <w:r w:rsidDel="00000000" w:rsidR="00000000" w:rsidRPr="00000000">
        <w:rPr>
          <w:rtl w:val="0"/>
        </w:rPr>
        <w:t xml:space="preserve">. Este rol contiene una política que restringe los permisos a operaciones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iot:Connect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iot:Subscribe</w:t>
      </w:r>
      <w:r w:rsidDel="00000000" w:rsidR="00000000" w:rsidRPr="00000000">
        <w:rPr>
          <w:i w:val="1"/>
          <w:iCs w:val="1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iot:Receive</w:t>
      </w:r>
      <w:r w:rsidDel="00000000" w:rsidR="00000000" w:rsidRPr="00000000">
        <w:rPr>
          <w:rtl w:val="0"/>
        </w:rPr>
        <w:t xml:space="preserve"> sobre los tópicos específicos de visualización del molino, prohibiendo la publicación no autorizada de mensajes.</w:t>
      </w:r>
    </w:p>
    <w:p w:rsidR="00000000" w:rsidDel="00000000" w:rsidP="00000000" w:rsidRDefault="00000000" w:rsidRPr="00000000" w14:paraId="00000060">
      <w:pPr>
        <w:pStyle w:val="Heading2"/>
        <w:spacing w:after="80" w:before="360" w:lineRule="auto"/>
        <w:rPr>
          <w:color w:val="366091"/>
          <w:sz w:val="34"/>
          <w:szCs w:val="34"/>
        </w:rPr>
      </w:pPr>
      <w:bookmarkStart w:colFirst="0" w:colLast="0" w:name="_heading=h.am2ojxyiud8m" w:id="5"/>
      <w:bookmarkEnd w:id="5"/>
      <w:r w:rsidDel="00000000" w:rsidR="00000000" w:rsidRPr="00000000">
        <w:rPr>
          <w:color w:val="366091"/>
          <w:sz w:val="34"/>
          <w:szCs w:val="34"/>
          <w:rtl w:val="0"/>
        </w:rPr>
        <w:t xml:space="preserve">7. Resumen de Ventajas Arquitectónicas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Tolerancia a Fallos e Independencia de Componentes:</w:t>
      </w:r>
      <w:r w:rsidDel="00000000" w:rsidR="00000000" w:rsidRPr="00000000">
        <w:rPr>
          <w:rtl w:val="0"/>
        </w:rPr>
        <w:t xml:space="preserve"> La caída o saturación del modelo de Machine Learning no interrumpe el respaldo de datos en el Data Lake ni desconecta los instrumentos visuales en tiempo real del frontend.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Eficiencia de Costos:</w:t>
      </w:r>
      <w:r w:rsidDel="00000000" w:rsidR="00000000" w:rsidRPr="00000000">
        <w:rPr>
          <w:rtl w:val="0"/>
        </w:rPr>
        <w:t xml:space="preserve"> Se evita el pago por bases de datos de lectura/escritura intensiva como DynamoDB o TimescaleDB para la vista en vivo; los datos en tránsito hacia la pantalla viajan en memoria por WebSockets a costo marginal.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Mantenibilidad y Escalabilidad:</w:t>
      </w:r>
      <w:r w:rsidDel="00000000" w:rsidR="00000000" w:rsidRPr="00000000">
        <w:rPr>
          <w:rtl w:val="0"/>
        </w:rPr>
        <w:t xml:space="preserve"> El uso de imágenes de contenedor en Lambda erradica los problemas de tamaño de binarios de scikit-learn y habilita el despliegue de modelos más complejos en el futuro sin reconfigurar la infraestructura de red.</w:t>
      </w: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1080" w:top="1080" w:left="1224" w:right="122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sz w:val="16"/>
        <w:szCs w:val="16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Informe técnico - Mantenimiento predictivo para </w:t>
    </w:r>
    <w:r w:rsidDel="00000000" w:rsidR="00000000" w:rsidRPr="00000000">
      <w:rPr>
        <w:sz w:val="16"/>
        <w:szCs w:val="16"/>
        <w:rtl w:val="0"/>
      </w:rPr>
      <w:t xml:space="preserve">molino coloidal 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ptos" w:cs="Aptos" w:eastAsia="Aptos" w:hAnsi="Aptos"/>
      <w:b w:val="1"/>
      <w:bCs w:val="1"/>
      <w:color w:val="36609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4f81b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17365d"/>
      <w:sz w:val="44"/>
      <w:szCs w:val="4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Callout" w:customStyle="1">
    <w:name w:val="Callout"/>
    <w:rPr>
      <w:rFonts w:ascii="Aptos" w:hAnsi="Aptos"/>
      <w:i w:val="1"/>
      <w:sz w:val="2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zEsGux027Vn/oMr7wBzFyYSg1Q==">CgMxLjAyDmguNWVzZ2ZqbWtwZnp2Mg1oLnYxN2FiZGQ5YnpoMg5oLjhuczhua3Y0b3lpazIOaC5yZWh3dWg0c3VyZ24yDmgueXZtZGR2eWEwdXppMg5oLmFtMm9qeHlpdWQ4bTgAciExLVhMOV9rUmZPbjhWVm5VaG9Dcy0tejdCWTNTeFhFMks=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