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766E"/>
          <w:sz w:val="19"/>
        </w:rPr>
        <w:t>DEPARTAMENTO DE PERSONAL — GESTIÓN OPERATIVA DE TURNOS</w:t>
      </w:r>
    </w:p>
    <w:p>
      <w:pPr>
        <w:spacing w:before="80" w:after="80"/>
      </w:pPr>
      <w:r>
        <w:rPr>
          <w:b/>
          <w:color w:val="115E59"/>
          <w:sz w:val="40"/>
        </w:rPr>
        <w:t>POLÍTICAS DE SEGURIDAD DE LA INFORMACIÓN Y PROTECCIÓN DE DATOS</w:t>
      </w:r>
    </w:p>
    <w:p>
      <w:pPr>
        <w:spacing w:after="240"/>
      </w:pPr>
      <w:r>
        <w:rPr>
          <w:color w:val="4B5563"/>
          <w:sz w:val="21"/>
        </w:rPr>
        <w:t>Estándares de confidencialidad, sanitización en repositorios Git/GitHub, custodia de secretos y cumplimiento normativo.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Código de Documento</w:t>
            </w:r>
          </w:p>
        </w:tc>
        <w:tc>
          <w:tcPr>
            <w:tcW w:type="dxa" w:w="1440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592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Vigencia</w:t>
            </w:r>
          </w:p>
        </w:tc>
        <w:tc>
          <w:tcPr>
            <w:tcW w:type="dxa" w:w="2880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Clasificación de Seguridad</w:t>
            </w:r>
          </w:p>
        </w:tc>
      </w:tr>
      <w:tr>
        <w:tc>
          <w:tcPr>
            <w:tcW w:type="dxa" w:w="2880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POL-SEG-TURNOS-2026-01</w:t>
            </w:r>
          </w:p>
        </w:tc>
        <w:tc>
          <w:tcPr>
            <w:tcW w:type="dxa" w:w="1440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1.0</w:t>
            </w:r>
          </w:p>
        </w:tc>
        <w:tc>
          <w:tcPr>
            <w:tcW w:type="dxa" w:w="2592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Septiembre 2026 - 2027</w:t>
            </w:r>
          </w:p>
        </w:tc>
        <w:tc>
          <w:tcPr>
            <w:tcW w:type="dxa" w:w="2880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Confidencial / Uso Institucional y Técnico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1. Objetivo y Alcance</w:t>
      </w:r>
    </w:p>
    <w:p>
      <w:pPr>
        <w:spacing w:after="100" w:line="269" w:lineRule="auto"/>
      </w:pPr>
      <w:r>
        <w:t>El presente documento formaliza las normas, directrices técnicas y salvaguardas obligatorias destinadas a asegurar la integridad, confidencialidad y disponibilidad de la información operada por el Sistema de Gestión de Turnos. Su cumplimiento es mandatorio para todo desarrollador, mantenedor, administrador del sistema y personal con acceso al código fuente o al entorno de despliegue.</w:t>
      </w:r>
    </w:p>
    <w:p>
      <w:pPr>
        <w:spacing w:after="100" w:line="269" w:lineRule="auto"/>
      </w:pPr>
      <w:r>
        <w:t>El alcance comprende el software cliente de escritorio, las planillas y bases de datos locales, el control de versiones en plataformas públicas o privadas (GitHub), los canales de notificación automatizados (SMTP/Gmail y Google Apps Script) y la cadena de suministros de software.</w:t>
      </w:r>
    </w:p>
    <w:p>
      <w:pPr>
        <w:pStyle w:val="Heading1"/>
        <w:spacing w:before="280" w:after="80"/>
      </w:pPr>
      <w:r>
        <w:t>2. Marco Legal y Cumplimiento Normativo</w:t>
      </w:r>
    </w:p>
    <w:p>
      <w:pPr>
        <w:spacing w:after="100" w:line="269" w:lineRule="auto"/>
      </w:pPr>
      <w:r>
        <w:t>Las directrices establecidas se alinean de manera irrestricta con el marco normativo chileno e internacional:</w:t>
      </w:r>
    </w:p>
    <w:p>
      <w:pPr>
        <w:pStyle w:val="ListBullet"/>
        <w:spacing w:after="60" w:before="0" w:line="259" w:lineRule="auto"/>
      </w:pPr>
      <w:r>
        <w:rPr>
          <w:b/>
        </w:rPr>
        <w:t>Ley N° 19.628 sobre Protección de la Vida Privada (Chile):</w:t>
      </w:r>
      <w:r>
        <w:t xml:space="preserve"> Regula el tratamiento automatizado de datos nominativos y sensibles en organismos públicos. Exige consentimiento expreso o habilitación legal, principio de finalidad y reserva estricta.</w:t>
      </w:r>
    </w:p>
    <w:p>
      <w:pPr>
        <w:pStyle w:val="ListBullet"/>
        <w:spacing w:after="60" w:before="0" w:line="259" w:lineRule="auto"/>
      </w:pPr>
      <w:r>
        <w:rPr>
          <w:b/>
        </w:rPr>
        <w:t>Ley N° 21.663 Marco de Ciberseguridad e Infraestructura Crítica:</w:t>
      </w:r>
      <w:r>
        <w:t xml:space="preserve"> Establece deberes de seguridad de la información, notificación de incidentes y aplicación de medidas preventivas en sistemas operativos de soporte institucional.</w:t>
      </w:r>
    </w:p>
    <w:p>
      <w:pPr>
        <w:pStyle w:val="ListBullet"/>
        <w:spacing w:after="60" w:before="0" w:line="259" w:lineRule="auto"/>
      </w:pPr>
      <w:r>
        <w:rPr>
          <w:b/>
        </w:rPr>
        <w:t>Principio de Proporcionalidad y Minimización:</w:t>
      </w:r>
      <w:r>
        <w:t xml:space="preserve"> Los sistemas deben procesar exclusivamente los datos mínimos necesarios para el cumplimiento de las funciones operativas de guardia.</w:t>
      </w:r>
    </w:p>
    <w:p>
      <w:pPr>
        <w:pStyle w:val="ListBullet"/>
        <w:spacing w:after="60" w:before="0" w:line="259" w:lineRule="auto"/>
      </w:pPr>
      <w:r>
        <w:rPr>
          <w:b/>
        </w:rPr>
        <w:t>Estándares OWASP Top 10:</w:t>
      </w:r>
      <w:r>
        <w:t xml:space="preserve"> Prevención de fugas de datos de configuración (A01: Broken Access Control, A02: Cryptographic Failures y A05: Security Misconfiguration).</w:t>
      </w:r>
    </w:p>
    <w:p>
      <w:pPr>
        <w:pStyle w:val="Heading1"/>
        <w:spacing w:before="280" w:after="80"/>
      </w:pPr>
      <w:r>
        <w:t>3. Clasificación de la Información y Niveles de Riesgo</w:t>
      </w:r>
    </w:p>
    <w:p>
      <w:pPr>
        <w:spacing w:after="100" w:line="269" w:lineRule="auto"/>
      </w:pPr>
      <w:r>
        <w:t>Para efectos de este proyecto, los activos de datos se categorizan en cuatro niveles: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312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Elementos Comprendidos</w:t>
            </w:r>
          </w:p>
        </w:tc>
        <w:tc>
          <w:tcPr>
            <w:tcW w:type="dxa" w:w="1440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Nivel de Riesgo</w:t>
            </w:r>
          </w:p>
        </w:tc>
        <w:tc>
          <w:tcPr>
            <w:tcW w:type="dxa" w:w="3024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Medida Obligatoria de Protección</w:t>
            </w:r>
          </w:p>
        </w:tc>
      </w:tr>
      <w:tr>
        <w:tc>
          <w:tcPr>
            <w:tcW w:type="dxa" w:w="2016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Datos Personales (PII)</w:t>
            </w:r>
          </w:p>
        </w:tc>
        <w:tc>
          <w:tcPr>
            <w:tcW w:type="dxa" w:w="3312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Nombres y apellidos, grados institucionales (COM, SBC, PRO), identificadores internos y asignaciones.</w:t>
            </w:r>
          </w:p>
        </w:tc>
        <w:tc>
          <w:tcPr>
            <w:tcW w:type="dxa" w:w="1440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Alto</w:t>
            </w:r>
          </w:p>
        </w:tc>
        <w:tc>
          <w:tcPr>
            <w:tcW w:type="dxa" w:w="3024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Prohibido almacenar en Git. En desarrollo/demos usar únicamente nombres ficticios ('Funcionario 1').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Datos de Contacto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Correos electrónicos institucionales (@institucion.cl), correos particulares, teléfonos móviles.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Crítico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Exclusión estricta de repositorios remotos. En plantillas emplear dominios de ejemplo ('usuario@ejemplo.com').</w:t>
            </w:r>
          </w:p>
        </w:tc>
      </w:tr>
      <w:tr>
        <w:tc>
          <w:tcPr>
            <w:tcW w:type="dxa" w:w="2016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Datos Médicos y Personales</w:t>
            </w:r>
          </w:p>
        </w:tc>
        <w:tc>
          <w:tcPr>
            <w:tcW w:type="dxa" w:w="3312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Motivos de licencias médicas (LIC), duelos familiares, reposos por accidentes o situaciones personales (OTR).</w:t>
            </w:r>
          </w:p>
        </w:tc>
        <w:tc>
          <w:tcPr>
            <w:tcW w:type="dxa" w:w="1440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Crítico</w:t>
            </w:r>
          </w:p>
        </w:tc>
        <w:tc>
          <w:tcPr>
            <w:tcW w:type="dxa" w:w="3024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Confidencialidad médica reforzada. Nunca incluir texto de motivos reales en ejemplos ni archivos de prueba.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Secretos y Credenciales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Contraseñas de Aplicación Google (16 caracteres), URLs de Webhooks Apps Script (/exec), parámetros SMTP.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Crítico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Custodia exclusiva en archivo local .env. Prohibido su commit o exposición en código fuente o capturas.</w:t>
            </w:r>
          </w:p>
        </w:tc>
      </w:tr>
      <w:tr>
        <w:tc>
          <w:tcPr>
            <w:tcW w:type="dxa" w:w="2016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Historial y Auditoría</w:t>
            </w:r>
          </w:p>
        </w:tc>
        <w:tc>
          <w:tcPr>
            <w:tcW w:type="dxa" w:w="3312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Historial de turnos asignados, bitácora auditoria[] y archivos de registro turnos.log.</w:t>
            </w:r>
          </w:p>
        </w:tc>
        <w:tc>
          <w:tcPr>
            <w:tcW w:type="dxa" w:w="1440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Medio / Alto</w:t>
            </w:r>
          </w:p>
        </w:tc>
        <w:tc>
          <w:tcPr>
            <w:tcW w:type="dxa" w:w="3024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Almacenamiento local restringido. Exclusión del control de versiones mediante .gitignore.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4. Política de Control de Versiones y Repositorio en GitHub</w:t>
      </w:r>
    </w:p>
    <w:p>
      <w:pPr>
        <w:spacing w:after="100" w:line="269" w:lineRule="auto"/>
      </w:pPr>
      <w:r>
        <w:t>El repositorio en GitHub debe mantenerse como un activo de software seguro, limpio y transferible, apto para escrutinio público o institucional sin riesgo de filtración de información reservada:</w:t>
      </w:r>
    </w:p>
    <w:p>
      <w:pPr>
        <w:pStyle w:val="ListBullet"/>
        <w:spacing w:after="60" w:before="0" w:line="259" w:lineRule="auto"/>
      </w:pPr>
      <w:r>
        <w:rPr>
          <w:b/>
        </w:rPr>
        <w:t>Principio de Configuración 'Solo la Idea':</w:t>
      </w:r>
      <w:r>
        <w:t xml:space="preserve"> El repositorio nunca versionará config.json ni respaldos reales. En su reemplazo, se mantiene config.example.json como plantilla canónica representativa del esquema v2.</w:t>
      </w:r>
    </w:p>
    <w:p>
      <w:pPr>
        <w:pStyle w:val="ListBullet"/>
        <w:spacing w:after="60" w:before="0" w:line="259" w:lineRule="auto"/>
      </w:pPr>
      <w:r>
        <w:rPr>
          <w:b/>
        </w:rPr>
        <w:t>Aislamiento de Entornos Locales:</w:t>
      </w:r>
      <w:r>
        <w:t xml:space="preserve"> Los archivos operativos reales (config.json, config.privado.json, .env y turnos.log) residen exclusivamente en el equipo de la estación de trabajo y están estrictamente ignorados por .gitignore.</w:t>
      </w:r>
    </w:p>
    <w:p>
      <w:pPr>
        <w:pStyle w:val="ListBullet"/>
        <w:spacing w:after="60" w:before="0" w:line="259" w:lineRule="auto"/>
      </w:pPr>
      <w:r>
        <w:rPr>
          <w:b/>
        </w:rPr>
        <w:t>Exclusión de Artefactos Compilados:</w:t>
      </w:r>
      <w:r>
        <w:t xml:space="preserve"> No se admiten ejecutables compilados (*.exe), cachés (__pycache__), ejecutables PyInstaller (build/, dist/) ni planillas Excel con datos reales en el árbol de Git.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B91C1C"/>
          <w:left w:val="single" w:sz="12" w:space="0" w:color="B91C1C"/>
          <w:bottom w:val="single" w:sz="12" w:space="0" w:color="B91C1C"/>
          <w:right w:val="single" w:sz="12" w:space="0" w:color="B91C1C"/>
          <w:insideH w:val="single" w:sz="12" w:space="0" w:color="B91C1C"/>
          <w:insideV w:val="single" w:sz="12" w:space="0" w:color="B91C1C"/>
        </w:tblBorders>
      </w:tblPr>
      <w:tblGrid>
        <w:gridCol w:w="9936"/>
      </w:tblGrid>
      <w:tr>
        <w:tc>
          <w:tcPr>
            <w:tcW w:type="dxa" w:w="9936"/>
            <w:shd w:fill="FEF2F2"/>
          </w:tcPr>
          <w:p>
            <w:pPr>
              <w:spacing w:before="80" w:after="40"/>
            </w:pPr>
            <w:r/>
            <w:r>
              <w:rPr>
                <w:rFonts w:ascii="Aptos" w:hAnsi="Aptos"/>
                <w:b/>
                <w:color w:val="B91C1C"/>
                <w:sz w:val="19"/>
              </w:rPr>
              <w:t>REGLA DE ORO DE SEGURIDAD EN GIT</w:t>
              <w:br/>
            </w:r>
            <w:r>
              <w:rPr>
                <w:rFonts w:ascii="Aptos" w:hAnsi="Aptos"/>
                <w:color w:val="1F2937"/>
                <w:sz w:val="17"/>
              </w:rPr>
              <w:t>Ningún commit debe contener información personal identificable (PII), secretos de autenticación o datos de dotación real. Si un archivo sensible se añade a Git por error, un commit posterior que lo elimine NO borra la información del historial de GitHub. Se requerirá un procedimiento de reescritura forense.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5. Gestión de Secretos, Credenciales y Comunicaciones</w:t>
      </w:r>
    </w:p>
    <w:p>
      <w:pPr>
        <w:spacing w:after="100" w:line="269" w:lineRule="auto"/>
      </w:pPr>
      <w:r>
        <w:t>El sistema implementa mecanismos de comunicación externa (notificaciones por correo SMTP y Webhook de Google Sheets/Drive). Dichos canales deben regirse por las siguientes directrices:</w:t>
      </w:r>
    </w:p>
    <w:p>
      <w:pPr>
        <w:pStyle w:val="ListBullet"/>
        <w:spacing w:after="60" w:before="0" w:line="259" w:lineRule="auto"/>
      </w:pPr>
      <w:r>
        <w:rPr>
          <w:b/>
        </w:rPr>
        <w:t>Prohibición de Contraseñas Maestras:</w:t>
      </w:r>
      <w:r>
        <w:t xml:space="preserve"> Queda terminantemente prohibido utilizar la contraseña principal de la cuenta de correo institucional o personal. Es obligatorio el uso de Contraseñas de Aplicación (App Passwords) de 16 caracteres de Google.</w:t>
      </w:r>
    </w:p>
    <w:p>
      <w:pPr>
        <w:pStyle w:val="ListBullet"/>
        <w:spacing w:after="60" w:before="0" w:line="259" w:lineRule="auto"/>
      </w:pPr>
      <w:r>
        <w:rPr>
          <w:b/>
        </w:rPr>
        <w:t>Cifrado de Canal (TLS 1.2+):</w:t>
      </w:r>
      <w:r>
        <w:t xml:space="preserve"> Todas las transmisiones SMTP deben forzarse mediante TLS en el puerto 587 (SMTP_USE_TLS=true). Las invocaciones de webhook deben viajar únicamente por HTTPS seguro (puerto 443).</w:t>
      </w:r>
    </w:p>
    <w:p>
      <w:pPr>
        <w:pStyle w:val="ListBullet"/>
        <w:spacing w:after="60" w:before="0" w:line="259" w:lineRule="auto"/>
      </w:pPr>
      <w:r>
        <w:rPr>
          <w:b/>
        </w:rPr>
        <w:t>Protección de la Privacidad de los Destinatarios (CCO/BCC):</w:t>
      </w:r>
      <w:r>
        <w:t xml:space="preserve"> En todo despacho de correos masivos a la dotación, las direcciones de destino deben ir en Copia Oculta (BCC) para evitar que terceros recopilen el directorio de funcionarios.</w:t>
      </w:r>
    </w:p>
    <w:p>
      <w:pPr>
        <w:pStyle w:val="ListBullet"/>
        <w:spacing w:after="60" w:before="0" w:line="259" w:lineRule="auto"/>
      </w:pPr>
      <w:r>
        <w:rPr>
          <w:b/>
        </w:rPr>
        <w:t>Resiliencia de Red y Fallo Seguro:</w:t>
      </w:r>
      <w:r>
        <w:t xml:space="preserve"> Antes de iniciar peticiones de red, el sistema realiza sondeos socket de baja latencia. Si no hay conectividad, la aplicación almacena los eventos en pending_notifications.json sin bloquear la interfaz de usuario.</w:t>
      </w:r>
    </w:p>
    <w:p>
      <w:pPr>
        <w:pStyle w:val="Heading1"/>
        <w:spacing w:before="280" w:after="80"/>
      </w:pPr>
      <w:r>
        <w:t>6. Política de Copias de Seguridad (Backups) y Almacenamiento Seguro</w:t>
      </w:r>
    </w:p>
    <w:p>
      <w:pPr>
        <w:spacing w:after="100" w:line="269" w:lineRule="auto"/>
      </w:pPr>
      <w:r>
        <w:t>La continuidad operativa y la prevención ante pérdida de datos se garantiza mediante los siguientes controles técnicos implementados en el núcleo del sistema:</w:t>
      </w:r>
    </w:p>
    <w:p>
      <w:pPr>
        <w:pStyle w:val="ListBullet"/>
        <w:spacing w:after="60" w:before="0" w:line="259" w:lineRule="auto"/>
      </w:pPr>
      <w:r>
        <w:rPr>
          <w:b/>
        </w:rPr>
        <w:t>Escritura Atómica en Disco:</w:t>
      </w:r>
      <w:r>
        <w:t xml:space="preserve"> Para evitar que un corte de suministro eléctrico o congelamiento corrompa la base de datos, el guardado de configuración escribe primero en un archivo temporal (config.json.tmp), fuerza la sincronización a disco físico mediante os.fsync() y realiza un reemplazo atómico mediante os.replace().</w:t>
      </w:r>
    </w:p>
    <w:p>
      <w:pPr>
        <w:pStyle w:val="ListBullet"/>
        <w:spacing w:after="60" w:before="0" w:line="259" w:lineRule="auto"/>
      </w:pPr>
      <w:r>
        <w:rPr>
          <w:b/>
        </w:rPr>
        <w:t>Detección y Aislamiento de Corrupción:</w:t>
      </w:r>
      <w:r>
        <w:t xml:space="preserve"> Si se detecta un archivo de configuración malformado o ilegible, el sistema lo aísla automáticamente renombrándolo a config.corrupted_TIMESTAMP.json y genera una estructura limpia para mantener el servicio activo.</w:t>
      </w:r>
    </w:p>
    <w:p>
      <w:pPr>
        <w:pStyle w:val="ListBullet"/>
        <w:spacing w:after="60" w:before="0" w:line="259" w:lineRule="auto"/>
      </w:pPr>
      <w:r>
        <w:rPr>
          <w:b/>
        </w:rPr>
        <w:t>Rotación Automática de Respaldos:</w:t>
      </w:r>
      <w:r>
        <w:t xml:space="preserve"> Cada operación de cierre mensual o guardado manual genera un respaldo fechado en la carpeta local backups/. Dicha carpeta está estrictamente excluida de Git.</w:t>
      </w:r>
    </w:p>
    <w:p>
      <w:pPr>
        <w:pStyle w:val="ListBullet"/>
        <w:spacing w:after="60" w:before="0" w:line="259" w:lineRule="auto"/>
      </w:pPr>
      <w:r>
        <w:rPr>
          <w:b/>
        </w:rPr>
        <w:t>Copia Privada de Seguridad Local:</w:t>
      </w:r>
      <w:r>
        <w:t xml:space="preserve"> El archivo config.privado.json se mantiene en el equipo como respaldo de contingencia de la dotación real, fuera del alcance de cualquier sincronización remota.</w:t>
      </w:r>
    </w:p>
    <w:p>
      <w:pPr>
        <w:pStyle w:val="Heading1"/>
        <w:spacing w:before="280" w:after="80"/>
      </w:pPr>
      <w:r>
        <w:t>7. Procedimiento de Respuesta ante Incidentes de Seguridad</w:t>
      </w:r>
    </w:p>
    <w:p>
      <w:pPr>
        <w:spacing w:after="100" w:line="269" w:lineRule="auto"/>
      </w:pPr>
      <w:r>
        <w:t>En caso de detectar la exposición inadvertida de credenciales, nombres reales o respaldos en un repositorio Git local o remoto en GitHub, se debe proceder de inmediato de acuerdo con las siguientes 3 fases: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888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 Inmediata</w:t>
            </w:r>
          </w:p>
        </w:tc>
        <w:tc>
          <w:tcPr>
            <w:tcW w:type="dxa" w:w="2016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160"/>
            <w:vAlign w:val="center"/>
            <w:shd w:fill="0F766E"/>
          </w:tcPr>
          <w:p>
            <w:pPr>
              <w:spacing w:after="40" w:before="4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Evidencia Generada</w:t>
            </w:r>
          </w:p>
        </w:tc>
      </w:tr>
      <w:tr>
        <w:tc>
          <w:tcPr>
            <w:tcW w:type="dxa" w:w="1728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Fase 1: Contención</w:t>
            </w:r>
          </w:p>
        </w:tc>
        <w:tc>
          <w:tcPr>
            <w:tcW w:type="dxa" w:w="3888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Revocar inmediatamente la Contraseña de Aplicación en Google Accounts (myaccount.google.com/apppasswords) y deshabilitar la implementación del Webhook en script.google.com.</w:t>
            </w:r>
          </w:p>
        </w:tc>
        <w:tc>
          <w:tcPr>
            <w:tcW w:type="dxa" w:w="2016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Oficial de Seguridad / Desarrollador</w:t>
            </w:r>
          </w:p>
        </w:tc>
        <w:tc>
          <w:tcPr>
            <w:tcW w:type="dxa" w:w="2160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Registro de revocación en panel de Google.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Fase 2: Purga Forense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Ejecutar git-filter-repo para reescribir el árbol de commits, eliminando permanentemente los archivos comprometidos (backups/, config.json antiguos, correos de autor internos). Forzar sincronización con git push --force --all.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Administrador Git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Historial Git verificado sin cadenas sensibles.</w:t>
            </w:r>
          </w:p>
        </w:tc>
      </w:tr>
      <w:tr>
        <w:tc>
          <w:tcPr>
            <w:tcW w:type="dxa" w:w="1728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Fase 3: Rotación y Cierre</w:t>
            </w:r>
          </w:p>
        </w:tc>
        <w:tc>
          <w:tcPr>
            <w:tcW w:type="dxa" w:w="3888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Generar nuevas credenciales SMTP y nueva URL de Webhook, actualizar el archivo local .env, registrar el incidente en la bitácora interna y notificar el cierre del evento.</w:t>
            </w:r>
          </w:p>
        </w:tc>
        <w:tc>
          <w:tcPr>
            <w:tcW w:type="dxa" w:w="2016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Jefatura de Turnos / Soporte</w:t>
            </w:r>
          </w:p>
        </w:tc>
        <w:tc>
          <w:tcPr>
            <w:tcW w:type="dxa" w:w="2160"/>
            <w:vAlign w:val="center"/>
            <w:shd w:fill="F0FDFA"/>
          </w:tcPr>
          <w:p>
            <w:pPr>
              <w:spacing w:after="40" w:before="4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Reporte de incidente cerrado y firmado.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8. Lista de Verificación (Checklist) para Desarrolladores y Administradores</w:t>
      </w:r>
    </w:p>
    <w:p>
      <w:pPr>
        <w:spacing w:after="100" w:line="269" w:lineRule="auto"/>
      </w:pPr>
      <w:r>
        <w:t>Antes de autorizar cualquier pull request, commit o despliegue en producción, se debe verificar el cumplimiento del 100% de los siguientes puntos:</w:t>
      </w:r>
    </w:p>
    <w:p>
      <w:pPr>
        <w:pStyle w:val="ListBullet"/>
        <w:spacing w:after="60" w:before="0" w:line="259" w:lineRule="auto"/>
      </w:pPr>
      <w:r>
        <w:t>[ ] ¿Se verificó con 'git status' que ningún archivo con PII real (config.json, backups/, *.xlsx reales) esté en el área de preparación (staged)?</w:t>
      </w:r>
    </w:p>
    <w:p>
      <w:pPr>
        <w:pStyle w:val="ListBullet"/>
        <w:spacing w:after="60" w:before="0" w:line="259" w:lineRule="auto"/>
      </w:pPr>
      <w:r>
        <w:t>[ ] ¿El archivo config.example.json contiene únicamente funcionarios ficticios ('Funcionario 1') y estructura limpia sin historial de fechas reales?</w:t>
      </w:r>
    </w:p>
    <w:p>
      <w:pPr>
        <w:pStyle w:val="ListBullet"/>
        <w:spacing w:after="60" w:before="0" w:line="259" w:lineRule="auto"/>
      </w:pPr>
      <w:r>
        <w:t>[ ] ¿El archivo .env.example no contiene contraseñas reales ni identificadores de scripts institucionales privados?</w:t>
      </w:r>
    </w:p>
    <w:p>
      <w:pPr>
        <w:pStyle w:val="ListBullet"/>
        <w:spacing w:after="60" w:before="0" w:line="259" w:lineRule="auto"/>
      </w:pPr>
      <w:r>
        <w:t>[ ] ¿Las pruebas unitarias (test suite) se ejecutan con datos sintéticos y finalizan con 100% de éxito?</w:t>
      </w:r>
    </w:p>
    <w:p>
      <w:pPr>
        <w:pStyle w:val="ListBullet"/>
        <w:spacing w:after="60" w:before="0" w:line="259" w:lineRule="auto"/>
      </w:pPr>
      <w:r>
        <w:t>[ ] ¿El archivo .gitignore contiene todas las exclusiones requeridas (.env, config.json, config.privado.json, backups/, *.log)?</w:t>
      </w:r>
    </w:p>
    <w:p>
      <w:pPr>
        <w:pStyle w:val="ListBullet"/>
        <w:spacing w:after="60" w:before="0" w:line="259" w:lineRule="auto"/>
      </w:pPr>
      <w:r>
        <w:t>[ ] ¿La documentación técnica y manuales de usuario utilizan capturas de pantalla con dotación de prueba anonimizada?</w:t>
      </w:r>
    </w:p>
    <w:p>
      <w:pPr>
        <w:spacing w:before="360"/>
      </w:pPr>
    </w:p>
    <w:p>
      <w:pPr>
        <w:jc w:val="center"/>
      </w:pPr>
      <w:r>
        <w:rPr>
          <w:b/>
          <w:color w:val="4B5563"/>
          <w:sz w:val="19"/>
        </w:rPr>
        <w:t>_____________________________________________</w:t>
        <w:br/>
        <w:t>DEPARTAMENTO DE PERSONAL</w:t>
        <w:br/>
        <w:t>SISTEMA DE GESTIÓN Y PLANIFICACIÓN DE TURNOS</w:t>
        <w:br/>
        <w:t>Aprobación Técnica y de Ciberseguridad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6B7280"/>
        <w:sz w:val="16"/>
      </w:rPr>
      <w:t>Confidencial / Políticas de Seguridad y Privacidad de la Información (POL-SEG-2026)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6"/>
      </w:rPr>
      <w:t>DEPARTAMENTO DE PERSONAL | SISTEMA DE GESTIÓN DE TURNOS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5E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D948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5E5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