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8580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"/>
        <w:gridCol w:w="637"/>
        <w:gridCol w:w="2875"/>
        <w:gridCol w:w="1263"/>
        <w:gridCol w:w="712"/>
        <w:gridCol w:w="638"/>
        <w:gridCol w:w="900"/>
        <w:gridCol w:w="1467"/>
      </w:tblGrid>
      <w:tr>
        <w:trPr>
          <w:trHeight w:val="1625" w:hRule="atLeast"/>
        </w:trPr>
        <w:tc>
          <w:tcPr>
            <w:tcW w:w="3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eastAsia="Liberation Serif;Times New Roman" w:cs="Liberation Serif;Times New Roman"/>
              </w:rPr>
            </w:pPr>
            <w:r>
              <w:rPr>
                <w:rFonts w:eastAsia="Liberation Serif;Times New Roman" w:cs="Liberation Serif;Times New Roman"/>
              </w:rPr>
              <w:t xml:space="preserve"> </w:t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Electrónica Integral</w:t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de Ing. Silvana O. Londero</w:t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Caseros 66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S.F.V.de Catamarca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-224790</wp:posOffset>
                      </wp:positionV>
                      <wp:extent cx="1000760" cy="208280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08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14"/>
                                      <w:kern w:val="2"/>
                                      <w:szCs w:val="14"/>
                                      <w:rFonts w:ascii="DejaVu Serif" w:hAnsi="DejaVu Serif" w:eastAsia="DejaVu Sans" w:cs="Noto Sans Devanagari"/>
                                      <w:color w:val="auto"/>
                                      <w:lang w:val="es-AR" w:eastAsia="zh-CN" w:bidi="hi-IN"/>
                                    </w:rPr>
                                    <w:t>Documento NO válido como Factura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roked="f" o:allowincell="t" style="position:absolute;margin-left:196.3pt;margin-top:-17.7pt;width:78.7pt;height:16.3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kern w:val="2"/>
                                <w:szCs w:val="14"/>
                                <w:rFonts w:ascii="DejaVu Serif" w:hAnsi="DejaVu Serif" w:eastAsia="DejaVu Sans" w:cs="Noto Sans Devanagari"/>
                                <w:color w:val="auto"/>
                                <w:lang w:val="es-AR" w:eastAsia="zh-CN" w:bidi="hi-IN"/>
                              </w:rPr>
                              <w:t>Documento NO válido como Factura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-964565</wp:posOffset>
                      </wp:positionV>
                      <wp:extent cx="358140" cy="405130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480" cy="40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  <w:kern w:val="2"/>
                                      <w:szCs w:val="24"/>
                                      <w:rFonts w:ascii="Liberation Serif;Times New Roman" w:hAnsi="Liberation Serif;Times New Roman" w:eastAsia="DejaVu Sans" w:cs="FreeSans"/>
                                      <w:color w:val="auto"/>
                                      <w:lang w:val="es-AR" w:eastAsia="zh-CN" w:bidi="hi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  <w:kern w:val="2"/>
                                      <w:szCs w:val="24"/>
                                      <w:rFonts w:ascii="Liberation Serif;Times New Roman" w:hAnsi="Liberation Serif;Times New Roman" w:eastAsia="DejaVu Sans" w:cs="FreeSans"/>
                                      <w:color w:val="auto"/>
                                      <w:lang w:val="es-AR" w:eastAsia="zh-CN" w:bidi="hi-I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kern w:val="2"/>
                                      <w:sz w:val="36"/>
                                      <w:b/>
                                      <w:szCs w:val="36"/>
                                      <w:bCs/>
                                      <w:rFonts w:ascii="Liberation Serif;Times New Roman" w:hAnsi="Liberation Serif;Times New Roman" w:eastAsia="DejaVu Sans" w:cs="FreeSans"/>
                                      <w:color w:val="auto"/>
                                      <w:lang w:val="es-AR" w:eastAsia="zh-CN" w:bidi="hi-IN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fillcolor="#e6e6e6" stroked="f" o:allowincell="t" style="position:absolute;margin-left:220.95pt;margin-top:-75.95pt;width:28.1pt;height:31.8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;Times New Roman" w:hAnsi="Liberation Serif;Times New Roman" w:eastAsia="DejaVu Sans" w:cs="FreeSans"/>
                                <w:color w:val="auto"/>
                                <w:lang w:val="es-AR" w:eastAsia="zh-CN" w:bidi="hi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;Times New Roman" w:hAnsi="Liberation Serif;Times New Roman" w:eastAsia="DejaVu Sans" w:cs="FreeSans"/>
                                <w:color w:val="auto"/>
                                <w:lang w:val="es-AR" w:eastAsia="zh-CN" w:bidi="hi-IN"/>
                              </w:rPr>
                              <w:t xml:space="preserve">   </w:t>
                            </w:r>
                            <w:r>
                              <w:rPr>
                                <w:kern w:val="2"/>
                                <w:sz w:val="36"/>
                                <w:b/>
                                <w:szCs w:val="36"/>
                                <w:bCs/>
                                <w:rFonts w:ascii="Liberation Serif;Times New Roman" w:hAnsi="Liberation Serif;Times New Roman" w:eastAsia="DejaVu Sans" w:cs="FreeSans"/>
                                <w:color w:val="auto"/>
                                <w:lang w:val="es-AR" w:eastAsia="zh-CN" w:bidi="hi-IN"/>
                              </w:rPr>
                              <w:t>X</w:t>
                            </w:r>
                          </w:p>
                        </w:txbxContent>
                      </v:textbox>
                      <v:fill o:detectmouseclick="t" type="solid" color2="#191919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PRESUPUESTO</w:t>
            </w:r>
          </w:p>
        </w:tc>
        <w:tc>
          <w:tcPr>
            <w:tcW w:w="30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eastAsia="Liberation Serif;Times New Roman" w:cs="Liberation Serif;Times New Roman"/>
              </w:rPr>
            </w:pPr>
            <w:r>
              <w:rPr>
                <w:rFonts w:eastAsia="Liberation Serif;Times New Roman" w:cs="Liberation Serif;Times New Roman"/>
              </w:rPr>
              <w:t xml:space="preserve">                    </w:t>
            </w:r>
          </w:p>
          <w:p>
            <w:pPr>
              <w:pStyle w:val="TableContents"/>
              <w:rPr/>
            </w:pPr>
            <w:r>
              <w:rPr>
                <w:rFonts w:eastAsia="Liberation Serif;Times New Roman" w:cs="Liberation Serif;Times New Roman"/>
              </w:rPr>
              <w:t xml:space="preserve">               </w:t>
            </w:r>
            <w:r>
              <w:rPr/>
              <w:t>N.º 0003 000</w:t>
            </w: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2116</w:t>
            </w:r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TableContents"/>
              <w:rPr>
                <w:rFonts w:eastAsia="Liberation Serif;Times New Roman" w:cs="Liberation Serif;Times New Roman"/>
              </w:rPr>
            </w:pPr>
            <w:r>
              <w:rPr>
                <w:rFonts w:eastAsia="Liberation Serif;Times New Roman" w:cs="Liberation Serif;Times New Roman"/>
              </w:rPr>
              <w:t xml:space="preserve">   </w:t>
            </w:r>
          </w:p>
          <w:p>
            <w:pPr>
              <w:pStyle w:val="TableContents"/>
              <w:rPr/>
            </w:pPr>
            <w:r>
              <w:rPr>
                <w:rFonts w:eastAsia="Liberation Serif;Times New Roman" w:cs="Liberation Serif;Times New Roman"/>
              </w:rPr>
              <w:t xml:space="preserve">                 </w:t>
            </w:r>
            <w:r>
              <w:rPr/>
              <w:t xml:space="preserve">Fecha </w:t>
            </w: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04</w:t>
            </w:r>
            <w:r>
              <w:rPr/>
              <w:t>/</w:t>
            </w: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11</w:t>
            </w:r>
            <w:r>
              <w:rPr/>
              <w:t>/2</w:t>
            </w: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1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 : 27-12241862-1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Ing.Brutos : 020644-10</w:t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Actividad:01/03/1992</w:t>
            </w:r>
          </w:p>
        </w:tc>
      </w:tr>
      <w:tr>
        <w:trPr/>
        <w:tc>
          <w:tcPr>
            <w:tcW w:w="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Señor(es): Playa de estacionamiento Terminal de Omnibus Catamarca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Domicilio:    </w:t>
            </w:r>
          </w:p>
        </w:tc>
      </w:tr>
      <w:tr>
        <w:trPr/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ITEM</w:t>
            </w:r>
          </w:p>
        </w:tc>
        <w:tc>
          <w:tcPr>
            <w:tcW w:w="4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DETALLE</w:t>
            </w:r>
          </w:p>
        </w:tc>
        <w:tc>
          <w:tcPr>
            <w:tcW w:w="1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Precio Unitario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Cant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TOTAL</w:t>
            </w:r>
          </w:p>
        </w:tc>
      </w:tr>
      <w:tr>
        <w:trPr>
          <w:trHeight w:val="5660" w:hRule="atLeast"/>
        </w:trPr>
        <w:tc>
          <w:tcPr>
            <w:tcW w:w="7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1</w:t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2</w:t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3</w:t>
            </w:r>
          </w:p>
          <w:p>
            <w:pPr>
              <w:pStyle w:val="TableContents"/>
              <w:jc w:val="center"/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</w:tc>
        <w:tc>
          <w:tcPr>
            <w:tcW w:w="41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 xml:space="preserve">Módulo de Entrada: 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bookmarkStart w:id="0" w:name="page56R_mcid20"/>
            <w:bookmarkStart w:id="1" w:name="page56R_mcid19"/>
            <w:bookmarkEnd w:id="0"/>
            <w:bookmarkEnd w:id="1"/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Control y puesta en funcionamiento de Barrera de entrada ya instalada.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 xml:space="preserve">Control , reparación y puesta en funcionamiento de estructura </w:t>
            </w:r>
            <w:r>
              <w:rPr>
                <w:rFonts w:eastAsia="DejaVu Sans" w:cs="Times New Roman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s-AR" w:eastAsia="zh-CN" w:bidi="hi-IN"/>
              </w:rPr>
              <w:t>puesto de ingreso</w:t>
            </w:r>
            <w:bookmarkStart w:id="2" w:name="page56R_mcid22"/>
            <w:bookmarkStart w:id="3" w:name="page56R_mcid21"/>
            <w:bookmarkEnd w:id="2"/>
            <w:bookmarkEnd w:id="3"/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 xml:space="preserve"> con su respectivo expendedor de tickets y elementos asociados.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Lector de código de barra para abonados y mensuales.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Detector de Presencia vehicular.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Semáforo vehicular de playa llena.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bookmarkStart w:id="4" w:name="page56R_mcid56"/>
            <w:bookmarkEnd w:id="4"/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br/>
              <w:t>Módulo de Salida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Control, reparación y puesta en funcionamiento de Barrera de salida ya instalada.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 xml:space="preserve">Control y puesta en funcionamiento de estructura puesto de </w:t>
            </w:r>
            <w:bookmarkStart w:id="5" w:name="page56R_mcid221"/>
            <w:bookmarkStart w:id="6" w:name="page56R_mcid211"/>
            <w:bookmarkEnd w:id="5"/>
            <w:bookmarkEnd w:id="6"/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salida con su respectivo lector de tickets y elementos asociados.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Lector de código de barra para abonados y mensuales.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Detector de Presencia vehicular.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Semáforo vehicular de aviso de salida de vehiculo.</w:t>
            </w:r>
          </w:p>
          <w:p>
            <w:pPr>
              <w:pStyle w:val="Normal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Módulo de control a traves de central de supervisión y administración.</w:t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Permite leer la entrada de abonados</w:t>
            </w:r>
          </w:p>
          <w:p>
            <w:pPr>
              <w:pStyle w:val="TableContents"/>
              <w:rPr/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y expende tikects si no son abonados/mensuales, controla la barrera de entrada ,lee tickets de salida con lector de código de barras y especifica el costo a abonar,controla la barrera de salida,</w:t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controla el semáforo de seguridad ,</w:t>
            </w:r>
          </w:p>
          <w:p>
            <w:pPr>
              <w:pStyle w:val="TableContents"/>
              <w:rPr/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>permite obtención de informe de presencia de  vehículos y caja de playa en diversos formatos.</w:t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  <w:p>
            <w:pPr>
              <w:pStyle w:val="TableContents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</w:tc>
        <w:tc>
          <w:tcPr>
            <w:tcW w:w="13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Times New Roman" w:hAnsi="Times New Roman" w:eastAsia="DejaVu Sans" w:cs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DejaVu Sans" w:cs="Times New Roman" w:ascii="Times New Roman" w:hAnsi="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eastAsia="Liberation Serif;Times New Roman" w:cs="Liberation Serif;Times New Roman"/>
              </w:rPr>
            </w:pPr>
            <w:r>
              <w:rPr>
                <w:rFonts w:eastAsia="Liberation Serif;Times New Roman" w:cs="Liberation Serif;Times New Roman"/>
              </w:rPr>
              <w:t xml:space="preserve">  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rFonts w:eastAsia="Liberation Serif;Times New Roman" w:cs="Liberation Serif;Times New Roman"/>
              </w:rPr>
            </w:pPr>
            <w:r>
              <w:rPr>
                <w:rFonts w:eastAsia="Liberation Serif;Times New Roman" w:cs="Liberation Serif;Times New Roman"/>
              </w:rPr>
              <w:t xml:space="preserve"> 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rFonts w:eastAsia="Liberation Serif;Times New Roman" w:cs="Liberation Serif;Times New Roman"/>
                <w:color w:val="auto"/>
                <w:kern w:val="2"/>
                <w:sz w:val="24"/>
                <w:szCs w:val="24"/>
                <w:lang w:val="es-AR" w:eastAsia="zh-CN" w:bidi="hi-IN"/>
              </w:rPr>
            </w:pPr>
            <w:r>
              <w:rPr>
                <w:rFonts w:eastAsia="Liberation Serif;Times New Roman" w:cs="Liberation Serif;Times New Roman"/>
                <w:color w:val="auto"/>
                <w:kern w:val="2"/>
                <w:sz w:val="24"/>
                <w:szCs w:val="24"/>
                <w:lang w:val="es-AR" w:eastAsia="zh-CN" w:bidi="hi-IN"/>
              </w:rPr>
              <w:t xml:space="preserve">   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Heading4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8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7025" w:type="dxa"/>
            <w:gridSpan w:val="6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TOTAL  </w:t>
            </w:r>
            <w:r>
              <w:rPr>
                <w:rFonts w:eastAsia="DejaVu Sans" w:cs="FreeSans"/>
                <w:b/>
                <w:color w:val="auto"/>
                <w:kern w:val="2"/>
                <w:sz w:val="24"/>
                <w:szCs w:val="24"/>
                <w:lang w:val="es-AR" w:eastAsia="zh-CN" w:bidi="hi-IN"/>
              </w:rPr>
              <w:t>Seis mil trescientos sesenta DÓLARES (precio oficial Banco Nación venta)</w:t>
            </w: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.-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U</w:t>
            </w:r>
            <w:r>
              <w:rPr/>
              <w:t>$</w:t>
            </w: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S</w:t>
            </w:r>
            <w:r>
              <w:rPr/>
              <w:t xml:space="preserve"> </w:t>
            </w:r>
            <w:r>
              <w:rPr>
                <w:rFonts w:eastAsia="DejaVu Sans" w:cs="FreeSans"/>
                <w:color w:val="auto"/>
                <w:kern w:val="2"/>
                <w:sz w:val="24"/>
                <w:szCs w:val="24"/>
                <w:lang w:val="es-AR" w:eastAsia="zh-CN" w:bidi="hi-IN"/>
              </w:rPr>
              <w:t>6360</w:t>
            </w:r>
          </w:p>
        </w:tc>
      </w:tr>
      <w:tr>
        <w:trPr/>
        <w:tc>
          <w:tcPr>
            <w:tcW w:w="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7025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DejaVu Sans" w:cs="FreeSans"/>
          <w:color w:val="auto"/>
          <w:kern w:val="2"/>
          <w:sz w:val="24"/>
          <w:szCs w:val="24"/>
          <w:lang w:val="es-AR" w:eastAsia="zh-CN" w:bidi="hi-IN"/>
        </w:rPr>
      </w:pPr>
      <w:r>
        <w:rPr>
          <w:rFonts w:eastAsia="DejaVu Sans" w:cs="FreeSans"/>
          <w:color w:val="auto"/>
          <w:kern w:val="2"/>
          <w:sz w:val="24"/>
          <w:szCs w:val="24"/>
          <w:lang w:val="es-AR" w:eastAsia="zh-CN" w:bidi="hi-IN"/>
        </w:rPr>
        <w:t>Los precios contienen IVA.</w:t>
      </w:r>
    </w:p>
    <w:p>
      <w:pPr>
        <w:pStyle w:val="Normal"/>
        <w:rPr/>
      </w:pPr>
      <w:r>
        <w:rPr>
          <w:rFonts w:eastAsia="DejaVu Sans" w:cs="FreeSans"/>
          <w:color w:val="auto"/>
          <w:kern w:val="2"/>
          <w:sz w:val="24"/>
          <w:szCs w:val="24"/>
          <w:lang w:val="es-AR" w:eastAsia="zh-CN" w:bidi="hi-IN"/>
        </w:rPr>
        <w:t>Los precios indicados se mantienen por un plazo de 14 días .-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Observaciones</w:t>
      </w:r>
    </w:p>
    <w:p>
      <w:pPr>
        <w:pStyle w:val="Normal"/>
        <w:rPr/>
      </w:pPr>
      <w:r>
        <w:rPr/>
        <w:t>El presupuesto contempla materiales y mano de obra.</w:t>
      </w:r>
    </w:p>
    <w:p>
      <w:pPr>
        <w:pStyle w:val="Normal"/>
        <w:rPr/>
      </w:pPr>
      <w:r>
        <w:rPr/>
        <w:t>En el presupuesto se contempla la recuperación de la mayor cantidad posible de materiales para así abaratar los costos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Instalación</w:t>
      </w:r>
    </w:p>
    <w:p>
      <w:pPr>
        <w:pStyle w:val="Normal"/>
        <w:rPr/>
      </w:pPr>
      <w:r>
        <w:rPr/>
        <w:t xml:space="preserve">La instalación se realizara en 3 etapas separadas </w:t>
      </w:r>
    </w:p>
    <w:p>
      <w:pPr>
        <w:pStyle w:val="Normal"/>
        <w:rPr/>
      </w:pPr>
      <w:r>
        <w:rPr/>
        <w:t>1) Etapa 1: Se colocara provisoriamente un control digital de las barreras en la casilla del playero, esto permitirá controlar la entrada y salida de vehículos .</w:t>
      </w:r>
    </w:p>
    <w:p>
      <w:pPr>
        <w:pStyle w:val="Normal"/>
        <w:rPr/>
      </w:pPr>
      <w:r>
        <w:rPr/>
        <w:t>2) Etapa 2: Se habilita el emisor de tickets de entrada y el semáforo seguridad de salida</w:t>
      </w:r>
    </w:p>
    <w:p>
      <w:pPr>
        <w:pStyle w:val="Normal"/>
        <w:rPr/>
      </w:pPr>
      <w:r>
        <w:rPr/>
        <w:t>3) Etapa 3: Se  instala el software de gestión, se capacita al personal tanto de playa como administrativo sobre su uso y se instala el semáforo de playa llena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Tiempo de instalación</w:t>
      </w:r>
    </w:p>
    <w:p>
      <w:pPr>
        <w:pStyle w:val="Normal"/>
        <w:rPr/>
      </w:pPr>
      <w:r>
        <w:rPr/>
        <w:t>Cada etapa luego de su pago inicial se instalará en un lapso máximo de 3 semanas; terminada esta etapa,  se  abona el saldo restante y se estima una semana más de puesta a punto.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 de pago</w:t>
      </w:r>
    </w:p>
    <w:p>
      <w:pPr>
        <w:pStyle w:val="Normal"/>
        <w:rPr/>
      </w:pPr>
      <w:r>
        <w:rPr/>
        <w:t>Cada etapa tiene un costo de U$S 2120, para comenzar la instalación de cada etapa se debe abonar el 50% del costo y 50% al finalizar la misma.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Garantía</w:t>
      </w:r>
    </w:p>
    <w:p>
      <w:pPr>
        <w:pStyle w:val="Normal"/>
        <w:rPr/>
      </w:pPr>
      <w:r>
        <w:rPr/>
        <w:t>Cuando se concluye la instalación de la tercera etapa se otorga un período de garantía de 6 meses corridos, esta garantía incluye, repuestos, mano de obra y ajustes del sistema que no sean provocados por un mal uso o negligencia de los usuarios o desperfectos eléctricos.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Mantenimiento</w:t>
      </w:r>
    </w:p>
    <w:p>
      <w:pPr>
        <w:pStyle w:val="Normal"/>
        <w:rPr/>
      </w:pPr>
      <w:r>
        <w:rPr/>
        <w:t>Cuando termina el período de garantía, se ofrecen dos paquetes de mantenimiento diferentes básico y full.</w:t>
      </w:r>
    </w:p>
    <w:p>
      <w:pPr>
        <w:pStyle w:val="Normal"/>
        <w:rPr/>
      </w:pPr>
      <w:r>
        <w:rPr/>
        <w:t xml:space="preserve">El paquete básico incluye por año mano de obra y ajustes del sistema que no sean provocados por un mal uso o negligencia de los usuarios o desperfectos eléctricos. Su costo es de </w:t>
      </w:r>
      <w:r>
        <w:rPr>
          <w:rFonts w:eastAsia="DejaVu Sans" w:cs="FreeSans"/>
          <w:color w:val="auto"/>
          <w:kern w:val="2"/>
          <w:sz w:val="24"/>
          <w:szCs w:val="24"/>
          <w:lang w:val="es-AR" w:eastAsia="zh-CN" w:bidi="hi-IN"/>
        </w:rPr>
        <w:t xml:space="preserve">U$S </w:t>
      </w:r>
      <w:r>
        <w:rPr/>
        <w:t>8</w:t>
      </w:r>
      <w:r>
        <w:rPr>
          <w:rFonts w:eastAsia="DejaVu Sans" w:cs="FreeSans"/>
          <w:color w:val="auto"/>
          <w:kern w:val="2"/>
          <w:sz w:val="24"/>
          <w:szCs w:val="24"/>
          <w:lang w:val="es-AR" w:eastAsia="zh-CN" w:bidi="hi-IN"/>
        </w:rPr>
        <w:t>70</w:t>
      </w:r>
      <w:r>
        <w:rPr/>
        <w:t xml:space="preserve"> anuales.-</w:t>
      </w:r>
    </w:p>
    <w:p>
      <w:pPr>
        <w:pStyle w:val="Normal"/>
        <w:rPr/>
      </w:pPr>
      <w:r>
        <w:rPr/>
        <w:t xml:space="preserve">El paquete full (mantenimiento integral) incluye el paquete básico además de todos los repuestos que sean necesarios reemplazar para mantener en funcionamiento pleno el sistema. Su costo es de </w:t>
      </w:r>
      <w:r>
        <w:rPr>
          <w:rFonts w:eastAsia="DejaVu Sans" w:cs="FreeSans"/>
          <w:color w:val="auto"/>
          <w:kern w:val="2"/>
          <w:sz w:val="24"/>
          <w:szCs w:val="24"/>
          <w:lang w:val="es-AR" w:eastAsia="zh-CN" w:bidi="hi-IN"/>
        </w:rPr>
        <w:t>U$S 113</w:t>
      </w:r>
      <w:r>
        <w:rPr/>
        <w:t>0 anuales.-</w:t>
      </w:r>
    </w:p>
    <w:p>
      <w:pPr>
        <w:pStyle w:val="Normal"/>
        <w:rPr/>
      </w:pPr>
      <w:r>
        <w:rPr/>
        <w:t xml:space="preserve">Se destaca </w:t>
      </w:r>
      <w:r>
        <w:rPr>
          <w:rFonts w:eastAsia="DejaVu Sans" w:cs="FreeSans"/>
          <w:color w:val="auto"/>
          <w:kern w:val="2"/>
          <w:sz w:val="24"/>
          <w:szCs w:val="24"/>
          <w:lang w:val="es-AR" w:eastAsia="zh-CN" w:bidi="hi-IN"/>
        </w:rPr>
        <w:t>es u</w:t>
      </w:r>
      <w:r>
        <w:rPr/>
        <w:t>n sistema desarrollado en Catamarca. Por lo cual no existe dependencia con sistemas desarrollados en otras jurisdicciones.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>Ing. Odile Lóndero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>
          <w:sz w:val="20"/>
          <w:szCs w:val="20"/>
        </w:rPr>
        <w:t>Electrónica Integral</w:t>
      </w:r>
    </w:p>
    <w:sectPr>
      <w:type w:val="nextPage"/>
      <w:pgSz w:w="11906" w:h="16838"/>
      <w:pgMar w:left="2160" w:right="1134" w:gutter="0" w:header="0" w:top="2880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DejaVu Sans" w:cs="FreeSans"/>
      <w:color w:val="auto"/>
      <w:kern w:val="2"/>
      <w:sz w:val="24"/>
      <w:szCs w:val="24"/>
      <w:lang w:val="es-AR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2018-05-10T00:44:54Z</dcterms:created>
  <dc:creator/>
  <dc:description/>
  <dc:language>en-US</dc:language>
  <cp:lastModifiedBy/>
  <dcterms:modified xsi:type="dcterms:W3CDTF">2021-11-05T00:16:43Z</dcterms:modified>
  <cp:revision>37</cp:revision>
  <dc:subject/>
  <dc:title/>
</cp:coreProperties>
</file>