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000000"/>
          <w:sz w:val="30"/>
          <w:szCs w:val="30"/>
        </w:rPr>
        <w:t xml:space="preserve">UNIVERSIDAD DE BELGRANO</w:t>
      </w:r>
    </w:p>
    <w:p>
      <w:pPr>
        <w:spacing w:after="120"/>
        <w:jc w:val="center"/>
      </w:pPr>
      <w:r>
        <w:rPr>
          <w:color w:val="404040"/>
          <w:sz w:val="22"/>
          <w:szCs w:val="22"/>
        </w:rPr>
        <w:t xml:space="preserve">Facultad de Ingeniería y Tecnología Informática</w:t>
      </w:r>
    </w:p>
    <w:p>
      <w:pPr>
        <w:spacing w:after="120"/>
        <w:jc w:val="center"/>
      </w:pPr>
      <w:r>
        <w:rPr>
          <w:color w:val="404040"/>
          <w:sz w:val="22"/>
          <w:szCs w:val="22"/>
        </w:rPr>
        <w:t xml:space="preserve">Licenciatura en Sistemas de Información</w:t>
      </w:r>
    </w:p>
    <w:p>
      <w:pPr>
        <w:pBdr>
          <w:bottom w:val="single" w:color="808080" w:sz="6" w:space="8"/>
        </w:pBdr>
        <w:spacing w:after="400" w:before="400"/>
        <w:jc w:val="center"/>
      </w:pPr>
    </w:p>
    <w:p>
      <w:pPr>
        <w:spacing w:after="120"/>
        <w:jc w:val="center"/>
      </w:pPr>
      <w:r>
        <w:rPr>
          <w:b/>
          <w:bCs/>
          <w:color w:val="404040"/>
          <w:sz w:val="26"/>
          <w:szCs w:val="26"/>
        </w:rPr>
        <w:t xml:space="preserve">TRABAJO FINAL DE CARRERA</w:t>
      </w:r>
    </w:p>
    <w:p>
      <w:pPr>
        <w:spacing w:after="200" w:before="200"/>
        <w:jc w:val="center"/>
      </w:pPr>
      <w:r>
        <w:rPr>
          <w:b/>
          <w:bCs/>
          <w:color w:val="000000"/>
          <w:sz w:val="34"/>
          <w:szCs w:val="34"/>
        </w:rPr>
        <w:t xml:space="preserve">Construcción del Modelo Léxico Extendido del Lenguaje mediante Inteligencia Artificial Generativa</w:t>
      </w:r>
    </w:p>
    <w:p>
      <w:pPr>
        <w:pBdr>
          <w:bottom w:val="single" w:color="808080" w:sz="6" w:space="8"/>
        </w:pBdr>
        <w:spacing w:after="500" w:before="200"/>
        <w:jc w:val="center"/>
      </w:pPr>
    </w:p>
    <w:p>
      <w:pPr>
        <w:spacing w:after="120"/>
        <w:jc w:val="center"/>
      </w:pPr>
      <w:r>
        <w:rPr>
          <w:b/>
          <w:bCs/>
          <w:sz w:val="24"/>
          <w:szCs w:val="24"/>
        </w:rPr>
        <w:t xml:space="preserve">Autor: Martín Romano</w:t>
      </w:r>
    </w:p>
    <w:p>
      <w:pPr>
        <w:spacing w:after="120"/>
        <w:jc w:val="center"/>
      </w:pPr>
      <w:r>
        <w:rPr>
          <w:sz w:val="24"/>
          <w:szCs w:val="24"/>
        </w:rPr>
        <w:t xml:space="preserve">Directora: Dra. Graciela D. S. Hadad</w:t>
      </w:r>
    </w:p>
    <w:p>
      <w:pPr>
        <w:spacing w:before="800"/>
        <w:jc w:val="center"/>
      </w:pPr>
      <w:r>
        <w:rPr>
          <w:color w:val="404040"/>
          <w:sz w:val="22"/>
          <w:szCs w:val="22"/>
        </w:rPr>
        <w:t xml:space="preserve">Buenos Aires, Argentina — 2026</w:t>
      </w:r>
    </w:p>
    <w:p>
      <w:pPr>
        <w:pStyle w:val="Heading1"/>
        <w:pageBreakBefore/>
      </w:pPr>
      <w:r>
        <w:t xml:space="preserve">Resumen</w:t>
      </w:r>
    </w:p>
    <w:p>
      <w:pPr>
        <w:spacing w:after="160" w:line="276"/>
        <w:jc w:val="both"/>
      </w:pPr>
      <w:r>
        <w:t xml:space="preserve">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pPr>
        <w:spacing w:after="160" w:line="276"/>
        <w:jc w:val="both"/>
      </w:pPr>
      <w: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Pr>
          <w:i/>
          <w:iCs/>
        </w:rPr>
        <w:t xml:space="preserve">Gold Standard</w:t>
      </w:r>
      <w:r>
        <w:t xml:space="preserve"> de referencia —un LEL construido manualmente que actúa como patrón de comparación— y se diseña la contrastación con tres enfoques: dos líneas base (</w:t>
      </w:r>
      <w:r>
        <w:rPr>
          <w:i/>
          <w:iCs/>
        </w:rPr>
        <w:t xml:space="preserve">baselines</w:t>
      </w:r>
      <w:r>
        <w:t xml:space="preserve">)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roles de distintos usuarios fueron interpretados por un experto de dicha organización, y se lo complementa con varios dominios adicionales para evaluar la generalidad del enfoque. El trabajo se apoya, además, en una línea de trabajo previa de la Universidad de Belgrano que empleó PLN para construir un bosquejo del LEL.</w:t>
      </w:r>
    </w:p>
    <w:p>
      <w:pPr>
        <w:spacing w:after="160" w:line="276"/>
        <w:jc w:val="both"/>
      </w:pPr>
      <w:r>
        <w:t xml:space="preserve">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pPr>
        <w:spacing w:before="120"/>
      </w:pPr>
      <w:r>
        <w:rPr>
          <w:b/>
          <w:bCs/>
        </w:rPr>
        <w:t xml:space="preserve">Palabras clave: </w:t>
      </w:r>
      <w:r>
        <w:t xml:space="preserve">Ingeniería de Requisitos, Léxico Extendido del Lenguaje, Inteligencia Artificial Generativa, Grandes Modelos de Lenguaje, Procesamiento de Lenguaje Natural, Elicitación.</w:t>
      </w:r>
    </w:p>
    <w:p>
      <w:pPr>
        <w:pStyle w:val="Heading1"/>
        <w:pageBreakBefore/>
      </w:pPr>
      <w:r>
        <w:t xml:space="preserve">Abstract</w:t>
      </w:r>
    </w:p>
    <w:p>
      <w:pPr>
        <w:spacing w:after="160" w:line="276"/>
        <w:jc w:val="both"/>
      </w:pPr>
      <w:r>
        <w:t xml:space="preserve">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pPr>
        <w:spacing w:after="160" w:line="276"/>
        <w:jc w:val="both"/>
      </w:pPr>
      <w:r>
        <w:t xml:space="preserve">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pPr>
        <w:spacing w:before="120"/>
      </w:pPr>
      <w:r>
        <w:rPr>
          <w:b/>
          <w:bCs/>
        </w:rPr>
        <w:t xml:space="preserve">Keywords: </w:t>
      </w:r>
      <w:r>
        <w:t xml:space="preserve">Requirements Engineering, Language Extended Lexicon, Generative AI, Large Language Models, Natural Language Processing, Elicitation.</w:t>
      </w:r>
    </w:p>
    <w:p>
      <w:pPr>
        <w:pStyle w:val="Heading1"/>
        <w:pageBreakBefore/>
      </w:pPr>
      <w:r>
        <w:t xml:space="preserve">Índice</w:t>
      </w:r>
    </w:p>
    <w:p>
      <w:pPr>
        <w:tabs>
          <w:tab w:val="right" w:pos="9000" w:leader="dot"/>
        </w:tabs>
        <w:spacing w:after="60" w:line="240"/>
        <w:ind w:left="0"/>
      </w:pPr>
      <w:r>
        <w:rPr>
          <w:rFonts w:ascii="Times New Roman" w:cs="Times New Roman" w:eastAsia="Times New Roman" w:hAnsi="Times New Roman"/>
          <w:b/>
          <w:bCs/>
          <w:sz w:val="21"/>
          <w:szCs w:val="21"/>
        </w:rPr>
        <w:t xml:space="preserve">Resumen	2</w:t>
      </w:r>
    </w:p>
    <w:p>
      <w:pPr>
        <w:tabs>
          <w:tab w:val="right" w:pos="9000" w:leader="dot"/>
        </w:tabs>
        <w:spacing w:after="60" w:line="240"/>
        <w:ind w:left="0"/>
      </w:pPr>
      <w:r>
        <w:rPr>
          <w:rFonts w:ascii="Times New Roman" w:cs="Times New Roman" w:eastAsia="Times New Roman" w:hAnsi="Times New Roman"/>
          <w:b/>
          <w:bCs/>
          <w:sz w:val="21"/>
          <w:szCs w:val="21"/>
        </w:rPr>
        <w:t xml:space="preserve">Abstract	3</w:t>
      </w:r>
    </w:p>
    <w:p>
      <w:pPr>
        <w:tabs>
          <w:tab w:val="right" w:pos="9000" w:leader="dot"/>
        </w:tabs>
        <w:spacing w:after="60" w:line="240"/>
        <w:ind w:left="0"/>
      </w:pPr>
      <w:r>
        <w:rPr>
          <w:rFonts w:ascii="Times New Roman" w:cs="Times New Roman" w:eastAsia="Times New Roman" w:hAnsi="Times New Roman"/>
          <w:b/>
          <w:bCs/>
          <w:sz w:val="21"/>
          <w:szCs w:val="21"/>
        </w:rPr>
        <w:t xml:space="preserve">Capítulo 1 — Introducción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1.1 Contexto y motivación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1.2 Planteo del problema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1.3 Antecedentes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1.4 Preguntas de investigación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1.5 Objetivos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1.6 Hipótesis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1.7 Alcance y limitaciones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1.8 Aportes esperados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1.9 Organización del trabajo	10</w:t>
      </w:r>
    </w:p>
    <w:p>
      <w:pPr>
        <w:tabs>
          <w:tab w:val="right" w:pos="9000" w:leader="dot"/>
        </w:tabs>
        <w:spacing w:after="60" w:line="240"/>
        <w:ind w:left="0"/>
      </w:pPr>
      <w:r>
        <w:rPr>
          <w:rFonts w:ascii="Times New Roman" w:cs="Times New Roman" w:eastAsia="Times New Roman" w:hAnsi="Times New Roman"/>
          <w:b/>
          <w:bCs/>
          <w:sz w:val="21"/>
          <w:szCs w:val="21"/>
        </w:rPr>
        <w:t xml:space="preserve">Capítulo 2 — Marco Teórico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 La Ingeniería de Requisitos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2.2 La estrategia de IR orientada al cliente	12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2.3 Universo de Discurso, fuentes de información y Elicitación	13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2.4 El Modelo Léxico Extendido del Lenguaje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2.4.1 Estructura de un símbolo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2.4.2 Tipos de símbolo	15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2.4.3 Principios: circularidad y vocabulario mínimo	16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2.4.4 Reglas para seleccionar símbolos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2.5 Proceso de construcción del LEL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2.6 Escenarios	17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2.7 Verificación y Validación	17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2.8 Gestión de Requisitos y trazabilidad	18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2.9 Inteligencia Artificial Generativa y Grandes Modelos de Lenguaje	18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2.9.1 La arquitectura Transformer	18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2.9.2 Pre-entrenamiento, ajuste fino y técnicas de prompting	19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2.9.3 Capacidades y limitaciones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2.10 Procesamiento de Lenguaje Natural tradicional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2.11 Síntesis: por qué IA Generativa para construir el LEL	21</w:t>
      </w:r>
    </w:p>
    <w:p>
      <w:pPr>
        <w:tabs>
          <w:tab w:val="right" w:pos="9000" w:leader="dot"/>
        </w:tabs>
        <w:spacing w:after="60" w:line="240"/>
        <w:ind w:left="0"/>
      </w:pPr>
      <w:r>
        <w:rPr>
          <w:rFonts w:ascii="Times New Roman" w:cs="Times New Roman" w:eastAsia="Times New Roman" w:hAnsi="Times New Roman"/>
          <w:b/>
          <w:bCs/>
          <w:sz w:val="21"/>
          <w:szCs w:val="21"/>
        </w:rPr>
        <w:t xml:space="preserve">Capítulo 3 — Estado del Arte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3.1 Alcance y criterio de la revisión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3.2 Automatización de la elicitación y el modelado en IR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3.3 Construcción (semi)automática de glosarios y del LEL con PLN tradicional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3.4 Grandes Modelos de Lenguaje aplicados a la IR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3.5 Entrevistas de elicitación asistidas por LLM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3.6 Síntesis comparativa	24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3.7 Brecha identificada y posicionamiento	24</w:t>
      </w:r>
    </w:p>
    <w:p>
      <w:pPr>
        <w:tabs>
          <w:tab w:val="right" w:pos="9000" w:leader="dot"/>
        </w:tabs>
        <w:spacing w:after="60" w:line="240"/>
        <w:ind w:left="0"/>
      </w:pPr>
      <w:r>
        <w:rPr>
          <w:rFonts w:ascii="Times New Roman" w:cs="Times New Roman" w:eastAsia="Times New Roman" w:hAnsi="Times New Roman"/>
          <w:b/>
          <w:bCs/>
          <w:sz w:val="21"/>
          <w:szCs w:val="21"/>
        </w:rPr>
        <w:t xml:space="preserve">Capítulo 4 — Metodología y Diseño Experimental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 Encuadre metodológico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4.2 Preguntas de investigación e hipótesis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4.3 Variables del experimento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4.4 Objeto de estudio: el caso ecoFactory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4.5 Corpus de entrada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4.6 Gold Standard de referencia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4.7 Tratamientos comparados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4.8 Procedimiento experimental	28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4.9 Métricas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4.10 Protocolo de emparejamiento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4.11 Análisis cualitativo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4.12 Amenazas a la validez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4.13 Reproducibilidad	30</w:t>
      </w:r>
    </w:p>
    <w:p>
      <w:pPr>
        <w:tabs>
          <w:tab w:val="right" w:pos="9000" w:leader="dot"/>
        </w:tabs>
        <w:spacing w:after="60" w:line="240"/>
        <w:ind w:left="0"/>
      </w:pPr>
      <w:r>
        <w:rPr>
          <w:rFonts w:ascii="Times New Roman" w:cs="Times New Roman" w:eastAsia="Times New Roman" w:hAnsi="Times New Roman"/>
          <w:b/>
          <w:bCs/>
          <w:sz w:val="21"/>
          <w:szCs w:val="21"/>
        </w:rPr>
        <w:t xml:space="preserve">Capítulo 5 — Aplicación del Prototipo al Caso de Estudio ecoFactory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5.1 Presentación del caso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5.2 Actores del dominio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5.3 El circuito del pedido	32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5.4 La elicitación: las entrevistas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5.5 Construcción del LEL de referencia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5.6 El Gold Standard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5.7 El GS-Corpus y la brecha de recuperabilidad	34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5.8 Hallazgos del caso	35</w:t>
      </w:r>
    </w:p>
    <w:p>
      <w:pPr>
        <w:tabs>
          <w:tab w:val="right" w:pos="9000" w:leader="dot"/>
        </w:tabs>
        <w:spacing w:after="60" w:line="240"/>
        <w:ind w:left="0"/>
      </w:pPr>
      <w:r>
        <w:rPr>
          <w:rFonts w:ascii="Times New Roman" w:cs="Times New Roman" w:eastAsia="Times New Roman" w:hAnsi="Times New Roman"/>
          <w:b/>
          <w:bCs/>
          <w:sz w:val="21"/>
          <w:szCs w:val="21"/>
        </w:rPr>
        <w:t xml:space="preserve">Capítulo 6 — Diseño e Implementación del Prototipo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 Visión general de la arquitectura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6.2 Estructura del proyecto y decisiones tecnológicas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6.3 Representación del LEL: el esquema de datos	37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6.4 El pipeline basado en LLM	37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6.4.1 Extracción de símbolos	37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6.4.2 Clasificación por tipo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6.4.3 Descripción de noción e impacto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6.4.4 Auto-verificación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6.4.5 Orquestación y configuraciones experimentales	39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6.5 Abstracción de proveedor de LLM	39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6.6 Baselines de PLN tradicional	39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6.6.1 Baseline de frecuencia / Pareto	40</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6.6.2 Baseline con spaCy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6.7 El motor de evaluación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6.8 Reproducibilidad y ejecución	41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6.9 Comparación y justificación de las tecnologías	42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6.10 Obtención del corpus: transcripción de entrevistas asistida por IA	43</w:t>
      </w:r>
    </w:p>
    <w:p>
      <w:pPr>
        <w:tabs>
          <w:tab w:val="right" w:pos="9000" w:leader="dot"/>
        </w:tabs>
        <w:spacing w:after="60" w:line="240"/>
        <w:ind w:left="0"/>
      </w:pPr>
      <w:r>
        <w:rPr>
          <w:rFonts w:ascii="Times New Roman" w:cs="Times New Roman" w:eastAsia="Times New Roman" w:hAnsi="Times New Roman"/>
          <w:b/>
          <w:bCs/>
          <w:sz w:val="21"/>
          <w:szCs w:val="21"/>
        </w:rPr>
        <w:t xml:space="preserve">Capítulo 7 — Experimentación y Resultados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7.1 Entorno experimental y alcance de la ejecución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7.2 Datos de las entrevistas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7.3 Resultados del baseline de frecuencia (C1a)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7.4 Resultados del pipeline LLM	45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7.4.1 Corrida de referencia	45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7.4.2 Resultados	45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7.4.3 Comparación con el PLN tradicional	46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7.4.4 Ejemplos del LEL generado	47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7.5 Síntesis de resultados obtenidos	47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7.6 Caso de muestreo: robustez en un dominio nuevo	48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7.7 Evidencia de ejecución del prototipo	49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7.8 Evaluación en múltiples dominios de muestreo	49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7.9 Estado de las corridas pendientes: C1b y la réplica ciega	51</w:t>
      </w:r>
    </w:p>
    <w:p>
      <w:pPr>
        <w:tabs>
          <w:tab w:val="right" w:pos="9000" w:leader="dot"/>
        </w:tabs>
        <w:spacing w:after="60" w:line="240"/>
        <w:ind w:left="0"/>
      </w:pPr>
      <w:r>
        <w:rPr>
          <w:rFonts w:ascii="Times New Roman" w:cs="Times New Roman" w:eastAsia="Times New Roman" w:hAnsi="Times New Roman"/>
          <w:b/>
          <w:bCs/>
          <w:sz w:val="21"/>
          <w:szCs w:val="21"/>
        </w:rPr>
        <w:t xml:space="preserve">Capítulo 8 — Discusión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8.1 El piso del PLN y la oportunidad del enfoque generativo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8.2 Tres capacidades distintas: identificar, clasificar, describir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8.3 El caso del «Remito»: ¿error o señal?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8.4 La contradicción de la Facturación	53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8.5 El rol de la revisión humana	53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8.6 Sobre la validez de los resultados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8.7 Un experimento aparte: entrevistas simuladas para ecoFactory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8.8 Lecciones aprendidas	55</w:t>
      </w:r>
    </w:p>
    <w:p>
      <w:pPr>
        <w:tabs>
          <w:tab w:val="right" w:pos="9000" w:leader="dot"/>
        </w:tabs>
        <w:spacing w:after="60" w:line="240"/>
        <w:ind w:left="0"/>
      </w:pPr>
      <w:r>
        <w:rPr>
          <w:rFonts w:ascii="Times New Roman" w:cs="Times New Roman" w:eastAsia="Times New Roman" w:hAnsi="Times New Roman"/>
          <w:b/>
          <w:bCs/>
          <w:sz w:val="21"/>
          <w:szCs w:val="21"/>
        </w:rPr>
        <w:t xml:space="preserve">Capítulo 9 — Conclusiones y Trabajos Futuros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9.1 Conclusiones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9.2 Contribuciones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9.3 Limitaciones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9.4 Trabajos futuros	57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9.5 Reflexión final	57</w:t>
      </w:r>
    </w:p>
    <w:p>
      <w:pPr>
        <w:tabs>
          <w:tab w:val="right" w:pos="9000" w:leader="dot"/>
        </w:tabs>
        <w:spacing w:after="60" w:line="240"/>
        <w:ind w:left="0"/>
      </w:pPr>
      <w:r>
        <w:rPr>
          <w:rFonts w:ascii="Times New Roman" w:cs="Times New Roman" w:eastAsia="Times New Roman" w:hAnsi="Times New Roman"/>
          <w:b/>
          <w:bCs/>
          <w:sz w:val="21"/>
          <w:szCs w:val="21"/>
        </w:rPr>
        <w:t xml:space="preserve">Bibliografía	58</w:t>
      </w:r>
    </w:p>
    <w:p>
      <w:pPr>
        <w:tabs>
          <w:tab w:val="right" w:pos="9000" w:leader="dot"/>
        </w:tabs>
        <w:spacing w:after="60" w:line="240"/>
        <w:ind w:left="0"/>
      </w:pPr>
      <w:r>
        <w:rPr>
          <w:rFonts w:ascii="Times New Roman" w:cs="Times New Roman" w:eastAsia="Times New Roman" w:hAnsi="Times New Roman"/>
          <w:b/>
          <w:bCs/>
          <w:sz w:val="21"/>
          <w:szCs w:val="21"/>
        </w:rPr>
        <w:t xml:space="preserve">Anexo A — Prompts del pipeline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A.1 Extracción de candidatos (01_extraccion.txt)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A.2 Clasificación por tipo (02_clasificacion.txt)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A.3 Descripción de noción e impacto (03_descripcion.txt)	62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A.4 Auto-verificación (04_verificacion.txt)	62</w:t>
      </w:r>
    </w:p>
    <w:p>
      <w:pPr>
        <w:tabs>
          <w:tab w:val="right" w:pos="9000" w:leader="dot"/>
        </w:tabs>
        <w:spacing w:after="60" w:line="240"/>
        <w:ind w:left="0"/>
      </w:pPr>
      <w:r>
        <w:rPr>
          <w:rFonts w:ascii="Times New Roman" w:cs="Times New Roman" w:eastAsia="Times New Roman" w:hAnsi="Times New Roman"/>
          <w:b/>
          <w:bCs/>
          <w:sz w:val="21"/>
          <w:szCs w:val="21"/>
        </w:rPr>
        <w:t xml:space="preserve">Anexo B — Referencia de módulos del código	64</w:t>
      </w:r>
    </w:p>
    <w:p>
      <w:pPr>
        <w:tabs>
          <w:tab w:val="right" w:pos="9000" w:leader="dot"/>
        </w:tabs>
        <w:spacing w:after="60" w:line="240"/>
        <w:ind w:left="0"/>
      </w:pPr>
      <w:r>
        <w:rPr>
          <w:rFonts w:ascii="Times New Roman" w:cs="Times New Roman" w:eastAsia="Times New Roman" w:hAnsi="Times New Roman"/>
          <w:b/>
          <w:bCs/>
          <w:sz w:val="21"/>
          <w:szCs w:val="21"/>
        </w:rPr>
        <w:t xml:space="preserve">Anexo C — LEL completo producido (corrida de referencia, corpus real)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C.1 Símbolos de tipo Sujeto (8)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C.2 Símbolos de tipo Objeto (8)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C.3 Símbolos de tipo Verbo (3)	66</w:t>
      </w:r>
    </w:p>
    <w:p>
      <w:pPr>
        <w:sectPr>
          <w:pgSz w:w="12240" w:h="15840" w:orient="portrait"/>
          <w:pgMar w:top="1440" w:right="1440" w:bottom="1440" w:left="1440" w:header="708" w:footer="708" w:gutter="0"/>
          <w:pgNumType/>
          <w:docGrid w:linePitch="360"/>
        </w:sectPr>
      </w:pPr>
    </w:p>
    <w:p>
      <w:pPr>
        <w:pStyle w:val="Heading1"/>
        <w:keepNext/>
        <w:pageBreakBefore/>
        <w:spacing w:after="200" w:before="420"/>
      </w:pPr>
      <w:r>
        <w:t xml:space="preserve">Capítulo 1 — Introducción</w:t>
      </w:r>
    </w:p>
    <w:p>
      <w:pPr>
        <w:spacing w:after="160" w:line="276"/>
        <w:jc w:val="both"/>
      </w:pPr>
      <w:r>
        <w:t xml:space="preserve">Este capítulo introduce el problema que motiva el presente trabajo, sus antecedentes, las preguntas de investigación que la guían, sus objetivos e hipótesis, su alcance y sus aportes esperados, y describe la organización del resto del documento.</w:t>
      </w:r>
    </w:p>
    <w:p>
      <w:pPr>
        <w:pStyle w:val="Heading2"/>
        <w:keepNext/>
      </w:pPr>
      <w:r>
        <w:t xml:space="preserve">1.1 Contexto y motivación</w:t>
      </w:r>
    </w:p>
    <w:p>
      <w:pPr>
        <w:spacing w:after="160" w:line="276"/>
        <w:jc w:val="both"/>
      </w:pPr>
      <w:r>
        <w:t xml:space="preserve">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pPr>
        <w:spacing w:after="160" w:line="276"/>
        <w:jc w:val="both"/>
      </w:pPr>
      <w:r>
        <w:t xml:space="preserve">El LEL es un glosario extendido que captura el significado de los términos propios del dominio tal como los usan los clientes y usuarios, describiendo cada símbolo mediante su </w:t>
      </w:r>
      <w:r>
        <w:rPr>
          <w:i/>
          <w:iCs/>
        </w:rPr>
        <w:t xml:space="preserve">noción</w:t>
      </w:r>
      <w:r>
        <w:t xml:space="preserve"> (qué es) y su </w:t>
      </w:r>
      <w:r>
        <w:rPr>
          <w:i/>
          <w:iCs/>
        </w:rPr>
        <w:t xml:space="preserve">impacto</w:t>
      </w:r>
      <w: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Pr>
          <w:i/>
          <w:iCs/>
        </w:rPr>
        <w:t xml:space="preserve">laboriosa</w:t>
      </w:r>
      <w:r>
        <w:t xml:space="preserve">: demanda tiempo experto y es propensa a omitir símbolos, a clasificarlos incorrectamente o a describirlos de manera incompleta.</w:t>
      </w:r>
    </w:p>
    <w:p>
      <w:pPr>
        <w:spacing w:after="160" w:line="276"/>
        <w:jc w:val="both"/>
      </w:pPr>
      <w:r>
        <w:t xml:space="preserve">En paralelo, la </w:t>
      </w:r>
      <w:r>
        <w:rPr>
          <w:i/>
          <w:iCs/>
        </w:rPr>
        <w:t xml:space="preserve">Inteligencia Artificial (IA) Generativa</w:t>
      </w:r>
      <w: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pPr>
        <w:spacing w:after="160" w:line="276"/>
        <w:jc w:val="both"/>
      </w:pPr>
      <w:r>
        <w:t xml:space="preserve">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pPr>
        <w:spacing w:after="60" w:before="16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color w:val="333333"/>
          <w:sz w:val="19"/>
          <w:szCs w:val="19"/>
        </w:rPr>
        <w:t xml:space="preserve">Fig. 1.1. Costo relativo de corregir un defecto según la etapa del ciclo de vida en que se detecta (valores ilustrativos de la literatura [3]).</w:t>
      </w:r>
    </w:p>
    <w:p>
      <w:pPr>
        <w:spacing w:after="120"/>
      </w:pPr>
    </w:p>
    <w:p>
      <w:pPr>
        <w:spacing w:after="160" w:line="276"/>
        <w:jc w:val="both"/>
      </w:pPr>
      <w:r>
        <w:t xml:space="preserve">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pPr>
        <w:pStyle w:val="Heading2"/>
        <w:keepNext/>
      </w:pPr>
      <w:r>
        <w:t xml:space="preserve">1.2 Planteo del problema</w:t>
      </w:r>
    </w:p>
    <w:p>
      <w:pPr>
        <w:spacing w:after="160" w:line="276"/>
        <w:jc w:val="both"/>
      </w:pPr>
      <w:r>
        <w:t xml:space="preserve">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pPr>
        <w:spacing w:after="160" w:line="276"/>
        <w:jc w:val="both"/>
      </w:pPr>
      <w:r>
        <w:t xml:space="preserve">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pPr>
        <w:pStyle w:val="Heading2"/>
        <w:keepNext/>
      </w:pPr>
      <w:r>
        <w:t xml:space="preserve">1.3 Antecedentes</w:t>
      </w:r>
    </w:p>
    <w:p>
      <w:pPr>
        <w:spacing w:after="160" w:line="276"/>
        <w:jc w:val="both"/>
      </w:pPr>
      <w: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Pr>
          <w:i/>
          <w:iCs/>
        </w:rPr>
        <w:t xml:space="preserve">bosquejo</w:t>
      </w:r>
      <w:r>
        <w:t xml:space="preserve"> del LEL a partir de documentos descriptivos. Ese 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pPr>
        <w:spacing w:after="160" w:line="276"/>
        <w:jc w:val="both"/>
      </w:pPr>
      <w:r>
        <w:t xml:space="preserve">El segundo antecedente es un trabajo previo de los propios autores de este trabajo, realizado en la asignatura Ingeniería de Software V y publicado en el </w:t>
      </w:r>
      <w:r>
        <w:rPr>
          <w:i/>
          <w:iCs/>
        </w:rPr>
        <w:t xml:space="preserve">27th Workshop em Engenharia de Requisitos</w:t>
      </w:r>
      <w: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pPr>
        <w:spacing w:after="160" w:line="276"/>
        <w:jc w:val="both"/>
      </w:pPr>
      <w:r>
        <w:t xml:space="preserve">Ambos antecedentes comparten el método de elicitación recomendado por la estrategia y por la literatura clásica: la </w:t>
      </w:r>
      <w:r>
        <w:rPr>
          <w:i/>
          <w:iCs/>
        </w:rPr>
        <w:t xml:space="preserve">entrevista</w:t>
      </w:r>
      <w: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Pr>
          <w:i/>
          <w:iCs/>
        </w:rPr>
        <w:t xml:space="preserve">corpus</w:t>
      </w:r>
      <w: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pPr>
        <w:pStyle w:val="Heading2"/>
        <w:keepNext/>
      </w:pPr>
      <w:r>
        <w:t xml:space="preserve">1.4 Preguntas de investigación</w:t>
      </w:r>
    </w:p>
    <w:p>
      <w:pPr>
        <w:pStyle w:val="ListParagraph"/>
        <w:numPr>
          <w:ilvl w:val="0"/>
          <w:numId w:val="2"/>
        </w:numPr>
        <w:spacing w:after="90" w:line="270"/>
        <w:jc w:val="both"/>
      </w:pPr>
      <w:r>
        <w:rPr>
          <w:b/>
          <w:bCs/>
        </w:rPr>
        <w:t xml:space="preserve">PI1.</w:t>
      </w:r>
      <w:r>
        <w:t xml:space="preserve"> ¿Puede la IA Generativa construir, a partir de entrevistas transcriptas en lenguaje natural coloquial, un borrador de LEL con cobertura y calidad comparables a las de un LEL construido manualmente?</w:t>
      </w:r>
    </w:p>
    <w:p>
      <w:pPr>
        <w:pStyle w:val="ListParagraph"/>
        <w:numPr>
          <w:ilvl w:val="0"/>
          <w:numId w:val="2"/>
        </w:numPr>
        <w:spacing w:after="90" w:line="270"/>
        <w:jc w:val="both"/>
      </w:pPr>
      <w:r>
        <w:rPr>
          <w:b/>
          <w:bCs/>
        </w:rPr>
        <w:t xml:space="preserve">PI2.</w:t>
      </w:r>
      <w:r>
        <w:t xml:space="preserve"> ¿Cómo se compara el enfoque basado en LLM con los enfoques tradicionales de PLN en identificación de símbolos, clasificación por tipo y generación de descripciones?</w:t>
      </w:r>
    </w:p>
    <w:p>
      <w:pPr>
        <w:pStyle w:val="ListParagraph"/>
        <w:numPr>
          <w:ilvl w:val="0"/>
          <w:numId w:val="2"/>
        </w:numPr>
        <w:spacing w:after="90" w:line="270"/>
        <w:jc w:val="both"/>
      </w:pPr>
      <w:r>
        <w:rPr>
          <w:b/>
          <w:bCs/>
        </w:rPr>
        <w:t xml:space="preserve">PI3.</w:t>
      </w:r>
      <w:r>
        <w:t xml:space="preserve"> ¿Qué reducción de esfuerzo ofrece respecto de la construcción manual, y qué tipo de revisión humana sigue siendo necesaria?</w:t>
      </w:r>
    </w:p>
    <w:p>
      <w:pPr>
        <w:pStyle w:val="ListParagraph"/>
        <w:numPr>
          <w:ilvl w:val="0"/>
          <w:numId w:val="2"/>
        </w:numPr>
        <w:spacing w:after="90" w:line="270"/>
        <w:jc w:val="both"/>
      </w:pPr>
      <w:r>
        <w:rPr>
          <w:b/>
          <w:bCs/>
        </w:rPr>
        <w:t xml:space="preserve">PI4.</w:t>
      </w:r>
      <w:r>
        <w:t xml:space="preserve"> ¿Qué clases de error introduce el enfoque generativo (alucinaciones, símbolos irrelevantes, descripciones incorrectas) y con qué frecuencia?</w:t>
      </w:r>
    </w:p>
    <w:p>
      <w:pPr>
        <w:pStyle w:val="Heading2"/>
        <w:keepNext/>
      </w:pPr>
      <w:r>
        <w:t xml:space="preserve">1.5 Objetivos</w:t>
      </w:r>
    </w:p>
    <w:p>
      <w:pPr>
        <w:spacing w:after="160" w:line="276"/>
        <w:jc w:val="both"/>
      </w:pPr>
      <w:r>
        <w:rPr>
          <w:b/>
          <w:bCs/>
        </w:rPr>
        <w:t xml:space="preserve">Objetivo general.</w:t>
      </w:r>
      <w:r>
        <w:t xml:space="preserve"> Construir un prototipo funcional capaz de asistir en la construcción del modelo Léxico Extendido del Lenguaje a partir de la transcripción de entrevistas grabadas, utilizando Inteligencia Artificial Generativa.</w:t>
      </w:r>
    </w:p>
    <w:p>
      <w:pPr>
        <w:spacing w:after="160" w:line="276"/>
        <w:jc w:val="both"/>
      </w:pPr>
      <w:r>
        <w:rPr>
          <w:b/>
          <w:bCs/>
        </w:rPr>
        <w:t xml:space="preserve">Objetivos específicos:</w:t>
      </w:r>
    </w:p>
    <w:p>
      <w:pPr>
        <w:pStyle w:val="ListParagraph"/>
        <w:numPr>
          <w:ilvl w:val="0"/>
          <w:numId w:val="3"/>
        </w:numPr>
        <w:spacing w:after="90" w:line="270"/>
        <w:jc w:val="both"/>
      </w:pPr>
      <w:r>
        <w:t xml:space="preserve">Consolidar un caso de estudio realista con entrevistas y un Gold Standard del LEL, disponible para su uso por terceros.</w:t>
      </w:r>
    </w:p>
    <w:p>
      <w:pPr>
        <w:pStyle w:val="ListParagraph"/>
        <w:numPr>
          <w:ilvl w:val="0"/>
          <w:numId w:val="3"/>
        </w:numPr>
        <w:spacing w:after="90" w:line="270"/>
        <w:jc w:val="both"/>
      </w:pPr>
      <w:r>
        <w:t xml:space="preserve">Diseñar un prototipo de construcción del LEL por capas de ejecución, basado en LLM, que incluya una actividad de auto-evaluación.</w:t>
      </w:r>
    </w:p>
    <w:p>
      <w:pPr>
        <w:pStyle w:val="ListParagraph"/>
        <w:numPr>
          <w:ilvl w:val="0"/>
          <w:numId w:val="3"/>
        </w:numPr>
        <w:spacing w:after="90" w:line="270"/>
        <w:jc w:val="both"/>
      </w:pPr>
      <w:r>
        <w:t xml:space="preserve">Implementar el prototipo para su uso con abstracción del modelo LLM.</w:t>
      </w:r>
    </w:p>
    <w:p>
      <w:pPr>
        <w:pStyle w:val="ListParagraph"/>
        <w:numPr>
          <w:ilvl w:val="0"/>
          <w:numId w:val="3"/>
        </w:numPr>
        <w:spacing w:after="90" w:line="270"/>
        <w:jc w:val="both"/>
      </w:pPr>
      <w:r>
        <w:t xml:space="preserve">Desarrollar dos baselines de PLN tradicional a fin de compararlos con el prototipo basado en LLM.</w:t>
      </w:r>
    </w:p>
    <w:p>
      <w:pPr>
        <w:pStyle w:val="ListParagraph"/>
        <w:numPr>
          <w:ilvl w:val="0"/>
          <w:numId w:val="3"/>
        </w:numPr>
        <w:spacing w:after="90" w:line="270"/>
        <w:jc w:val="both"/>
      </w:pPr>
      <w:r>
        <w:t xml:space="preserve">Definir un protocolo de evaluación de un modelo LEL con métricas objetivas y un análisis cualitativo, independiente del método de construcción.</w:t>
      </w:r>
    </w:p>
    <w:p>
      <w:pPr>
        <w:pStyle w:val="ListParagraph"/>
        <w:numPr>
          <w:ilvl w:val="0"/>
          <w:numId w:val="3"/>
        </w:numPr>
        <w:spacing w:after="90" w:line="270"/>
        <w:jc w:val="both"/>
      </w:pPr>
      <w:r>
        <w:t xml:space="preserve">Evaluar el desempeño del prototipo basado en LLM frente a un Gold Standard y a baselines de PLN tradicionales.</w:t>
      </w:r>
    </w:p>
    <w:p>
      <w:pPr>
        <w:spacing w:after="160" w:line="276"/>
        <w:jc w:val="both"/>
      </w:pPr>
      <w:r>
        <w:t xml:space="preserve">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pPr>
        <w:pStyle w:val="Heading2"/>
        <w:keepNext/>
      </w:pPr>
      <w:r>
        <w:t xml:space="preserve">1.6 Hipótesis</w:t>
      </w:r>
    </w:p>
    <w:p>
      <w:pPr>
        <w:spacing w:after="160" w:line="276"/>
        <w:jc w:val="both"/>
      </w:pPr>
      <w:r>
        <w:t xml:space="preserve">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pPr>
        <w:pStyle w:val="Heading2"/>
        <w:keepNext/>
      </w:pPr>
      <w:r>
        <w:t xml:space="preserve">1.7 Alcance y limitaciones</w:t>
      </w:r>
    </w:p>
    <w:p>
      <w:pPr>
        <w:spacing w:after="160" w:line="276"/>
        <w:jc w:val="both"/>
      </w:pPr>
      <w:r>
        <w:t xml:space="preserve">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pPr>
        <w:pStyle w:val="Heading2"/>
        <w:keepNext/>
      </w:pPr>
      <w:r>
        <w:t xml:space="preserve">1.8 Aportes esperados</w:t>
      </w:r>
    </w:p>
    <w:p>
      <w:pPr>
        <w:pStyle w:val="ListParagraph"/>
        <w:numPr>
          <w:ilvl w:val="0"/>
          <w:numId w:val="3"/>
        </w:numPr>
        <w:spacing w:after="90" w:line="270"/>
        <w:jc w:val="both"/>
      </w:pPr>
      <w:r>
        <w:t xml:space="preserve">Un prototipo funcional, reproducible y documentado para asistir en la construcción del LEL con IA Generativa.</w:t>
      </w:r>
    </w:p>
    <w:p>
      <w:pPr>
        <w:pStyle w:val="ListParagraph"/>
        <w:numPr>
          <w:ilvl w:val="0"/>
          <w:numId w:val="3"/>
        </w:numPr>
        <w:spacing w:after="90" w:line="270"/>
        <w:jc w:val="both"/>
      </w:pPr>
      <w:r>
        <w:t xml:space="preserve">Un protocolo de evaluación determinístico y un conjunto de casos de muestreo con sus </w:t>
      </w:r>
      <w:r>
        <w:rPr>
          <w:i/>
          <w:iCs/>
        </w:rPr>
        <w:t xml:space="preserve">Gold Standards</w:t>
      </w:r>
      <w:r>
        <w:t xml:space="preserve"> (LEL de referencia), reutilizables por la comunidad.</w:t>
      </w:r>
    </w:p>
    <w:p>
      <w:pPr>
        <w:pStyle w:val="ListParagraph"/>
        <w:numPr>
          <w:ilvl w:val="0"/>
          <w:numId w:val="3"/>
        </w:numPr>
        <w:spacing w:after="90" w:line="270"/>
        <w:jc w:val="both"/>
      </w:pPr>
      <w:r>
        <w:t xml:space="preserve">Evidencia empírica comparativa entre uso de LLM y de PLN tradicional para esta tarea.</w:t>
      </w:r>
    </w:p>
    <w:p>
      <w:pPr>
        <w:pStyle w:val="ListParagraph"/>
        <w:numPr>
          <w:ilvl w:val="0"/>
          <w:numId w:val="3"/>
        </w:numPr>
        <w:spacing w:after="90" w:line="270"/>
        <w:jc w:val="both"/>
      </w:pPr>
      <w:r>
        <w:t xml:space="preserve">Una discusión metodológica sobre las ventajas, los riesgos y la revisión humana necesaria del enfoque generativo en la IR.</w:t>
      </w:r>
    </w:p>
    <w:p>
      <w:pPr>
        <w:pStyle w:val="Heading2"/>
        <w:keepNext/>
      </w:pPr>
      <w:r>
        <w:t xml:space="preserve">1.9 Organización del trabajo</w:t>
      </w:r>
    </w:p>
    <w:p>
      <w:pPr>
        <w:spacing w:after="160" w:line="276"/>
        <w:jc w:val="both"/>
      </w:pPr>
      <w:r>
        <w:t xml:space="preserve">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pPr>
        <w:spacing w:after="160" w:line="276"/>
        <w:jc w:val="both"/>
      </w:pPr>
      <w:r>
        <w:t xml:space="preserve">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`config.yaml` o `INSTRUCTIVO_EJECUCION.md`) remiten a ese repositorio, cuya organización se describe en el Anexo B.</w:t>
      </w:r>
    </w:p>
    <w:p>
      <w:pPr>
        <w:pStyle w:val="Heading1"/>
        <w:keepNext/>
        <w:pageBreakBefore/>
        <w:spacing w:after="200" w:before="420"/>
      </w:pPr>
      <w:r>
        <w:t xml:space="preserve">Capítulo 2 — Marco Teórico</w:t>
      </w:r>
    </w:p>
    <w:p>
      <w:pPr>
        <w:spacing w:after="160" w:line="276"/>
        <w:jc w:val="both"/>
      </w:pPr>
      <w:r>
        <w:t xml:space="preserve">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pPr>
        <w:pStyle w:val="Heading2"/>
        <w:keepNext/>
      </w:pPr>
      <w:r>
        <w:t xml:space="preserve">2.1 La Ingeniería de Requisitos</w:t>
      </w:r>
    </w:p>
    <w:p>
      <w:pPr>
        <w:spacing w:after="160" w:line="276"/>
        <w:jc w:val="both"/>
      </w:pPr>
      <w:r>
        <w:t xml:space="preserve">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pPr>
        <w:spacing w:after="160" w:line="276"/>
        <w:jc w:val="both"/>
      </w:pPr>
      <w:r>
        <w:t xml:space="preserve">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pPr>
        <w:spacing w:after="160" w:line="276"/>
        <w:jc w:val="both"/>
      </w:pPr>
      <w:r>
        <w:t xml:space="preserve">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2.1. Actividades de la Ingeniería de Requisitos. Las tres primeras producen y refinan los requisitos; la validación los contrasta con clientes y usuarios; la gestión de requisitos abarca todo el proceso.</w:t>
      </w:r>
    </w:p>
    <w:p>
      <w:pPr>
        <w:spacing w:after="120"/>
      </w:pPr>
    </w:p>
    <w:p>
      <w:pPr>
        <w:pStyle w:val="ListParagraph"/>
        <w:numPr>
          <w:ilvl w:val="0"/>
          <w:numId w:val="3"/>
        </w:numPr>
        <w:spacing w:after="90" w:line="270"/>
        <w:jc w:val="both"/>
      </w:pPr>
      <w:r>
        <w:rPr>
          <w:i/>
          <w:iCs/>
        </w:rPr>
        <w:t xml:space="preserve">Elicitación.</w:t>
      </w:r>
      <w: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pPr>
        <w:pStyle w:val="ListParagraph"/>
        <w:numPr>
          <w:ilvl w:val="0"/>
          <w:numId w:val="3"/>
        </w:numPr>
        <w:spacing w:after="90" w:line="270"/>
        <w:jc w:val="both"/>
      </w:pPr>
      <w:r>
        <w:rPr>
          <w:i/>
          <w:iCs/>
        </w:rPr>
        <w:t xml:space="preserve">Análisis y modelado.</w:t>
      </w:r>
      <w:r>
        <w:t xml:space="preserve"> Estructurar, clasificar, priorizar y representar lo elicitado mediante modelos que faciliten la comprensión y detecten conflictos y omisiones. A partir de las necesidades elicitadas, se construyen los requisitos. El LEL y los Escenarios pertenecen a esta actividad.</w:t>
      </w:r>
    </w:p>
    <w:p>
      <w:pPr>
        <w:pStyle w:val="ListParagraph"/>
        <w:numPr>
          <w:ilvl w:val="0"/>
          <w:numId w:val="3"/>
        </w:numPr>
        <w:spacing w:after="90" w:line="270"/>
        <w:jc w:val="both"/>
      </w:pPr>
      <w:r>
        <w:rPr>
          <w:i/>
          <w:iCs/>
        </w:rPr>
        <w:t xml:space="preserve">Especificación.</w:t>
      </w:r>
      <w:r>
        <w:t xml:space="preserve"> Documentar de manera precisa los requisitos acordados, típicamente en una Especificación de Requisitos de Software (ERS).</w:t>
      </w:r>
    </w:p>
    <w:p>
      <w:pPr>
        <w:pStyle w:val="ListParagraph"/>
        <w:numPr>
          <w:ilvl w:val="0"/>
          <w:numId w:val="3"/>
        </w:numPr>
        <w:spacing w:after="90" w:line="270"/>
        <w:jc w:val="both"/>
      </w:pPr>
      <w:r>
        <w:rPr>
          <w:i/>
          <w:iCs/>
        </w:rPr>
        <w:t xml:space="preserve">Validación.</w:t>
      </w:r>
      <w:r>
        <w:t xml:space="preserve"> Confirmar con clientes y usuarios que los requisitos documentados reflejan sus necesidades; se distingue de la verificación, que controla la calidad interna de los modelos.</w:t>
      </w:r>
    </w:p>
    <w:p>
      <w:pPr>
        <w:pStyle w:val="ListParagraph"/>
        <w:numPr>
          <w:ilvl w:val="0"/>
          <w:numId w:val="3"/>
        </w:numPr>
        <w:spacing w:after="90" w:line="270"/>
        <w:jc w:val="both"/>
      </w:pPr>
      <w:r>
        <w:rPr>
          <w:i/>
          <w:iCs/>
        </w:rPr>
        <w:t xml:space="preserve">Gestión de requisitos.</w:t>
      </w:r>
      <w:r>
        <w:t xml:space="preserve"> Actividad transversal que mantiene la trazabilidad entre artefactos y administra los cambios a lo largo de todo el ciclo de vida.</w:t>
      </w:r>
    </w:p>
    <w:p>
      <w:pPr>
        <w:spacing w:after="160" w:line="276"/>
        <w:jc w:val="both"/>
      </w:pPr>
      <w:r>
        <w:t xml:space="preserve">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pPr>
        <w:pStyle w:val="Heading2"/>
        <w:keepNext/>
      </w:pPr>
      <w:r>
        <w:t xml:space="preserve">2.2 La estrategia de IR orientada al cliente</w:t>
      </w:r>
    </w:p>
    <w:p>
      <w:pPr>
        <w:spacing w:after="160" w:line="276"/>
        <w:jc w:val="both"/>
      </w:pPr>
      <w: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elicitación dirigida por modelos, construcción de requisitos en su contexto, énfasis en la calidad de los modelos mediante verificación y validación, y adaptabilidad a distintos modelos de proceso.</w:t>
      </w:r>
    </w:p>
    <w:p>
      <w:pPr>
        <w:spacing w:after="160" w:line="276"/>
        <w:jc w:val="both"/>
      </w:pPr>
      <w:r>
        <w:t xml:space="preserve">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pPr>
        <w:spacing w:after="60" w:before="16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color w:val="333333"/>
          <w:sz w:val="19"/>
          <w:szCs w:val="19"/>
        </w:rPr>
        <w:t xml:space="preserve">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pPr>
        <w:spacing w:after="120"/>
      </w:pPr>
    </w:p>
    <w:p>
      <w:pPr>
        <w:spacing w:after="160" w:line="276"/>
        <w:jc w:val="both"/>
      </w:pPr>
      <w:r>
        <w:t xml:space="preserve">Una propiedad esencial de la estrategia es la </w:t>
      </w:r>
      <w:r>
        <w:rPr>
          <w:i/>
          <w:iCs/>
        </w:rPr>
        <w:t xml:space="preserve">trazabilidad</w:t>
      </w:r>
      <w:r>
        <w:t xml:space="preserve">: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pPr>
        <w:pStyle w:val="Heading2"/>
        <w:keepNext/>
      </w:pPr>
      <w:r>
        <w:t xml:space="preserve">2.3 Universo de Discurso, fuentes de información y Elicitación</w:t>
      </w:r>
    </w:p>
    <w:p>
      <w:pPr>
        <w:spacing w:after="160" w:line="276"/>
        <w:jc w:val="both"/>
      </w:pPr>
      <w:r>
        <w:t xml:space="preserve">La estrategia opera sobre el Universo de Discurso (UdeD): el contexto general en el que el software debe desarrollarse y operar, incluyendo todas las fuentes de información y a todas las personas relacionadas con el sistema. Las </w:t>
      </w:r>
      <w:r>
        <w:rPr>
          <w:i/>
          <w:iCs/>
        </w:rPr>
        <w:t xml:space="preserve">fuentes de información</w:t>
      </w:r>
      <w: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pPr>
        <w:spacing w:after="160" w:line="276"/>
        <w:jc w:val="both"/>
      </w:pPr>
      <w: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candidatos en las FIA— delimita qué debe y qué no debe terminar modelado como símbolo del LEL, una distinción relevante también para un método automático.</w:t>
      </w:r>
    </w:p>
    <w:p>
      <w:pPr>
        <w:spacing w:after="160" w:line="276"/>
        <w:jc w:val="both"/>
      </w:pPr>
      <w:r>
        <w:t xml:space="preserve">La literatura clásica de la disciplina sistematiza las </w:t>
      </w:r>
      <w:r>
        <w:rPr>
          <w:i/>
          <w:iCs/>
        </w:rPr>
        <w:t xml:space="preserve">técnicas de elicitación</w:t>
      </w:r>
      <w:r>
        <w:t xml:space="preserve"> aplicables a esas fuentes. Kotonya y Sommerville [2] y Wiegers y Beatty [3] coinciden en un repertorio que incluye la entrevista, los </w:t>
      </w:r>
      <w:r>
        <w:rPr>
          <w:i/>
          <w:iCs/>
        </w:rPr>
        <w:t xml:space="preserve">talleres</w:t>
      </w:r>
      <w:r>
        <w:t xml:space="preserve"> o sesiones facilitadas con varios interesados, la </w:t>
      </w:r>
      <w:r>
        <w:rPr>
          <w:i/>
          <w:iCs/>
        </w:rPr>
        <w:t xml:space="preserve">observación</w:t>
      </w:r>
      <w:r>
        <w:t xml:space="preserve"> del trabajo real —incluida la etnografía—, los </w:t>
      </w:r>
      <w:r>
        <w:rPr>
          <w:i/>
          <w:iCs/>
        </w:rPr>
        <w:t xml:space="preserve">cuestionarios</w:t>
      </w:r>
      <w:r>
        <w:t xml:space="preserve">, el </w:t>
      </w:r>
      <w:r>
        <w:rPr>
          <w:i/>
          <w:iCs/>
        </w:rPr>
        <w:t xml:space="preserve">análisis de documentos</w:t>
      </w:r>
      <w:r>
        <w:t xml:space="preserve"> y de sistemas existentes, y el uso de </w:t>
      </w:r>
      <w:r>
        <w:rPr>
          <w:i/>
          <w:iCs/>
        </w:rPr>
        <w:t xml:space="preserve">escenarios</w:t>
      </w:r>
      <w:r>
        <w:t xml:space="preserve"> y </w:t>
      </w:r>
      <w:r>
        <w:rPr>
          <w:i/>
          <w:iCs/>
        </w:rPr>
        <w:t xml:space="preserve">prototipos</w:t>
      </w:r>
      <w: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Pr>
          <w:i/>
          <w:iCs/>
        </w:rPr>
        <w:t xml:space="preserve">tácito</w:t>
      </w:r>
      <w:r>
        <w:t xml:space="preserve"> —los expertos lo dan por obvio y no lo verbalizan— y el ingeniero de requisitos, que no es experto en el dominio, debe hacerlo emerger.</w:t>
      </w:r>
    </w:p>
    <w:p>
      <w:pPr>
        <w:spacing w:after="160" w:line="276"/>
        <w:jc w:val="both"/>
      </w:pPr>
      <w:r>
        <w:t xml:space="preserve">Entre esas técnicas, la entrevista es la más utilizada y la que adopta la estrategia orientada al cliente; es, además, la fuente del corpus de este trabajo. Whitten y Bentley [4] la caracterizan en dos modalidades: la entrevista </w:t>
      </w:r>
      <w:r>
        <w:rPr>
          <w:i/>
          <w:iCs/>
        </w:rPr>
        <w:t xml:space="preserve">no estructurada</w:t>
      </w:r>
      <w:r>
        <w:t xml:space="preserve">, abierta y exploratoria, útil en las primeras etapas para comprender el panorama general, y la </w:t>
      </w:r>
      <w:r>
        <w:rPr>
          <w:i/>
          <w:iCs/>
        </w:rPr>
        <w:t xml:space="preserve">estructurada</w:t>
      </w:r>
      <w:r>
        <w:t xml:space="preserve">, guiada por un cuestionario preparado, útil para precisar detalles. Distinguen además dos tipos de pregunta cuya combinación define la riqueza del material obtenido: las </w:t>
      </w:r>
      <w:r>
        <w:rPr>
          <w:i/>
          <w:iCs/>
        </w:rPr>
        <w:t xml:space="preserve">preguntas abiertas</w:t>
      </w:r>
      <w:r>
        <w:t xml:space="preserve">, que invitan al entrevistado a explayarse y suelen revelar vocabulario y matices no anticipados, y las </w:t>
      </w:r>
      <w:r>
        <w:rPr>
          <w:i/>
          <w:iCs/>
        </w:rPr>
        <w:t xml:space="preserve">preguntas cerradas</w:t>
      </w:r>
      <w:r>
        <w:t xml:space="preserve">,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pPr>
        <w:pStyle w:val="Heading2"/>
        <w:keepNext/>
      </w:pPr>
      <w:r>
        <w:t xml:space="preserve">2.4 El Modelo Léxico Extendido del Lenguaje</w:t>
      </w:r>
    </w:p>
    <w:p>
      <w:pPr>
        <w:spacing w:after="160" w:line="276"/>
        <w:jc w:val="both"/>
      </w:pPr>
      <w:r>
        <w:t xml:space="preserve">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pPr>
        <w:spacing w:after="160" w:line="276"/>
        <w:jc w:val="both"/>
      </w:pPr>
      <w:r>
        <w:t xml:space="preserve">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pPr>
        <w:pStyle w:val="Heading3"/>
        <w:keepNext/>
      </w:pPr>
      <w:r>
        <w:t xml:space="preserve">2.4.1 Estructura de un símbolo</w:t>
      </w:r>
    </w:p>
    <w:p>
      <w:pPr>
        <w:spacing w:after="160" w:line="276"/>
        <w:jc w:val="both"/>
      </w:pPr>
      <w:r>
        <w:t xml:space="preserve">La unidad del LEL es el </w:t>
      </w:r>
      <w:r>
        <w:rPr>
          <w:i/>
          <w:iCs/>
        </w:rPr>
        <w:t xml:space="preserve">símbolo</w:t>
      </w:r>
      <w:r>
        <w:t xml:space="preserve">: una palabra o frase peculiar del dominio. Cada símbolo se describe mediante dos atributos complementarios, además de su nombre y sus eventuales sinónimos (Fig. 2.3). La </w:t>
      </w:r>
      <w:r>
        <w:rPr>
          <w:i/>
          <w:iCs/>
        </w:rPr>
        <w:t xml:space="preserve">noción</w:t>
      </w:r>
      <w:r>
        <w:t xml:space="preserve"> es la descripción denotativa del símbolo: qué es, qué significa, cuál es su sentido intrínseco. El </w:t>
      </w:r>
      <w:r>
        <w:rPr>
          <w:i/>
          <w:iCs/>
        </w:rPr>
        <w:t xml:space="preserve">impacto</w:t>
      </w:r>
      <w:r>
        <w:t xml:space="preserve"> es la descripción connotativa: cómo repercute el símbolo en el contexto, qué acciones desencadena o recibe, qué efectos produce.</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2.3. Estructura de un símbolo del LEL. Cada símbolo posee nombre, sinónimos, tipo, noción e impacto; el tipo especializa en Sujeto, Objeto, Verbo o Estado; y las descripciones referencian otros símbolos del LEL (principio de circularidad).</w:t>
      </w:r>
    </w:p>
    <w:p>
      <w:pPr>
        <w:pStyle w:val="Heading3"/>
        <w:keepNext/>
      </w:pPr>
      <w:r>
        <w:t xml:space="preserve">2.4.2 Tipos de símbolo</w:t>
      </w:r>
    </w:p>
    <w:p>
      <w:pPr>
        <w:spacing w:after="160" w:line="276"/>
        <w:jc w:val="both"/>
      </w:pPr>
      <w:r>
        <w:t xml:space="preserve">Todo símbolo se clasifica en uno de cuatro tipos, según su rol en el contexto de aplicación. La Tabla 2.1 los define.</w:t>
      </w:r>
    </w:p>
    <w:p>
      <w:pPr>
        <w:spacing w:after="70" w:before="180"/>
        <w:jc w:val="center"/>
      </w:pPr>
      <w:r>
        <w:rPr>
          <w:color w:val="333333"/>
          <w:sz w:val="19"/>
          <w:szCs w:val="19"/>
        </w:rPr>
        <w:t xml:space="preserve">Tabla 2.1. Tipos de símbolo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Definición</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Entidad activa (persona, organización, máquina o sistema) que realiza actividades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Entidad pasiva sobre la cual se aplican acciones en el contexto, sin realizar acciones por sí misma.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Actividad o acción que ocurre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Condición o situación en la que se encuentran sujetos, objetos o actividades en un momento dado, y que puede cambiar a otra condición.</w:t>
            </w:r>
          </w:p>
        </w:tc>
      </w:tr>
    </w:tbl>
    <w:p>
      <w:pPr>
        <w:spacing w:after="160" w:line="276"/>
        <w:jc w:val="both"/>
      </w:pPr>
    </w:p>
    <w:p>
      <w:pPr>
        <w:spacing w:after="160" w:line="276"/>
        <w:jc w:val="both"/>
      </w:pPr>
      <w:r>
        <w:t xml:space="preserve">El tipo determina qué debe contener la noción y el impacto, mediante plantillas de descripción (Tabla 2.2). Estas plantillas son decisivas para este trabajo, porque constituyen el criterio formal de calidad de las descripciones que un método automático debe producir.</w:t>
      </w:r>
    </w:p>
    <w:p>
      <w:pPr>
        <w:spacing w:after="70" w:before="180"/>
        <w:jc w:val="center"/>
      </w:pPr>
      <w:r>
        <w:rPr>
          <w:color w:val="333333"/>
          <w:sz w:val="19"/>
          <w:szCs w:val="19"/>
        </w:rPr>
        <w:t xml:space="preserve">Tabla 2.2. Plantillas de descripción según el tipo de símbolo.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4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Noción</w:t>
            </w:r>
          </w:p>
        </w:tc>
        <w:tc>
          <w:tcPr>
            <w:tcW w:type="dxa" w:w="39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Impacto</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Quién es, por su rol, posición o responsabilidad.</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Las actividades que realiza.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sus características y su relación con otros objetos.</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Las acciones que se le aplican o que se realizan con él.</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El proceso o actividad que representa, mediante su propósito; quién lo ejecuta, cuándo y dónde.</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Acciones y procedimientos involucrados; situaciones que lo impiden y otras que desencadena.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y qué estados o actividades condujeron a él.</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Otros estados y actividades que pueden ocurrir a partir de él.</w:t>
            </w:r>
          </w:p>
        </w:tc>
      </w:tr>
    </w:tbl>
    <w:p>
      <w:pPr>
        <w:spacing w:after="120"/>
      </w:pPr>
    </w:p>
    <w:p>
      <w:pPr>
        <w:spacing w:after="160" w:line="276"/>
        <w:jc w:val="both"/>
      </w:pPr>
      <w:r>
        <w:t xml:space="preserve">Dos precisiones del método, relevantes para clasificar correctamente los símbolos, merecen destacarse. Primero, los símbolos de tipo Estado son poco frecuentes: en el vocabulario de los usuarios, los calificadores —por ejemplo, </w:t>
      </w:r>
      <w:r>
        <w:rPr>
          <w:i/>
          <w:iCs/>
        </w:rPr>
        <w:t xml:space="preserve">moroso</w:t>
      </w:r>
      <w:r>
        <w:t xml:space="preserve">, </w:t>
      </w:r>
      <w:r>
        <w:rPr>
          <w:i/>
          <w:iCs/>
        </w:rPr>
        <w:t xml:space="preserve">anulado</w:t>
      </w:r>
      <w:r>
        <w:t xml:space="preserve"> o </w:t>
      </w:r>
      <w:r>
        <w:rPr>
          <w:i/>
          <w:iCs/>
        </w:rPr>
        <w:t xml:space="preserve">en curso</w:t>
      </w:r>
      <w: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ejemplo </w:t>
      </w:r>
      <w:r>
        <w:rPr>
          <w:i/>
          <w:iCs/>
        </w:rPr>
        <w:t xml:space="preserve">Facturar</w:t>
      </w:r>
      <w:r>
        <w:t xml:space="preserve">— </w:t>
      </w:r>
      <w:r>
        <w:rPr>
          <w:i/>
          <w:iCs/>
        </w:rPr>
        <w:t xml:space="preserve">o nominal</w:t>
      </w:r>
      <w:r>
        <w:t xml:space="preserve"> —</w:t>
      </w:r>
      <w:r>
        <w:rPr>
          <w:i/>
          <w:iCs/>
        </w:rPr>
        <w:t xml:space="preserve">Facturación</w:t>
      </w:r>
      <w:r>
        <w:t xml:space="preserve">—: en este último caso hay que discernir si el sustantivo denota la actividad (Verbo) o su resultado (Objeto), o si el contexto lo usa con ambos significados. Por convención, los símbolos Verbo se nombran en </w:t>
      </w:r>
      <w:r>
        <w:rPr>
          <w:i/>
          <w:iCs/>
        </w:rPr>
        <w:t xml:space="preserve">infinitivo</w:t>
      </w:r>
      <w:r>
        <w:t xml:space="preserve"> y en </w:t>
      </w:r>
      <w:r>
        <w:rPr>
          <w:i/>
          <w:iCs/>
        </w:rPr>
        <w:t xml:space="preserve">voz activa</w:t>
      </w:r>
      <w:r>
        <w:t xml:space="preserve">. Estas distinciones son, precisamente, las que el prototipo debe resolver en su etapa de clasificación.</w:t>
      </w:r>
    </w:p>
    <w:p>
      <w:pPr>
        <w:pStyle w:val="Heading3"/>
        <w:keepNext/>
      </w:pPr>
      <w:r>
        <w:t xml:space="preserve">2.4.3 Principios: circularidad y vocabulario mínimo</w:t>
      </w:r>
    </w:p>
    <w:p>
      <w:pPr>
        <w:spacing w:after="160" w:line="276"/>
        <w:jc w:val="both"/>
      </w:pPr>
      <w:r>
        <w:t xml:space="preserve">Dos principios gobiernan la redacción del LEL y le dan su carácter de red semántica autocontenida. El </w:t>
      </w:r>
      <w:r>
        <w:rPr>
          <w:i/>
          <w:iCs/>
        </w:rPr>
        <w:t xml:space="preserve">principio de circularidad</w:t>
      </w:r>
      <w: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pPr>
        <w:pStyle w:val="Heading3"/>
        <w:keepNext/>
      </w:pPr>
      <w:r>
        <w:t xml:space="preserve">2.4.4 Reglas para seleccionar símbolos</w:t>
      </w:r>
    </w:p>
    <w:p>
      <w:pPr>
        <w:spacing w:after="160" w:line="276"/>
        <w:jc w:val="both"/>
      </w:pPr>
      <w:r>
        <w:t xml:space="preserve">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pPr>
        <w:pStyle w:val="Heading2"/>
        <w:keepNext/>
      </w:pPr>
      <w:r>
        <w:t xml:space="preserve">2.5 Proceso de construcción del LEL</w:t>
      </w:r>
    </w:p>
    <w:p>
      <w:pPr>
        <w:spacing w:after="160" w:line="276"/>
        <w:jc w:val="both"/>
      </w:pPr>
      <w:r>
        <w:t xml:space="preserve">La construcción del LEL no es un acto único, sino un proceso de cinco actividades (Fig. 2.4): tres en el flujo principal —Recolectar, Clasificar y Describir símbolos— y dos transversales de aseguramiento de calidad —Verificar y Validar— que retroalimentan el flujo.</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pPr>
        <w:spacing w:after="120"/>
      </w:pPr>
    </w:p>
    <w:p>
      <w:pPr>
        <w:spacing w:after="160" w:line="276"/>
        <w:jc w:val="both"/>
      </w:pPr>
      <w:r>
        <w:t xml:space="preserve">Para la actividad </w:t>
      </w:r>
      <w:r>
        <w:rPr>
          <w:i/>
          <w:iCs/>
        </w:rPr>
        <w:t xml:space="preserve">recolectar símbolos</w:t>
      </w:r>
      <w: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Pr>
          <w:i/>
          <w:iCs/>
        </w:rPr>
        <w:t xml:space="preserve">clasificación</w:t>
      </w:r>
      <w:r>
        <w:t xml:space="preserve"> asigna cada símbolo a uno de los cuatro tipos; la </w:t>
      </w:r>
      <w:r>
        <w:rPr>
          <w:i/>
          <w:iCs/>
        </w:rPr>
        <w:t xml:space="preserve">descripción</w:t>
      </w:r>
      <w: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pPr>
        <w:spacing w:after="160" w:line="276"/>
        <w:jc w:val="both"/>
      </w:pPr>
      <w:r>
        <w:t xml:space="preserve">La estrategia provee heurísticas concretas para cada actividad [30]. Para </w:t>
      </w:r>
      <w:r>
        <w:rPr>
          <w:i/>
          <w:iCs/>
        </w:rPr>
        <w:t xml:space="preserve">clasificar</w:t>
      </w:r>
      <w:r>
        <w:t xml:space="preserve">, se sugiere preguntarse si el término </w:t>
      </w:r>
      <w:r>
        <w:rPr>
          <w:i/>
          <w:iCs/>
        </w:rPr>
        <w:t xml:space="preserve">ejecuta</w:t>
      </w:r>
      <w:r>
        <w:t xml:space="preserve"> acciones (Sujeto), </w:t>
      </w:r>
      <w:r>
        <w:rPr>
          <w:i/>
          <w:iCs/>
        </w:rPr>
        <w:t xml:space="preserve">recibe</w:t>
      </w:r>
      <w:r>
        <w:t xml:space="preserve"> acciones sin realizarlas por sí mismo (Objeto), </w:t>
      </w:r>
      <w:r>
        <w:rPr>
          <w:i/>
          <w:iCs/>
        </w:rPr>
        <w:t xml:space="preserve">nombra</w:t>
      </w:r>
      <w:r>
        <w:t xml:space="preserve"> una acción o procedimiento —aun nominalizado, como «Facturación»— (Verbo) o describe una </w:t>
      </w:r>
      <w:r>
        <w:rPr>
          <w:i/>
          <w:iCs/>
        </w:rPr>
        <w:t xml:space="preserve">condición alcanzada</w:t>
      </w:r>
      <w:r>
        <w:t xml:space="preserve"> —con frecuencia un participio, como «Pedido Aprobado»— (Estado). Para </w:t>
      </w:r>
      <w:r>
        <w:rPr>
          <w:i/>
          <w:iCs/>
        </w:rPr>
        <w:t xml:space="preserve">describir</w:t>
      </w:r>
      <w:r>
        <w:t xml:space="preserve">, la noción responde a </w:t>
      </w:r>
      <w:r>
        <w:rPr>
          <w:i/>
          <w:iCs/>
        </w:rPr>
        <w:t xml:space="preserve">qué es</w:t>
      </w:r>
      <w:r>
        <w:t xml:space="preserve"> el símbolo y el impacto a </w:t>
      </w:r>
      <w:r>
        <w:rPr>
          <w:i/>
          <w:iCs/>
        </w:rPr>
        <w:t xml:space="preserve">cómo repercute</w:t>
      </w:r>
      <w: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pPr>
        <w:pStyle w:val="Heading2"/>
        <w:keepNext/>
      </w:pPr>
      <w:r>
        <w:t xml:space="preserve">2.6 Escenarios</w:t>
      </w:r>
    </w:p>
    <w:p>
      <w:pPr>
        <w:spacing w:after="160" w:line="276"/>
        <w:jc w:val="both"/>
      </w:pPr>
      <w:r>
        <w:t xml:space="preserve">Los Escenarios son el segundo modelo de la estrategia orientada al cliente. Describen situaciones del dominio mediante una narración estructurada en lenguaje natural, usando el vocabulario fijado en el LEL. Un escenario se compone de título, objetivo, contexto (precondición y ubicación temporal y geográfica), recursos, actores y una serie de episodios que representan la secuencia de acciones, con sus excepciones y restricciones (Fig. 2.5).</w:t>
      </w:r>
    </w:p>
    <w:p>
      <w:pPr>
        <w:spacing w:after="60" w:before="160"/>
        <w:jc w:val="center"/>
      </w:pPr>
      <w:r>
        <w:drawing>
          <wp:inline distT="0" distB="0" distL="0" distR="0">
            <wp:extent cx="5334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color w:val="333333"/>
          <w:sz w:val="19"/>
          <w:szCs w:val="19"/>
        </w:rPr>
        <w:t xml:space="preserve">Fig. 2.5. Componentes del modelo de Escenario y su derivación desde el LEL: los símbolos de tipo Sujeto tienden a convertirse en actores, los de tipo Objeto en recursos, y los de tipo Verbo en episodios o títulos de escenario.</w:t>
      </w:r>
    </w:p>
    <w:p>
      <w:pPr>
        <w:spacing w:after="120"/>
      </w:pPr>
    </w:p>
    <w:p>
      <w:pPr>
        <w:spacing w:after="160" w:line="276"/>
        <w:jc w:val="both"/>
      </w:pPr>
      <w:r>
        <w:t xml:space="preserve">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pPr>
        <w:pStyle w:val="Heading2"/>
        <w:keepNext/>
      </w:pPr>
      <w:r>
        <w:t xml:space="preserve">2.7 Verificación y Validación</w:t>
      </w:r>
    </w:p>
    <w:p>
      <w:pPr>
        <w:spacing w:after="160" w:line="276"/>
        <w:jc w:val="both"/>
      </w:pPr>
      <w:r>
        <w:t xml:space="preserve">La calidad de los modelos se asegura mediante </w:t>
      </w:r>
      <w:r>
        <w:rPr>
          <w:i/>
          <w:iCs/>
        </w:rPr>
        <w:t xml:space="preserve">verificación</w:t>
      </w:r>
      <w:r>
        <w:t xml:space="preserve"> (control de la calidad interna: coherencia, completitud, cumplimiento de reglas) y </w:t>
      </w:r>
      <w:r>
        <w:rPr>
          <w:i/>
          <w:iCs/>
        </w:rPr>
        <w:t xml:space="preserve">validación</w:t>
      </w:r>
      <w: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pPr>
        <w:spacing w:after="60" w:before="160"/>
        <w:jc w:val="center"/>
      </w:pPr>
      <w:r>
        <w:drawing>
          <wp:inline distT="0" distB="0" distL="0" distR="0">
            <wp:extent cx="5334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color w:val="333333"/>
          <w:sz w:val="19"/>
          <w:szCs w:val="19"/>
        </w:rPr>
        <w:t xml:space="preserve">Fig. 2.6. Proceso de inspección para la verificación de los modelos, con sus etapas y la clasificación de defectos por tipo y severidad.</w:t>
      </w:r>
    </w:p>
    <w:p>
      <w:pPr>
        <w:spacing w:after="120"/>
      </w:pPr>
    </w:p>
    <w:p>
      <w:pPr>
        <w:spacing w:after="160" w:line="276"/>
        <w:jc w:val="both"/>
      </w:pPr>
      <w:r>
        <w:t xml:space="preserve">Durante la inspección se registran los defectos detectados, clasificados por </w:t>
      </w:r>
      <w:r>
        <w:rPr>
          <w:i/>
          <w:iCs/>
        </w:rPr>
        <w:t xml:space="preserve">tipo</w:t>
      </w:r>
      <w:r>
        <w:t xml:space="preserve"> —Discrepancia, Error (hecho incorrecto), Omisión y Ambigüedad— y por </w:t>
      </w:r>
      <w:r>
        <w:rPr>
          <w:i/>
          <w:iCs/>
        </w:rPr>
        <w:t xml:space="preserve">severidad</w:t>
      </w:r>
      <w: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pPr>
        <w:pStyle w:val="Heading2"/>
        <w:keepNext/>
      </w:pPr>
      <w:r>
        <w:t xml:space="preserve">2.8 Gestión de Requisitos y trazabilidad</w:t>
      </w:r>
    </w:p>
    <w:p>
      <w:pPr>
        <w:spacing w:after="160" w:line="276"/>
        <w:jc w:val="both"/>
      </w:pPr>
      <w:r>
        <w:t xml:space="preserve">La </w:t>
      </w:r>
      <w:r>
        <w:rPr>
          <w:i/>
          <w:iCs/>
        </w:rPr>
        <w:t xml:space="preserve">gestión de requisitos</w:t>
      </w:r>
      <w: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incorpora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pPr>
        <w:pStyle w:val="Heading2"/>
        <w:keepNext/>
      </w:pPr>
      <w:r>
        <w:t xml:space="preserve">2.9 Inteligencia Artificial Generativa y Grandes Modelos de Lenguaje</w:t>
      </w:r>
    </w:p>
    <w:p>
      <w:pPr>
        <w:spacing w:after="160" w:line="276"/>
        <w:jc w:val="both"/>
      </w:pPr>
      <w:r>
        <w:t xml:space="preserve">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pPr>
        <w:pStyle w:val="Heading3"/>
        <w:keepNext/>
      </w:pPr>
      <w:r>
        <w:t xml:space="preserve">2.9.1 La arquitectura Transformer</w:t>
      </w:r>
    </w:p>
    <w:p>
      <w:pPr>
        <w:spacing w:after="160" w:line="276"/>
        <w:jc w:val="both"/>
      </w:pPr>
      <w:r>
        <w:t xml:space="preserve">La mayoría de los LLM modernos se basan en la arquitectura </w:t>
      </w:r>
      <w:r>
        <w:rPr>
          <w:i/>
          <w:iCs/>
        </w:rPr>
        <w:t xml:space="preserve">Transformer</w:t>
      </w:r>
      <w: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color w:val="333333"/>
          <w:sz w:val="19"/>
          <w:szCs w:val="19"/>
        </w:rPr>
        <w:t xml:space="preserve">Fig. 2.7. Esquema simplificado de la arquitectura Transformer. La autoatención pondera la relevancia recíproca de los tokens; el modelo predice el token siguiente de modo autorregresivo.</w:t>
      </w:r>
    </w:p>
    <w:p>
      <w:pPr>
        <w:spacing w:after="120"/>
      </w:pPr>
    </w:p>
    <w:p>
      <w:pPr>
        <w:spacing w:after="160" w:line="276"/>
        <w:jc w:val="both"/>
      </w:pPr>
      <w:r>
        <w:t xml:space="preserve">Conviene detenerse en los componentes técnicos, porque condicionan cómo se diseña la interacción con el modelo. La </w:t>
      </w:r>
      <w:r>
        <w:rPr>
          <w:i/>
          <w:iCs/>
        </w:rPr>
        <w:t xml:space="preserve">tokenización</w:t>
      </w:r>
      <w:r>
        <w:t xml:space="preserve"> parte el texto en unidades subléxicas (tokens), no siempre palabras completas, lo que explica que el modelo opere sobre fragmentos y que el costo y los límites se midan en tokens. El mecanismo de </w:t>
      </w:r>
      <w:r>
        <w:rPr>
          <w:i/>
          <w:iCs/>
        </w:rPr>
        <w:t xml:space="preserve">autoatención</w:t>
      </w:r>
      <w:r>
        <w:t xml:space="preserve"> calcula, para cada token, una combinación ponderada de los demás a partir de tres proyecciones aprendidas —consulta, clave y valor (</w:t>
      </w:r>
      <w:r>
        <w:rPr>
          <w:i/>
          <w:iCs/>
        </w:rPr>
        <w:t xml:space="preserve">query</w:t>
      </w:r>
      <w:r>
        <w:t xml:space="preserve">, </w:t>
      </w:r>
      <w:r>
        <w:rPr>
          <w:i/>
          <w:iCs/>
        </w:rPr>
        <w:t xml:space="preserve">key</w:t>
      </w:r>
      <w:r>
        <w:t xml:space="preserve">, </w:t>
      </w:r>
      <w:r>
        <w:rPr>
          <w:i/>
          <w:iCs/>
        </w:rPr>
        <w:t xml:space="preserve">value</w:t>
      </w:r>
      <w:r>
        <w:t xml:space="preserve">)—, de modo que el significado de cada token se contextualiza con el resto de la secuencia; al hacerlo en varias «cabezas» en paralelo, el modelo captura distintos tipos de relación. La cantidad de tokens que el modelo puede considerar de una vez es su </w:t>
      </w:r>
      <w:r>
        <w:rPr>
          <w:i/>
          <w:iCs/>
        </w:rPr>
        <w:t xml:space="preserve">ventana de contexto</w:t>
      </w:r>
      <w:r>
        <w:t xml:space="preserve">, un límite práctico relevante cuando se le entregan transcripciones largas. Finalmente, la generación es </w:t>
      </w:r>
      <w:r>
        <w:rPr>
          <w:i/>
          <w:iCs/>
        </w:rPr>
        <w:t xml:space="preserve">autorregresiva</w:t>
      </w:r>
      <w:r>
        <w:t xml:space="preserve"> y probabilística: en cada paso el modelo produce una distribución sobre el vocabulario y se muestrea el token siguiente, y parámetros como la </w:t>
      </w:r>
      <w:r>
        <w:rPr>
          <w:i/>
          <w:iCs/>
        </w:rPr>
        <w:t xml:space="preserve">temperatura</w:t>
      </w:r>
      <w:r>
        <w:t xml:space="preserve"> —y el muestreo </w:t>
      </w:r>
      <w:r>
        <w:rPr>
          <w:i/>
          <w:iCs/>
        </w:rPr>
        <w:t xml:space="preserve">top-p</w:t>
      </w:r>
      <w:r>
        <w:t xml:space="preserve">— regulan cuánta aleatoriedad se introduce. Fijar una temperatura baja, como hace este trabajo, reduce la variabilidad entre corridas y favorece la reproducibilidad [23].</w:t>
      </w:r>
    </w:p>
    <w:p>
      <w:pPr>
        <w:pStyle w:val="Heading3"/>
        <w:keepNext/>
      </w:pPr>
      <w:r>
        <w:t xml:space="preserve">2.9.2 Pre-entrenamiento, ajuste fino y técnicas de prompting</w:t>
      </w:r>
    </w:p>
    <w:p>
      <w:pPr>
        <w:spacing w:after="160" w:line="276"/>
        <w:jc w:val="both"/>
      </w:pPr>
      <w:r>
        <w:t xml:space="preserve">Los LLM se construyen en dos grandes fases. En el </w:t>
      </w:r>
      <w:r>
        <w:rPr>
          <w:i/>
          <w:iCs/>
        </w:rPr>
        <w:t xml:space="preserve">pre-entrenamiento</w:t>
      </w:r>
      <w:r>
        <w:t xml:space="preserve">, el modelo aprende de forma auto-supervisada a predecir texto sobre corpus masivos, adquiriendo conocimiento lingüístico y factual de amplio espectro. En un </w:t>
      </w:r>
      <w:r>
        <w:rPr>
          <w:i/>
          <w:iCs/>
        </w:rPr>
        <w:t xml:space="preserve">ajuste fino</w:t>
      </w:r>
      <w: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pPr>
        <w:spacing w:after="160" w:line="276"/>
        <w:jc w:val="both"/>
      </w:pPr>
      <w:r>
        <w:t xml:space="preserve">De aquí surgen las técnicas de </w:t>
      </w:r>
      <w:r>
        <w:rPr>
          <w:i/>
          <w:iCs/>
        </w:rPr>
        <w:t xml:space="preserve">prompting</w:t>
      </w:r>
      <w: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pPr>
        <w:pStyle w:val="Heading3"/>
        <w:keepNext/>
      </w:pPr>
      <w:r>
        <w:t xml:space="preserve">2.9.3 Capacidades y limitaciones</w:t>
      </w:r>
    </w:p>
    <w:p>
      <w:pPr>
        <w:spacing w:after="160" w:line="276"/>
        <w:jc w:val="both"/>
      </w:pPr>
      <w: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Pr>
          <w:i/>
          <w:iCs/>
        </w:rPr>
        <w:t xml:space="preserve">alucinación</w:t>
      </w:r>
      <w:r>
        <w:t xml:space="preserve">: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pPr>
        <w:pStyle w:val="Heading2"/>
        <w:keepNext/>
      </w:pPr>
      <w:r>
        <w:t xml:space="preserve">2.10 Procesamiento de Lenguaje Natural tradicional</w:t>
      </w:r>
    </w:p>
    <w:p>
      <w:pPr>
        <w:spacing w:after="160" w:line="276"/>
        <w:jc w:val="both"/>
      </w:pPr>
      <w:r>
        <w:t xml:space="preserve">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pPr>
        <w:spacing w:after="60" w:before="16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color w:val="333333"/>
          <w:sz w:val="19"/>
          <w:szCs w:val="19"/>
        </w:rPr>
        <w:t xml:space="preserve">Fig. 2.8. Pipeline de PLN tradicional. Identifica términos candidatos a partir del texto, pero no genera la noción ni el impacto de los símbolos.</w:t>
      </w:r>
    </w:p>
    <w:p>
      <w:pPr>
        <w:spacing w:after="120"/>
      </w:pPr>
    </w:p>
    <w:p>
      <w:pPr>
        <w:spacing w:after="160" w:line="276"/>
        <w:jc w:val="both"/>
      </w:pPr>
      <w:r>
        <w:t xml:space="preserve">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pPr>
        <w:spacing w:after="160" w:line="276"/>
        <w:jc w:val="both"/>
      </w:pPr>
      <w:r>
        <w:t xml:space="preserve">Vale precisar algunas de estas técnicas. La </w:t>
      </w:r>
      <w:r>
        <w:rPr>
          <w:i/>
          <w:iCs/>
        </w:rPr>
        <w:t xml:space="preserve">frecuencia</w:t>
      </w:r>
      <w:r>
        <w:t xml:space="preserve"> por sí sola sobreestima los términos comunes; por eso suele ponderarse con esquemas como </w:t>
      </w:r>
      <w:r>
        <w:rPr>
          <w:i/>
          <w:iCs/>
        </w:rPr>
        <w:t xml:space="preserve">TF-IDF</w:t>
      </w:r>
      <w:r>
        <w:t xml:space="preserve">, que realzan los términos frecuentes en un documento, pero raros en el conjunto, aproximando mejor la especificidad de un término del dominio. Una evolución posterior son los </w:t>
      </w:r>
      <w:r>
        <w:rPr>
          <w:i/>
          <w:iCs/>
        </w:rPr>
        <w:t xml:space="preserve">embeddings</w:t>
      </w:r>
      <w:r>
        <w:t xml:space="preserve"> de palabras —word2vec, GloVe y, más tarde, los contextuales—, que representan cada término como un vector en un espacio donde la cercanía refleja similitud de uso; capturan relaciones semánticas superficiales, pero no comprenden ni redactan. El </w:t>
      </w:r>
      <w:r>
        <w:rPr>
          <w:i/>
          <w:iCs/>
        </w:rPr>
        <w:t xml:space="preserve">etiquetado gramatical</w:t>
      </w:r>
      <w:r>
        <w:t xml:space="preserve"> y el </w:t>
      </w:r>
      <w:r>
        <w:rPr>
          <w:i/>
          <w:iCs/>
        </w:rPr>
        <w:t xml:space="preserve">análisis de dependencias</w:t>
      </w:r>
      <w:r>
        <w:t xml:space="preserve"> aportan estructura sintáctica —útil para distinguir, por ejemplo, un sustantivo de un verbo—, y el </w:t>
      </w:r>
      <w:r>
        <w:rPr>
          <w:i/>
          <w:iCs/>
        </w:rPr>
        <w:t xml:space="preserve">NER</w:t>
      </w:r>
      <w:r>
        <w:t xml:space="preserve"> identifica entidades como personas u organizaciones. Todas estas técnicas mejoran la </w:t>
      </w:r>
      <w:r>
        <w:rPr>
          <w:i/>
          <w:iCs/>
        </w:rPr>
        <w:t xml:space="preserve">identificación</w:t>
      </w:r>
      <w:r>
        <w:t xml:space="preserve"> y aportan señales para una </w:t>
      </w:r>
      <w:r>
        <w:rPr>
          <w:i/>
          <w:iCs/>
        </w:rPr>
        <w:t xml:space="preserve">clasificación</w:t>
      </w:r>
      <w:r>
        <w:t xml:space="preserve"> tentativa, pero ninguna resuelve la </w:t>
      </w:r>
      <w:r>
        <w:rPr>
          <w:i/>
          <w:iCs/>
        </w:rPr>
        <w:t xml:space="preserve">descripción</w:t>
      </w:r>
      <w:r>
        <w:t xml:space="preserve">: producir la noción y el impacto de un símbolo excede lo que el análisis estadístico-estructural puede ofrecer, y es justamente la brecha que el enfoque generativo aborda.</w:t>
      </w:r>
    </w:p>
    <w:p>
      <w:pPr>
        <w:spacing w:after="160" w:line="276"/>
        <w:jc w:val="both"/>
      </w:pPr>
      <w:r>
        <w:t xml:space="preserve">Un último elemento teórico que atraviesa este trabajo es cómo se </w:t>
      </w:r>
      <w:r>
        <w:rPr>
          <w:i/>
          <w:iCs/>
        </w:rPr>
        <w:t xml:space="preserve">mide</w:t>
      </w:r>
      <w:r>
        <w:t xml:space="preserve"> la calidad de un LEL producido. La comparación entre enfoques se apoya en métricas heredadas de la recuperación de información: la </w:t>
      </w:r>
      <w:r>
        <w:rPr>
          <w:i/>
          <w:iCs/>
        </w:rPr>
        <w:t xml:space="preserve">precisión</w:t>
      </w:r>
      <w:r>
        <w:t xml:space="preserve"> —qué proporción de los símbolos producidos es correcta—, la </w:t>
      </w:r>
      <w:r>
        <w:rPr>
          <w:i/>
          <w:iCs/>
        </w:rPr>
        <w:t xml:space="preserve">cobertura</w:t>
      </w:r>
      <w:r>
        <w:t xml:space="preserve"> o </w:t>
      </w:r>
      <w:r>
        <w:rPr>
          <w:i/>
          <w:iCs/>
        </w:rPr>
        <w:t xml:space="preserve">recall</w:t>
      </w:r>
      <w:r>
        <w:t xml:space="preserve"> —qué proporción de los símbolos esperados fue efectivamente recuperada— y su media armónica, el </w:t>
      </w:r>
      <w:r>
        <w:rPr>
          <w:i/>
          <w:iCs/>
        </w:rPr>
        <w:t xml:space="preserve">F1</w:t>
      </w:r>
      <w:r>
        <w:t xml:space="preserve">, que penaliza los desequilibrios entre ambas. A ellas se suma una métrica propia del problema, la exactitud de clasificación de tipo, y una que captura la capacidad distintiva del enfoque generativo: la </w:t>
      </w:r>
      <w:r>
        <w:rPr>
          <w:i/>
          <w:iCs/>
        </w:rPr>
        <w:t xml:space="preserve">cobertura de descripciones</w:t>
      </w:r>
      <w:r>
        <w:t xml:space="preserve">, es decir, qué proporción de símbolos tiene noción e impacto no vacíos. Este marco de medición, desarrollado en detalle en la metodología (Capítulo 4), es el que permite contrastar de manera objetiva y reproducible el PLN tradicional con el pipeline basado en LLM.</w:t>
      </w:r>
    </w:p>
    <w:p>
      <w:pPr>
        <w:pStyle w:val="Heading2"/>
        <w:keepNext/>
      </w:pPr>
      <w:r>
        <w:t xml:space="preserve">2.11 Síntesis: por qué IA Generativa para construir el LEL</w:t>
      </w:r>
    </w:p>
    <w:p>
      <w:pPr>
        <w:spacing w:after="160" w:line="276"/>
        <w:jc w:val="both"/>
      </w:pPr>
      <w:r>
        <w:t xml:space="preserve">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pPr>
        <w:pStyle w:val="Heading1"/>
        <w:keepNext/>
        <w:pageBreakBefore/>
        <w:spacing w:after="200" w:before="420"/>
      </w:pPr>
      <w:r>
        <w:t xml:space="preserve">Capítulo 3 — Estado del Arte</w:t>
      </w:r>
    </w:p>
    <w:p>
      <w:pPr>
        <w:spacing w:after="160" w:line="276"/>
        <w:jc w:val="both"/>
      </w:pPr>
      <w:r>
        <w:t xml:space="preserve">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pPr>
        <w:pStyle w:val="Heading2"/>
        <w:keepNext/>
      </w:pPr>
      <w:r>
        <w:t xml:space="preserve">3.1 Alcance y criterio de la revisión</w:t>
      </w:r>
    </w:p>
    <w:p>
      <w:pPr>
        <w:spacing w:after="160" w:line="276"/>
        <w:jc w:val="both"/>
      </w:pPr>
      <w:r>
        <w:t xml:space="preserve">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pPr>
        <w:pStyle w:val="Heading2"/>
        <w:keepNext/>
      </w:pPr>
      <w:r>
        <w:t xml:space="preserve">3.2 Automatización de la elicitación y el modelado en IR</w:t>
      </w:r>
    </w:p>
    <w:p>
      <w:pPr>
        <w:spacing w:after="160" w:line="276"/>
        <w:jc w:val="both"/>
      </w:pPr>
      <w:r>
        <w:t xml:space="preserve">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pPr>
        <w:spacing w:after="160" w:line="276"/>
        <w:jc w:val="both"/>
      </w:pPr>
      <w: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Pr>
          <w:i/>
          <w:iCs/>
        </w:rPr>
        <w:t xml:space="preserve">qué palabras aparecen</w:t>
      </w:r>
      <w:r>
        <w:t xml:space="preserve">, pero no </w:t>
      </w:r>
      <w:r>
        <w:rPr>
          <w:i/>
          <w:iCs/>
        </w:rPr>
        <w:t xml:space="preserve">qué significan</w:t>
      </w:r>
      <w:r>
        <w:t xml:space="preserve"> ni </w:t>
      </w:r>
      <w:r>
        <w:rPr>
          <w:i/>
          <w:iCs/>
        </w:rPr>
        <w:t xml:space="preserve">cómo se relacionan</w:t>
      </w:r>
      <w:r>
        <w:t xml:space="preserve">.</w:t>
      </w:r>
    </w:p>
    <w:p>
      <w:pPr>
        <w:pStyle w:val="Heading2"/>
        <w:keepNext/>
      </w:pPr>
      <w:r>
        <w:t xml:space="preserve">3.3 Construcción (semi)automática de glosarios y del LEL con PLN tradicional</w:t>
      </w:r>
    </w:p>
    <w:p>
      <w:pPr>
        <w:spacing w:after="160" w:line="276"/>
        <w:jc w:val="both"/>
      </w:pPr>
      <w: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pPr>
        <w:spacing w:after="160" w:line="276"/>
        <w:jc w:val="both"/>
      </w:pPr>
      <w:r>
        <w:t xml:space="preserve">En direcciones complementarias, Antonelli, Lezoche y Delle Ville [19] aplican PLN para </w:t>
      </w:r>
      <w:r>
        <w:rPr>
          <w:i/>
          <w:iCs/>
        </w:rPr>
        <w:t xml:space="preserve">extraer conocimiento</w:t>
      </w:r>
      <w: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pPr>
        <w:spacing w:after="160" w:line="276"/>
        <w:jc w:val="both"/>
      </w:pPr>
      <w:r>
        <w:t xml:space="preserve">Este trabajo se posiciona como una </w:t>
      </w:r>
      <w:r>
        <w:rPr>
          <w:i/>
          <w:iCs/>
        </w:rPr>
        <w:t xml:space="preserve">extensión</w:t>
      </w:r>
      <w: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pPr>
        <w:pStyle w:val="Heading2"/>
        <w:keepNext/>
      </w:pPr>
      <w:r>
        <w:t xml:space="preserve">3.4 Grandes Modelos de Lenguaje aplicados a la IR</w:t>
      </w:r>
    </w:p>
    <w:p>
      <w:pPr>
        <w:spacing w:after="160" w:line="276"/>
        <w:jc w:val="both"/>
      </w:pPr>
      <w:r>
        <w:t xml:space="preserve">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pPr>
        <w:spacing w:after="160" w:line="276"/>
        <w:jc w:val="both"/>
      </w:pPr>
      <w: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Pr>
          <w:i/>
          <w:iCs/>
        </w:rPr>
        <w:t xml:space="preserve">prompting</w:t>
      </w:r>
      <w: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como símbolos inexistentes o descripciones no respaldadas por las entrevistas. De ahí que el consenso emergente insista en un encuadre metodológico cuidadoso y en salvaguardas explícitas.</w:t>
      </w:r>
    </w:p>
    <w:p>
      <w:pPr>
        <w:pStyle w:val="Heading2"/>
        <w:keepNext/>
      </w:pPr>
      <w:r>
        <w:t xml:space="preserve">3.5 Entrevistas de elicitación asistidas por LLM</w:t>
      </w:r>
    </w:p>
    <w:p>
      <w:pPr>
        <w:spacing w:after="160" w:line="276"/>
        <w:jc w:val="both"/>
      </w:pPr>
      <w: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Pr>
          <w:i/>
          <w:iCs/>
        </w:rPr>
        <w:t xml:space="preserve">generar los guiones</w:t>
      </w:r>
      <w: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pPr>
        <w:spacing w:after="160" w:line="276"/>
        <w:jc w:val="both"/>
      </w:pPr>
      <w:r>
        <w:t xml:space="preserve">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pPr>
        <w:pStyle w:val="Heading2"/>
        <w:keepNext/>
      </w:pPr>
      <w:r>
        <w:t xml:space="preserve">3.6 Síntesis comparativa</w:t>
      </w:r>
    </w:p>
    <w:p>
      <w:pPr>
        <w:spacing w:after="160" w:line="276"/>
        <w:jc w:val="both"/>
      </w:pPr>
      <w:r>
        <w:t xml:space="preserve">La Tabla 3.1 sintetiza el panorama y ubica el aporte de este trabajo respecto de los enfoques previos.</w:t>
      </w:r>
    </w:p>
    <w:p>
      <w:pPr>
        <w:spacing w:after="70" w:before="180"/>
        <w:jc w:val="center"/>
      </w:pPr>
      <w:r>
        <w:rPr>
          <w:color w:val="333333"/>
          <w:sz w:val="19"/>
          <w:szCs w:val="19"/>
        </w:rPr>
        <w:t xml:space="preserve">Tabla 3.1. Posicionamiento comparativo de los enfoques de construcción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1500"/>
        <w:gridCol w:w="1560"/>
        <w:gridCol w:w="14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Identifica términos</w:t>
            </w:r>
          </w:p>
        </w:tc>
        <w:tc>
          <w:tcPr>
            <w:tcW w:type="dxa" w:w="1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Clasifica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Genera noción/impacto</w:t>
            </w:r>
          </w:p>
        </w:tc>
        <w:tc>
          <w:tcPr>
            <w:tcW w:type="dxa" w:w="1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Evalúa vs Gold Standard</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Entrada</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frecuencia/NER (antecedente UB) [17]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 / tentativo</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Muy incompleto</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Documentos descriptivos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PLN/LLM sobre el LEL [19], [22]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 según tarea</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Variable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 especificaciones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de entrevistas a requisitos [14]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[14]</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manual (estrategia orientada al cliente) [24], [5]</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 (experto)</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Referencia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Entrevistas + documentos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Este trabajo (LEL con IA Generativa)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(automático + revisión)</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protocolo determinístico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 transcriptas</w:t>
            </w:r>
          </w:p>
        </w:tc>
      </w:tr>
    </w:tbl>
    <w:p>
      <w:pPr>
        <w:pStyle w:val="Heading2"/>
        <w:keepNext/>
      </w:pPr>
      <w:r>
        <w:t xml:space="preserve">3.7 Brecha identificada y posicionamiento</w:t>
      </w:r>
    </w:p>
    <w:p>
      <w:pPr>
        <w:spacing w:after="160" w:line="276"/>
        <w:jc w:val="both"/>
      </w:pPr>
      <w:r>
        <w:t xml:space="preserve">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pPr>
        <w:pStyle w:val="Heading1"/>
        <w:keepNext/>
        <w:pageBreakBefore/>
        <w:spacing w:after="200" w:before="420"/>
      </w:pPr>
      <w:r>
        <w:t xml:space="preserve">Capítulo 4 — Metodología y Diseño Experimental</w:t>
      </w:r>
    </w:p>
    <w:p>
      <w:pPr>
        <w:pStyle w:val="Heading2"/>
        <w:keepNext/>
      </w:pPr>
      <w:r>
        <w:t xml:space="preserve">4.1 Encuadre metodológico</w:t>
      </w:r>
    </w:p>
    <w:p>
      <w:pPr>
        <w:spacing w:after="160" w:line="276"/>
        <w:jc w:val="both"/>
      </w:pPr>
      <w:r>
        <w:t xml:space="preserve">Este Trabajo Final de Carrera adopta el paradigma de </w:t>
      </w:r>
      <w:r>
        <w:rPr>
          <w:i/>
          <w:iCs/>
        </w:rPr>
        <w:t xml:space="preserve">Ciencia del Diseño</w:t>
      </w:r>
      <w: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pPr>
        <w:pStyle w:val="Heading2"/>
        <w:keepNext/>
      </w:pPr>
      <w:r>
        <w:t xml:space="preserve">4.2 Preguntas de investigación e hipótesis</w:t>
      </w:r>
    </w:p>
    <w:p>
      <w:pPr>
        <w:spacing w:after="160" w:line="276"/>
        <w:jc w:val="both"/>
      </w:pPr>
      <w:r>
        <w:t xml:space="preserve">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pPr>
        <w:pStyle w:val="Heading2"/>
        <w:keepNext/>
      </w:pPr>
      <w:r>
        <w:t xml:space="preserve">4.3 Variables del experimento</w:t>
      </w:r>
    </w:p>
    <w:p>
      <w:pPr>
        <w:spacing w:after="160" w:line="276"/>
        <w:jc w:val="both"/>
      </w:pPr>
      <w:r>
        <w:t xml:space="preserve">La </w:t>
      </w:r>
      <w:r>
        <w:rPr>
          <w:i/>
          <w:iCs/>
        </w:rPr>
        <w:t xml:space="preserve">variable independiente</w:t>
      </w:r>
      <w:r>
        <w:t xml:space="preserve"> es el método de construcción del LEL, con sus configuraciones (sección 4.7), denominada </w:t>
      </w:r>
      <w:r>
        <w:rPr>
          <w:i/>
          <w:iCs/>
        </w:rPr>
        <w:t xml:space="preserve">tratamiento</w:t>
      </w:r>
      <w:r>
        <w:t xml:space="preserve">, es decir, cada enfoque automático de construcción del LEL. Las </w:t>
      </w:r>
      <w:r>
        <w:rPr>
          <w:i/>
          <w:iCs/>
        </w:rPr>
        <w:t xml:space="preserve">variables dependientes</w:t>
      </w:r>
      <w: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pPr>
        <w:pStyle w:val="Heading2"/>
        <w:keepNext/>
      </w:pPr>
      <w:r>
        <w:t xml:space="preserve">4.4 Objeto de estudio: el caso ecoFactory</w:t>
      </w:r>
    </w:p>
    <w:p>
      <w:pPr>
        <w:spacing w:after="160" w:line="276"/>
        <w:jc w:val="both"/>
      </w:pPr>
      <w:r>
        <w:t xml:space="preserve">El caso de estudio es </w:t>
      </w:r>
      <w:r>
        <w:rPr>
          <w:i/>
          <w:iCs/>
        </w:rPr>
        <w:t xml:space="preserve">ecoFactory</w:t>
      </w:r>
      <w:r>
        <w:t xml:space="preserve">,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pPr>
        <w:pStyle w:val="Heading2"/>
        <w:keepNext/>
      </w:pPr>
      <w:r>
        <w:t xml:space="preserve">4.5 Corpus de entrada</w:t>
      </w:r>
    </w:p>
    <w:p>
      <w:pPr>
        <w:spacing w:after="160" w:line="276"/>
        <w:jc w:val="both"/>
      </w:pPr>
      <w: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El diseño global se resume en la Fig. 4.1.</w:t>
      </w:r>
    </w:p>
    <w:p>
      <w:pPr>
        <w:spacing w:after="60" w:before="16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color w:val="333333"/>
          <w:sz w:val="19"/>
          <w:szCs w:val="19"/>
        </w:rPr>
        <w:t xml:space="preserve">Fig. 4.1. Diseño experimental: todos los tratamientos reciben el mismo corpus de cuatro entrevistas reales y se miden contra el mismo Gold Standard mediante un protocolo de emparejamiento determinístico.</w:t>
      </w:r>
    </w:p>
    <w:p>
      <w:pPr>
        <w:pStyle w:val="Heading2"/>
        <w:keepNext/>
      </w:pPr>
      <w:r>
        <w:t xml:space="preserve">4.6 Gold Standard de referencia</w:t>
      </w:r>
    </w:p>
    <w:p>
      <w:pPr>
        <w:spacing w:after="160" w:line="276"/>
        <w:jc w:val="both"/>
      </w:pPr>
      <w:r>
        <w:t xml:space="preserve">La verdad de referencia es el </w:t>
      </w:r>
      <w:r>
        <w:rPr>
          <w:i/>
          <w:iCs/>
        </w:rPr>
        <w:t xml:space="preserve">Gold Standard</w:t>
      </w:r>
      <w:r>
        <w:t xml:space="preserve"> del LEL de ecoFactory: los 21 símbolos tipados (Sujeto/Objeto/Verbo/Estado) con su noción e impacto, tal como fueron construidos, verificados y validados manualmente en el trabajo de origen [13]. Este conjunto completo, denominado </w:t>
      </w:r>
      <w:r>
        <w:rPr>
          <w:i/>
          <w:iCs/>
        </w:rPr>
        <w:t xml:space="preserve">GS-Completo</w:t>
      </w:r>
      <w:r>
        <w:t xml:space="preserve">,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pPr>
        <w:spacing w:after="160" w:line="276"/>
        <w:jc w:val="both"/>
      </w:pPr>
      <w:r>
        <w:t xml:space="preserve">En consecuencia, no todos esos 21 símbolos tienen sustento textual en las cuatro entrevistas transcriptas. Por eso se identifica, dentro del GS-Completo, el subconjunto de símbolos efectivamente </w:t>
      </w:r>
      <w:r>
        <w:rPr>
          <w:i/>
          <w:iCs/>
        </w:rPr>
        <w:t xml:space="preserve">recuperables</w:t>
      </w:r>
      <w:r>
        <w:t xml:space="preserve"> del corpus disponible: 15 de los 21 (</w:t>
      </w:r>
      <w:r>
        <w:rPr>
          <w:i/>
          <w:iCs/>
        </w:rPr>
        <w:t xml:space="preserve">GS-Corpus</w:t>
      </w:r>
      <w:r>
        <w:t xml:space="preserve">). La diferencia entre ambos —la </w:t>
      </w:r>
      <w:r>
        <w:rPr>
          <w:i/>
          <w:iCs/>
        </w:rPr>
        <w:t xml:space="preserve">brecha de recuperabilidad</w:t>
      </w:r>
      <w:r>
        <w:t xml:space="preserve">—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GS-Corpus (blanco alcanzable).</w:t>
      </w:r>
    </w:p>
    <w:p>
      <w:pPr>
        <w:pStyle w:val="Heading2"/>
        <w:keepNext/>
      </w:pPr>
      <w:r>
        <w:t xml:space="preserve">4.7 Tratamientos comparados</w:t>
      </w:r>
    </w:p>
    <w:p>
      <w:pPr>
        <w:spacing w:after="160" w:line="276"/>
        <w:jc w:val="both"/>
      </w:pPr>
      <w:r>
        <w:t xml:space="preserve">Se diseñaron cinco tratamientos diferentes de modelado automático del LEL para comparar la eficacia de cada uno. Todos los tratamientos reciben el mismo corpus y se miden contra el mismo Gold Standard (Tabla 4.2).</w:t>
      </w:r>
    </w:p>
    <w:p>
      <w:pPr>
        <w:spacing w:after="70" w:before="180"/>
        <w:jc w:val="center"/>
      </w:pPr>
      <w:r>
        <w:rPr>
          <w:color w:val="333333"/>
          <w:sz w:val="19"/>
          <w:szCs w:val="19"/>
        </w:rPr>
        <w:t xml:space="preserve">Tabla 4.2. Tratamientos comparados en el experimento.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C1a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 frecuencia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Réplica del antecedente UB: análisis de frecuencia/Pareto y extracción de candidatos. Identifica términos; no genera noción/impacto.</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C1b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 — spaCy</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Análisis lingüístico (POS, lematización, sintagmas nominales, NER). No genera noción/impacto.</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básica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Pipeline en una pasada de extracción y clasificación, con descripción por símbolo (zero-shot), sin auto-verificación.</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C2b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LLM — multi-etapa</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Etapas separadas de extracción, clasificación y descripción con ejemplos (few-shot), sin auto-verificación.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C2c</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completa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C2b más una etapa de auto-verificación del borrador contra el checklist de inspección.</w:t>
            </w:r>
          </w:p>
        </w:tc>
      </w:tr>
    </w:tbl>
    <w:p>
      <w:pPr>
        <w:spacing w:after="120"/>
      </w:pPr>
    </w:p>
    <w:p>
      <w:pPr>
        <w:spacing w:after="160" w:line="276"/>
        <w:jc w:val="both"/>
      </w:pPr>
      <w:r>
        <w:t xml:space="preserve">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pPr>
        <w:spacing w:after="60" w:before="1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color w:val="333333"/>
          <w:sz w:val="19"/>
          <w:szCs w:val="19"/>
        </w:rPr>
        <w:t xml:space="preserve">Fig. 4.2. Pipeline del prototipo basado en LLM. Cada etapa usa un prompt propio que codifica las reglas del método LEL; las configuraciones C2a, C2b y C2c activan progresivamente los ejemplos y la auto-verificación.</w:t>
      </w:r>
    </w:p>
    <w:p>
      <w:pPr>
        <w:pStyle w:val="Heading2"/>
        <w:keepNext/>
      </w:pPr>
      <w:r>
        <w:t xml:space="preserve">4.8 Procedimiento experimental</w:t>
      </w:r>
    </w:p>
    <w:p>
      <w:pPr>
        <w:spacing w:after="160" w:line="276"/>
        <w:jc w:val="both"/>
      </w:pPr>
      <w:r>
        <w:t xml:space="preserve">A continuación, se describen los pasos del procedimiento experimental, en el orden en que se ejecutarían:</w:t>
      </w:r>
    </w:p>
    <w:p>
      <w:pPr>
        <w:pStyle w:val="ListParagraph"/>
        <w:numPr>
          <w:ilvl w:val="0"/>
          <w:numId w:val="4"/>
        </w:numPr>
        <w:spacing w:after="90" w:line="270"/>
        <w:jc w:val="both"/>
      </w:pPr>
      <w:r>
        <w:t xml:space="preserve">Construcción del Gold Standard (tarea previa e independiente de las restantes): consolidación y verificación del LEL manual de ecoFactory, congelado como referencia.</w:t>
      </w:r>
    </w:p>
    <w:p>
      <w:pPr>
        <w:pStyle w:val="ListParagraph"/>
        <w:numPr>
          <w:ilvl w:val="0"/>
          <w:numId w:val="4"/>
        </w:numPr>
        <w:spacing w:after="90" w:line="270"/>
        <w:jc w:val="both"/>
      </w:pPr>
      <w:r>
        <w:t xml:space="preserve">Preparación del corpus: limpieza de las transcripciones y conformación de las Configuraciones A y B.</w:t>
      </w:r>
    </w:p>
    <w:p>
      <w:pPr>
        <w:pStyle w:val="ListParagraph"/>
        <w:numPr>
          <w:ilvl w:val="0"/>
          <w:numId w:val="4"/>
        </w:numPr>
        <w:spacing w:after="90" w:line="270"/>
        <w:jc w:val="both"/>
      </w:pPr>
      <w:r>
        <w:t xml:space="preserve">Ejecución de los baselines de PLN (C1a, C1b) sobre cada configuración.</w:t>
      </w:r>
    </w:p>
    <w:p>
      <w:pPr>
        <w:pStyle w:val="ListParagraph"/>
        <w:numPr>
          <w:ilvl w:val="0"/>
          <w:numId w:val="4"/>
        </w:numPr>
        <w:spacing w:after="90" w:line="270"/>
        <w:jc w:val="both"/>
      </w:pPr>
      <w:r>
        <w:t xml:space="preserve">Ejecución del pipeline LLM (C2a, C2b, C2c) sobre cada uno de los modelos LLM candidatos, con múltiples corridas por combinación para estimar variabilidad.</w:t>
      </w:r>
    </w:p>
    <w:p>
      <w:pPr>
        <w:pStyle w:val="ListParagraph"/>
        <w:numPr>
          <w:ilvl w:val="0"/>
          <w:numId w:val="4"/>
        </w:numPr>
        <w:spacing w:after="90" w:line="270"/>
        <w:jc w:val="both"/>
      </w:pPr>
      <w:r>
        <w:t xml:space="preserve">Emparejamiento de cada LEL producido contra el Gold Standard según el protocolo (sección 4.10).</w:t>
      </w:r>
    </w:p>
    <w:p>
      <w:pPr>
        <w:pStyle w:val="ListParagraph"/>
        <w:numPr>
          <w:ilvl w:val="0"/>
          <w:numId w:val="4"/>
        </w:numPr>
        <w:spacing w:after="90" w:line="270"/>
        <w:jc w:val="both"/>
      </w:pPr>
      <w:r>
        <w:t xml:space="preserve">Cómputo de métricas cuantitativas (sección 4.9).</w:t>
      </w:r>
    </w:p>
    <w:p>
      <w:pPr>
        <w:pStyle w:val="ListParagraph"/>
        <w:numPr>
          <w:ilvl w:val="0"/>
          <w:numId w:val="4"/>
        </w:numPr>
        <w:spacing w:after="90" w:line="270"/>
        <w:jc w:val="both"/>
      </w:pPr>
      <w:r>
        <w:t xml:space="preserve">Análisis cualitativo: defectos, alucinaciones y manejo del lenguaje coloquial y de las contradicciones entre fuentes.</w:t>
      </w:r>
    </w:p>
    <w:p>
      <w:pPr>
        <w:pStyle w:val="ListParagraph"/>
        <w:numPr>
          <w:ilvl w:val="0"/>
          <w:numId w:val="4"/>
        </w:numPr>
        <w:spacing w:after="90" w:line="270"/>
        <w:jc w:val="both"/>
      </w:pPr>
      <w:r>
        <w:t xml:space="preserve">Síntesis comparativa y contrastación de la hipótesis.</w:t>
      </w:r>
    </w:p>
    <w:p>
      <w:pPr>
        <w:pStyle w:val="Heading2"/>
        <w:keepNext/>
      </w:pPr>
      <w:r>
        <w:t xml:space="preserve">4.9 Métricas</w:t>
      </w:r>
    </w:p>
    <w:p>
      <w:pPr>
        <w:spacing w:after="160" w:line="276"/>
        <w:jc w:val="both"/>
      </w:pPr>
      <w:r>
        <w:t xml:space="preserve">Las métricas se apoyan en la literatura sobre procesamiento de la información elicitada [8] y en las métricas estándar de recuperación de información. Se calculan, cuando corresponde, contra GS-Corpus y contra GS-Completo.</w:t>
      </w:r>
    </w:p>
    <w:p>
      <w:pPr>
        <w:pStyle w:val="ListParagraph"/>
        <w:numPr>
          <w:ilvl w:val="0"/>
          <w:numId w:val="3"/>
        </w:numPr>
        <w:spacing w:after="90" w:line="270"/>
        <w:jc w:val="both"/>
      </w:pPr>
      <w:r>
        <w:rPr>
          <w:i/>
          <w:iCs/>
        </w:rPr>
        <w:t xml:space="preserve">Identificación de símbolos:</w:t>
      </w:r>
      <w:r>
        <w:t xml:space="preserve"> términos correctos (verdaderos positivos), omitidos (falsos negativos) e irrelevantes o inventados (falsos positivos, incluidas alucinaciones). De allí: precisión, cobertura (recall) y F1.</w:t>
      </w:r>
    </w:p>
    <w:p>
      <w:pPr>
        <w:pStyle w:val="ListParagraph"/>
        <w:numPr>
          <w:ilvl w:val="0"/>
          <w:numId w:val="3"/>
        </w:numPr>
        <w:spacing w:after="90" w:line="270"/>
        <w:jc w:val="both"/>
      </w:pPr>
      <w:r>
        <w:rPr>
          <w:i/>
          <w:iCs/>
        </w:rPr>
        <w:t xml:space="preserve">Clasificación de tipo:</w:t>
      </w:r>
      <w:r>
        <w:t xml:space="preserve"> exactitud de la asignación Sujeto/Objeto/Verbo/Estado sobre los símbolos correctamente identificados, con matriz de confusión.</w:t>
      </w:r>
    </w:p>
    <w:p>
      <w:pPr>
        <w:pStyle w:val="ListParagraph"/>
        <w:numPr>
          <w:ilvl w:val="0"/>
          <w:numId w:val="3"/>
        </w:numPr>
        <w:spacing w:after="90" w:line="270"/>
        <w:jc w:val="both"/>
      </w:pPr>
      <w:r>
        <w:rPr>
          <w:i/>
          <w:iCs/>
        </w:rPr>
        <w:t xml:space="preserve">Calidad de descripciones:</w:t>
      </w:r>
      <w:r>
        <w:t xml:space="preserve"> oraciones correctas e incorrectas en noción e impacto; completitud respecto de la plantilla; cumplimiento de las reglas del LEL (circularidad, vocabulario mínimo, atomicidad), perfilado con la taxonomía de defectos de la inspección.</w:t>
      </w:r>
    </w:p>
    <w:p>
      <w:pPr>
        <w:pStyle w:val="ListParagraph"/>
        <w:numPr>
          <w:ilvl w:val="0"/>
          <w:numId w:val="3"/>
        </w:numPr>
        <w:spacing w:after="90" w:line="270"/>
        <w:jc w:val="both"/>
      </w:pPr>
      <w:r>
        <w:rPr>
          <w:i/>
          <w:iCs/>
        </w:rPr>
        <w:t xml:space="preserve">Eficiencia:</w:t>
      </w:r>
      <w:r>
        <w:t xml:space="preserve"> tiempo total de construcción y tiempo promedio por símbolo, y reducción de esfuerzo frente al proceso manual; como referencia humana se dispone del tiempo de verificación del LEL manual registrado en el caso (2 h 43 min).</w:t>
      </w:r>
    </w:p>
    <w:p>
      <w:pPr>
        <w:pStyle w:val="Heading2"/>
        <w:keepNext/>
      </w:pPr>
      <w:r>
        <w:t xml:space="preserve">4.10 Protocolo de emparejamiento</w:t>
      </w:r>
    </w:p>
    <w:p>
      <w:pPr>
        <w:spacing w:after="160" w:line="276"/>
        <w:jc w:val="both"/>
      </w:pPr>
      <w: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pPr>
        <w:pStyle w:val="Heading2"/>
        <w:keepNext/>
      </w:pPr>
      <w:r>
        <w:t xml:space="preserve">4.11 Análisis cualitativo</w:t>
      </w:r>
    </w:p>
    <w:p>
      <w:pPr>
        <w:spacing w:after="160" w:line="276"/>
        <w:jc w:val="both"/>
      </w:pPr>
      <w:r>
        <w:t xml:space="preserve">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pPr>
        <w:pStyle w:val="Heading2"/>
        <w:keepNext/>
      </w:pPr>
      <w:r>
        <w:t xml:space="preserve">4.12 Amenazas a la validez</w:t>
      </w:r>
    </w:p>
    <w:p>
      <w:pPr>
        <w:pStyle w:val="ListParagraph"/>
        <w:numPr>
          <w:ilvl w:val="0"/>
          <w:numId w:val="3"/>
        </w:numPr>
        <w:spacing w:after="90" w:line="270"/>
        <w:jc w:val="both"/>
      </w:pPr>
      <w:r>
        <w:rPr>
          <w:i/>
          <w:iCs/>
        </w:rPr>
        <w:t xml:space="preserve">Validez de constructo.</w:t>
      </w:r>
      <w:r>
        <w:t xml:space="preserve"> ¿Las métricas capturan la calidad del LEL? Se mitiga apoyando la evaluación en la taxonomía de defectos y el checklist de inspección ya validados en la práctica.</w:t>
      </w:r>
    </w:p>
    <w:p>
      <w:pPr>
        <w:pStyle w:val="ListParagraph"/>
        <w:numPr>
          <w:ilvl w:val="0"/>
          <w:numId w:val="3"/>
        </w:numPr>
        <w:spacing w:after="90" w:line="270"/>
        <w:jc w:val="both"/>
      </w:pPr>
      <w:r>
        <w:rPr>
          <w:i/>
          <w:iCs/>
        </w:rPr>
        <w:t xml:space="preserve">Validez interna.</w:t>
      </w:r>
      <w: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pPr>
        <w:pStyle w:val="ListParagraph"/>
        <w:numPr>
          <w:ilvl w:val="0"/>
          <w:numId w:val="3"/>
        </w:numPr>
        <w:spacing w:after="90" w:line="270"/>
        <w:jc w:val="both"/>
      </w:pPr>
      <w:r>
        <w:rPr>
          <w:i/>
          <w:iCs/>
        </w:rPr>
        <w:t xml:space="preserve">Validez externa.</w:t>
      </w:r>
      <w: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pPr>
        <w:pStyle w:val="ListParagraph"/>
        <w:numPr>
          <w:ilvl w:val="0"/>
          <w:numId w:val="3"/>
        </w:numPr>
        <w:spacing w:after="90" w:line="270"/>
        <w:jc w:val="both"/>
      </w:pPr>
      <w:r>
        <w:rPr>
          <w:i/>
          <w:iCs/>
        </w:rPr>
        <w:t xml:space="preserve">Validez de conclusión.</w:t>
      </w:r>
      <w:r>
        <w:t xml:space="preserve"> La variabilidad del LLM se mitiga con múltiples corridas, temperatura y semilla fijas, y el reporte de la dispersión.</w:t>
      </w:r>
    </w:p>
    <w:p>
      <w:pPr>
        <w:pStyle w:val="ListParagraph"/>
        <w:numPr>
          <w:ilvl w:val="0"/>
          <w:numId w:val="3"/>
        </w:numPr>
        <w:spacing w:after="90" w:line="270"/>
        <w:jc w:val="both"/>
      </w:pPr>
      <w:r>
        <w:t xml:space="preserve">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pPr>
        <w:pStyle w:val="Heading2"/>
        <w:keepNext/>
      </w:pPr>
      <w:r>
        <w:t xml:space="preserve">4.13 Reproducibilidad</w:t>
      </w:r>
    </w:p>
    <w:p>
      <w:pPr>
        <w:spacing w:after="160" w:line="276"/>
        <w:jc w:val="both"/>
      </w:pPr>
      <w:r>
        <w:t xml:space="preserve">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pPr>
        <w:pStyle w:val="Heading1"/>
        <w:keepNext/>
        <w:pageBreakBefore/>
        <w:spacing w:after="200" w:before="420"/>
      </w:pPr>
      <w:r>
        <w:t xml:space="preserve">Capítulo 5 — Aplicación del Prototipo al Caso de Estudio ecoFactory</w:t>
      </w:r>
    </w:p>
    <w:p>
      <w:pPr>
        <w:spacing w:after="160" w:line="276"/>
        <w:jc w:val="both"/>
      </w:pPr>
      <w:r>
        <w:t xml:space="preserve">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pPr>
        <w:pStyle w:val="Heading2"/>
        <w:keepNext/>
      </w:pPr>
      <w:r>
        <w:t xml:space="preserve">5.1 Presentación del caso</w:t>
      </w:r>
    </w:p>
    <w:p>
      <w:pPr>
        <w:spacing w:after="160" w:line="276"/>
        <w:jc w:val="both"/>
      </w:pPr>
      <w:r>
        <w:t xml:space="preserve">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pPr>
        <w:spacing w:after="160" w:line="276"/>
        <w:jc w:val="both"/>
      </w:pPr>
      <w:r>
        <w:t xml:space="preserve">En el plano del negocio, el caso describe una empresa dedicada a la fabricación y distribución de bolsas ecológicas, con clientes que compran en volumen (</w:t>
      </w:r>
      <w:r>
        <w:rPr>
          <w:i/>
          <w:iCs/>
        </w:rPr>
        <w:t xml:space="preserve">clientes mayoristas</w:t>
      </w:r>
      <w:r>
        <w:t xml:space="preserve">, como cadenas de supermercados) y una operación que se apoya en un </w:t>
      </w:r>
      <w:r>
        <w:rPr>
          <w:i/>
          <w:iCs/>
        </w:rPr>
        <w:t xml:space="preserve">sistema ERP</w:t>
      </w:r>
      <w: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pPr>
        <w:spacing w:after="160" w:line="276"/>
        <w:jc w:val="both"/>
      </w:pPr>
      <w:r>
        <w:t xml:space="preserve">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pPr>
        <w:pStyle w:val="Heading2"/>
        <w:keepNext/>
      </w:pPr>
      <w:r>
        <w:t xml:space="preserve">5.2 Actores del dominio</w:t>
      </w:r>
    </w:p>
    <w:p>
      <w:pPr>
        <w:spacing w:after="160" w:line="276"/>
        <w:jc w:val="both"/>
      </w:pPr>
      <w:r>
        <w:t xml:space="preserve">El dominio involucra tres actores internos —el Dueño, el Gerente Comercial y el Operario del ERP— que interactúan con el Sistema ERP, y dos entidades externas a ecoFactory: el Responsable del ERP (personal de la empresa proveedora del sistema) y la AFIP. El Cliente, en particular el Cliente Mayorista, es una entidad externa adicional con la que interactúa el Gerente Comercial. La Fig. 5.1 los esquematiza.</w:t>
      </w:r>
    </w:p>
    <w:p>
      <w:pPr>
        <w:spacing w:after="60" w:before="160"/>
        <w:jc w:val="center"/>
      </w:pPr>
      <w:r>
        <w:drawing>
          <wp:inline distT="0" distB="0" distL="0" distR="0">
            <wp:extent cx="5334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color w:val="333333"/>
          <w:sz w:val="19"/>
          <w:szCs w:val="19"/>
        </w:rPr>
        <w:t xml:space="preserve">Fig. 5.1. Actores del dominio de ecoFactory. Los sujetos internos operan sobre el Sistema ERP; el Cliente, la AFIP y el Responsable del ERP son entidades externas que interactúan con la empresa.</w:t>
      </w:r>
    </w:p>
    <w:p>
      <w:pPr>
        <w:spacing w:after="120"/>
      </w:pPr>
    </w:p>
    <w:p>
      <w:pPr>
        <w:spacing w:after="160" w:line="276"/>
        <w:jc w:val="both"/>
      </w:pPr>
      <w:r>
        <w:t xml:space="preserve">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pPr>
        <w:pStyle w:val="Heading2"/>
        <w:keepNext/>
      </w:pPr>
      <w:r>
        <w:t xml:space="preserve">5.3 El circuito del pedido</w:t>
      </w:r>
    </w:p>
    <w:p>
      <w:pPr>
        <w:spacing w:after="160" w:line="276"/>
        <w:jc w:val="both"/>
      </w:pPr>
      <w:r>
        <w:t xml:space="preserve">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pPr>
        <w:spacing w:after="60" w:before="16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color w:val="333333"/>
          <w:sz w:val="19"/>
          <w:szCs w:val="19"/>
        </w:rPr>
        <w:t xml:space="preserve">Fig. 5.2. Circuito del pedido en ecoFactory. Los recuadros ámbar representan Estados del LEL (Pedido Aprobado, Pedido Finalizado); el resto, actividades y objetos del circuito.</w:t>
      </w:r>
    </w:p>
    <w:p>
      <w:pPr>
        <w:spacing w:after="120"/>
      </w:pPr>
    </w:p>
    <w:p>
      <w:pPr>
        <w:spacing w:after="160" w:line="276"/>
        <w:jc w:val="both"/>
      </w:pPr>
      <w:r>
        <w:t xml:space="preserve">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pPr>
        <w:pStyle w:val="Heading2"/>
        <w:keepNext/>
      </w:pPr>
      <w:r>
        <w:t xml:space="preserve">5.4 La elicitación: las entrevistas</w:t>
      </w:r>
    </w:p>
    <w:p>
      <w:pPr>
        <w:spacing w:after="160" w:line="276"/>
        <w:jc w:val="both"/>
      </w:pPr>
      <w:r>
        <w:t xml:space="preserve">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pPr>
        <w:spacing w:after="70" w:before="180"/>
        <w:jc w:val="center"/>
      </w:pPr>
      <w:r>
        <w:rPr>
          <w:color w:val="333333"/>
          <w:sz w:val="19"/>
          <w:szCs w:val="19"/>
        </w:rPr>
        <w:t xml:space="preserve">Tabla 5.1. Entrevistas que conforman el corpus de ecoFactory.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3200"/>
        <w:gridCol w:w="220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w:t>
            </w:r>
          </w:p>
        </w:tc>
        <w:tc>
          <w:tcPr>
            <w:tcW w:type="dxa" w:w="3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Rol</w:t>
            </w:r>
          </w:p>
        </w:tc>
        <w:tc>
          <w:tcPr>
            <w:tcW w:type="dxa" w:w="3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 de entrevista</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Dueño</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Gerente Comercial</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 del ERP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Responsable del ERP</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bl>
    <w:p>
      <w:pPr>
        <w:spacing w:after="120"/>
      </w:pPr>
    </w:p>
    <w:p>
      <w:pPr>
        <w:spacing w:after="160" w:line="276"/>
        <w:jc w:val="both"/>
      </w:pPr>
      <w:r>
        <w:t xml:space="preserve">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pPr>
        <w:pStyle w:val="Heading2"/>
        <w:keepNext/>
      </w:pPr>
      <w:r>
        <w:t xml:space="preserve">5.5 Construcción del LEL de referencia</w:t>
      </w:r>
    </w:p>
    <w:p>
      <w:pPr>
        <w:spacing w:after="160" w:line="276"/>
        <w:jc w:val="both"/>
      </w:pPr>
      <w:r>
        <w:t xml:space="preserve">El LEL de referencia de ecoFactory fue construido manualmente por los autores, aplicando la estrategia orientada al cliente [5] y la técnica de facilitación gráfica [29]. El proceso siguió las actividades 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pPr>
        <w:pStyle w:val="Heading2"/>
        <w:keepNext/>
      </w:pPr>
      <w:r>
        <w:t xml:space="preserve">5.6 El Gold Standard</w:t>
      </w:r>
    </w:p>
    <w:p>
      <w:pPr>
        <w:spacing w:after="160" w:line="276"/>
        <w:jc w:val="both"/>
      </w:pPr>
      <w:r>
        <w:t xml:space="preserve">El Gold Standard reúne el LEL de ecoFactory en </w:t>
      </w:r>
      <w:r>
        <w:rPr>
          <w:i/>
          <w:iCs/>
        </w:rPr>
        <w:t xml:space="preserve">21 símbolos</w:t>
      </w:r>
      <w:r>
        <w:t xml:space="preserve">: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pPr>
        <w:spacing w:after="70" w:before="180"/>
        <w:jc w:val="center"/>
      </w:pPr>
      <w:r>
        <w:rPr>
          <w:color w:val="333333"/>
          <w:sz w:val="19"/>
          <w:szCs w:val="19"/>
        </w:rPr>
        <w:t xml:space="preserve">Tabla 5.2. Los 21 símbolos del Gold Standard de ecoFactory y su recuperabilidad desde las cuatro entrevistas transcriptas.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20"/>
        <w:gridCol w:w="3940"/>
        <w:gridCol w:w="1400"/>
        <w:gridCol w:w="2200"/>
      </w:tblGrid>
      <w:tr>
        <w:trPr>
          <w:tblHeader/>
        </w:trPr>
        <w:tc>
          <w:tcPr>
            <w:tcW w:type="dxa" w:w="82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39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Recuperable del corpus</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Administración de Pedidos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Cliente Mayorista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Cliente Minorista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Integración AFIP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S06</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Sistema ERP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Bolsa Ecológica /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Factura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Lista de Precios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Orden de Entrega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Cliente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Factura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V03</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Pedido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V04</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V05</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Ajuste de Errores de Facturación</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V06</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Creación de Reportes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V07</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Distribución de Producto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V08</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Verificación de Facturas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Pedido Aprobado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 Finalizado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bl>
    <w:p>
      <w:pPr>
        <w:spacing w:after="120"/>
      </w:pPr>
    </w:p>
    <w:p>
      <w:pPr>
        <w:spacing w:after="160" w:line="276"/>
        <w:jc w:val="both"/>
      </w:pPr>
      <w:r>
        <w:t xml:space="preserve">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pPr>
        <w:pStyle w:val="Heading2"/>
        <w:keepNext/>
      </w:pPr>
      <w:r>
        <w:t xml:space="preserve">5.7 El GS-Corpus y la brecha de recuperabilidad</w:t>
      </w:r>
    </w:p>
    <w:p>
      <w:pPr>
        <w:spacing w:after="160" w:line="276"/>
        <w:jc w:val="both"/>
      </w:pPr>
      <w:r>
        <w:t xml:space="preserve">Un principio metodológico atraviesa la evaluación: no es legítimo exigirle a un método que recupere símbolos cuya evidencia no está en el corpus de entrada. Por eso se distinguen dos conjuntos de referencia. El </w:t>
      </w:r>
      <w:r>
        <w:rPr>
          <w:i/>
          <w:iCs/>
        </w:rPr>
        <w:t xml:space="preserve">GS-Completo</w:t>
      </w:r>
      <w:r>
        <w:t xml:space="preserve"> abarca los 21 símbolos del LEL manual. El </w:t>
      </w:r>
      <w:r>
        <w:rPr>
          <w:i/>
          <w:iCs/>
        </w:rPr>
        <w:t xml:space="preserve">GS-Corpus</w:t>
      </w:r>
      <w:r>
        <w:t xml:space="preserve"> abarca los 15 símbolos que tienen sustento textual en las cuatro entrevistas transcriptas. La diferencia entre ambos —los 6 símbolos restantes— constituye la </w:t>
      </w:r>
      <w:r>
        <w:rPr>
          <w:i/>
          <w:iCs/>
        </w:rPr>
        <w:t xml:space="preserve">brecha de recuperabilidad</w:t>
      </w:r>
      <w:r>
        <w:t xml:space="preserve">: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 de símbolo.</w:t>
      </w:r>
    </w:p>
    <w:p>
      <w:pPr>
        <w:spacing w:after="60" w:before="160"/>
        <w:jc w:val="center"/>
      </w:pPr>
      <w:r>
        <w:drawing>
          <wp:inline distT="0" distB="0" distL="0" distR="0">
            <wp:extent cx="4953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33675"/>
                    </a:xfrm>
                    <a:prstGeom prst="rect">
                      <a:avLst/>
                    </a:prstGeom>
                  </pic:spPr>
                </pic:pic>
              </a:graphicData>
            </a:graphic>
          </wp:inline>
        </w:drawing>
      </w:r>
    </w:p>
    <w:p>
      <w:pPr>
        <w:spacing w:after="200"/>
        <w:jc w:val="center"/>
      </w:pPr>
      <w:r>
        <w:rPr>
          <w:color w:val="333333"/>
          <w:sz w:val="19"/>
          <w:szCs w:val="19"/>
        </w:rPr>
        <w:t xml:space="preserve">Fig. 5.3. Composición del Gold Standard por tipo de símbolo: el conjunto completo (21) frente al subconjunto recuperable del corpus (15).</w:t>
      </w:r>
    </w:p>
    <w:p>
      <w:pPr>
        <w:spacing w:after="120"/>
      </w:pPr>
    </w:p>
    <w:p>
      <w:pPr>
        <w:spacing w:after="160" w:line="276"/>
        <w:jc w:val="both"/>
      </w:pPr>
      <w:r>
        <w:t xml:space="preserve">Esta distinción tiene una consecuencia directa sobre el diseño experimental (Capítulo 4): cada método se evalúa contra el GS-Corpus,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pPr>
        <w:pStyle w:val="Heading2"/>
        <w:keepNext/>
      </w:pPr>
      <w:r>
        <w:t xml:space="preserve">5.8 Hallazgos del caso</w:t>
      </w:r>
    </w:p>
    <w:p>
      <w:pPr>
        <w:spacing w:after="160" w:line="276"/>
        <w:jc w:val="both"/>
      </w:pPr>
      <w:r>
        <w:t xml:space="preserve">La construcción del LEL y el análisis del corpus arrojaron dos hallazgos que serán retomados en la discusión. Ellos son:</w:t>
      </w:r>
    </w:p>
    <w:p>
      <w:pPr>
        <w:pStyle w:val="ListParagraph"/>
        <w:numPr>
          <w:ilvl w:val="0"/>
          <w:numId w:val="5"/>
        </w:numPr>
        <w:spacing w:after="90" w:line="270"/>
        <w:jc w:val="both"/>
      </w:pPr>
      <w:r>
        <w:t xml:space="preserve">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pPr>
        <w:pStyle w:val="ListParagraph"/>
        <w:numPr>
          <w:ilvl w:val="0"/>
          <w:numId w:val="5"/>
        </w:numPr>
        <w:spacing w:after="90" w:line="270"/>
        <w:jc w:val="both"/>
      </w:pPr>
      <w:r>
        <w:t xml:space="preserve">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pPr>
        <w:pStyle w:val="Heading1"/>
        <w:keepNext/>
        <w:pageBreakBefore/>
        <w:spacing w:after="200" w:before="420"/>
      </w:pPr>
      <w:r>
        <w:t xml:space="preserve">Capítulo 6 — Diseño e Implementación del Prototipo</w:t>
      </w:r>
    </w:p>
    <w:p>
      <w:pPr>
        <w:spacing w:after="160" w:line="276"/>
        <w:jc w:val="both"/>
      </w:pPr>
      <w:r>
        <w:t xml:space="preserve">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pPr>
        <w:pStyle w:val="Heading2"/>
        <w:keepNext/>
      </w:pPr>
      <w:r>
        <w:t xml:space="preserve">6.1 Visión general de la arquitectura</w:t>
      </w:r>
    </w:p>
    <w:p>
      <w:pPr>
        <w:spacing w:after="160" w:line="276"/>
        <w:jc w:val="both"/>
      </w:pPr>
      <w: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La Fig. 6.1 resume esta organización.</w:t>
      </w:r>
    </w:p>
    <w:p>
      <w:pPr>
        <w:spacing w:after="60" w:before="16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color w:val="333333"/>
          <w:sz w:val="19"/>
          <w:szCs w:val="19"/>
        </w:rPr>
        <w:t xml:space="preserve">Fig. 6.1. Arquitectura del prototipo. Las entradas alimentan el pipeline y los baselines, que producen un LEL en un esquema común; el motor de evaluación lo compara contra el Gold Standard y genera los reportes.</w:t>
      </w:r>
    </w:p>
    <w:p>
      <w:pPr>
        <w:spacing w:after="120"/>
      </w:pPr>
    </w:p>
    <w:p>
      <w:pPr>
        <w:spacing w:after="160" w:line="276"/>
        <w:jc w:val="both"/>
      </w:pPr>
      <w:r>
        <w:t xml:space="preserve">Una decisión central de diseño es la separación estricta entre </w:t>
      </w:r>
      <w:r>
        <w:rPr>
          <w:i/>
          <w:iCs/>
        </w:rPr>
        <w:t xml:space="preserve">producción</w:t>
      </w:r>
      <w:r>
        <w:t xml:space="preserve"> y </w:t>
      </w:r>
      <w:r>
        <w:rPr>
          <w:i/>
          <w:iCs/>
        </w:rPr>
        <w:t xml:space="preserve">evaluación</w:t>
      </w:r>
      <w:r>
        <w:t xml:space="preserve">.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pPr>
        <w:pStyle w:val="Heading2"/>
        <w:keepNext/>
      </w:pPr>
      <w:r>
        <w:t xml:space="preserve">6.2 Estructura del proyecto y decisiones tecnológicas</w:t>
      </w:r>
    </w:p>
    <w:p>
      <w:pPr>
        <w:spacing w:after="160" w:line="276"/>
        <w:jc w:val="both"/>
      </w:pPr>
      <w:r>
        <w:t xml:space="preserve">El prototipo se implementó en Python. El pipeline LLM utiliza los SDK oficiales de los proveedores; los baselines usan la biblioteca estándar y, en el caso del segundo, spaCy con un modelo de español. La evaluación no requiere dependencias externas, lo que facilita su reproducción. La organización de directorios es la siguiente:</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tfc-lel-ia/</w:t>
      </w:r>
      <w:r>
        <w:br/>
      </w:r>
      <w:r>
        <w:rPr>
          <w:rFonts w:ascii="Courier New" w:cs="Courier New" w:eastAsia="Courier New" w:hAnsi="Courier New"/>
          <w:color w:val="24292F"/>
          <w:sz w:val="16"/>
          <w:szCs w:val="16"/>
        </w:rPr>
        <w:t xml:space="preserve">├── data/</w:t>
      </w:r>
      <w:r>
        <w:br/>
      </w:r>
      <w:r>
        <w:rPr>
          <w:rFonts w:ascii="Courier New" w:cs="Courier New" w:eastAsia="Courier New" w:hAnsi="Courier New"/>
          <w:color w:val="24292F"/>
          <w:sz w:val="16"/>
          <w:szCs w:val="16"/>
        </w:rPr>
        <w:t xml:space="preserve">│   ├── corpus/      entrevistas .txt (entrada del experimento)</w:t>
      </w:r>
      <w:r>
        <w:br/>
      </w:r>
      <w:r>
        <w:rPr>
          <w:rFonts w:ascii="Courier New" w:cs="Courier New" w:eastAsia="Courier New" w:hAnsi="Courier New"/>
          <w:color w:val="24292F"/>
          <w:sz w:val="16"/>
          <w:szCs w:val="16"/>
        </w:rPr>
        <w:t xml:space="preserve">│   └── gold/        gs_completo.json (21) y gs_corpus.json (14)</w:t>
      </w:r>
      <w:r>
        <w:br/>
      </w:r>
      <w:r>
        <w:rPr>
          <w:rFonts w:ascii="Courier New" w:cs="Courier New" w:eastAsia="Courier New" w:hAnsi="Courier New"/>
          <w:color w:val="24292F"/>
          <w:sz w:val="16"/>
          <w:szCs w:val="16"/>
        </w:rPr>
        <w:t xml:space="preserve">├── prompts/         01_extraccion · 02_clasificacion · 03_descripcion · 04_verificacion</w:t>
      </w:r>
      <w:r>
        <w:br/>
      </w:r>
      <w:r>
        <w:rPr>
          <w:rFonts w:ascii="Courier New" w:cs="Courier New" w:eastAsia="Courier New" w:hAnsi="Courier New"/>
          <w:color w:val="24292F"/>
          <w:sz w:val="16"/>
          <w:szCs w:val="16"/>
        </w:rPr>
        <w:t xml:space="preserve">├── src/</w:t>
      </w:r>
      <w:r>
        <w:br/>
      </w:r>
      <w:r>
        <w:rPr>
          <w:rFonts w:ascii="Courier New" w:cs="Courier New" w:eastAsia="Courier New" w:hAnsi="Courier New"/>
          <w:color w:val="24292F"/>
          <w:sz w:val="16"/>
          <w:szCs w:val="16"/>
        </w:rPr>
        <w:t xml:space="preserve">│   ├── schema.py            representación del LEL</w:t>
      </w:r>
      <w:r>
        <w:br/>
      </w:r>
      <w:r>
        <w:rPr>
          <w:rFonts w:ascii="Courier New" w:cs="Courier New" w:eastAsia="Courier New" w:hAnsi="Courier New"/>
          <w:color w:val="24292F"/>
          <w:sz w:val="16"/>
          <w:szCs w:val="16"/>
        </w:rPr>
        <w:t xml:space="preserve">│   ├── llm_client.py        abstracción de proveedor (OpenAI/Anthropic)</w:t>
      </w:r>
      <w:r>
        <w:br/>
      </w:r>
      <w:r>
        <w:rPr>
          <w:rFonts w:ascii="Courier New" w:cs="Courier New" w:eastAsia="Courier New" w:hAnsi="Courier New"/>
          <w:color w:val="24292F"/>
          <w:sz w:val="16"/>
          <w:szCs w:val="16"/>
        </w:rPr>
        <w:t xml:space="preserve">│   ├── pipeline_llm.py      pipeline de 4 etapas (C2a/C2b/C2c)</w:t>
      </w:r>
      <w:r>
        <w:br/>
      </w:r>
      <w:r>
        <w:rPr>
          <w:rFonts w:ascii="Courier New" w:cs="Courier New" w:eastAsia="Courier New" w:hAnsi="Courier New"/>
          <w:color w:val="24292F"/>
          <w:sz w:val="16"/>
          <w:szCs w:val="16"/>
        </w:rPr>
        <w:t xml:space="preserve">│   ├── baseline_frecuencia.py   PLN: frecuencia/Pareto</w:t>
      </w:r>
      <w:r>
        <w:br/>
      </w:r>
      <w:r>
        <w:rPr>
          <w:rFonts w:ascii="Courier New" w:cs="Courier New" w:eastAsia="Courier New" w:hAnsi="Courier New"/>
          <w:color w:val="24292F"/>
          <w:sz w:val="16"/>
          <w:szCs w:val="16"/>
        </w:rPr>
        <w:t xml:space="preserve">│   ├── baseline_spacy.py        PLN: POS/NER/lematización</w:t>
      </w:r>
      <w:r>
        <w:br/>
      </w:r>
      <w:r>
        <w:rPr>
          <w:rFonts w:ascii="Courier New" w:cs="Courier New" w:eastAsia="Courier New" w:hAnsi="Courier New"/>
          <w:color w:val="24292F"/>
          <w:sz w:val="16"/>
          <w:szCs w:val="16"/>
        </w:rPr>
        <w:t xml:space="preserve">│   └── evaluacion.py        protocolo de emparejamiento + métricas</w:t>
      </w:r>
      <w:r>
        <w:br/>
      </w:r>
      <w:r>
        <w:rPr>
          <w:rFonts w:ascii="Courier New" w:cs="Courier New" w:eastAsia="Courier New" w:hAnsi="Courier New"/>
          <w:color w:val="24292F"/>
          <w:sz w:val="16"/>
          <w:szCs w:val="16"/>
        </w:rPr>
        <w:t xml:space="preserve">├── scripts/         run_baseline_frecuencia · run_baseline_spacy · run_pipeline_llm · run_evaluacion</w:t>
      </w:r>
      <w:r>
        <w:br/>
      </w:r>
      <w:r>
        <w:rPr>
          <w:rFonts w:ascii="Courier New" w:cs="Courier New" w:eastAsia="Courier New" w:hAnsi="Courier New"/>
          <w:color w:val="24292F"/>
          <w:sz w:val="16"/>
          <w:szCs w:val="16"/>
        </w:rPr>
        <w:t xml:space="preserve">├── resultados/      LEL producidos y reportes</w:t>
      </w:r>
      <w:r>
        <w:br/>
      </w:r>
      <w:r>
        <w:rPr>
          <w:rFonts w:ascii="Courier New" w:cs="Courier New" w:eastAsia="Courier New" w:hAnsi="Courier New"/>
          <w:color w:val="24292F"/>
          <w:sz w:val="16"/>
          <w:szCs w:val="16"/>
        </w:rPr>
        <w:t xml:space="preserve">└── config.yaml      proveedor, modelo, temperatura, corpus</w:t>
      </w:r>
    </w:p>
    <w:p>
      <w:pPr>
        <w:pStyle w:val="Heading2"/>
        <w:keepNext/>
      </w:pPr>
      <w:r>
        <w:t xml:space="preserve">6.3 Representación del LEL: el esquema de datos</w:t>
      </w:r>
    </w:p>
    <w:p>
      <w:pPr>
        <w:spacing w:after="160" w:line="276"/>
        <w:jc w:val="both"/>
      </w:pPr>
      <w:r>
        <w:t xml:space="preserve">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Simbolo:</w:t>
      </w:r>
      <w:r>
        <w:br/>
      </w:r>
      <w:r>
        <w:rPr>
          <w:rFonts w:ascii="Courier New" w:cs="Courier New" w:eastAsia="Courier New" w:hAnsi="Courier New"/>
          <w:color w:val="24292F"/>
          <w:sz w:val="16"/>
          <w:szCs w:val="16"/>
        </w:rPr>
        <w:t xml:space="preserve">    nombre: str</w:t>
      </w:r>
      <w:r>
        <w:br/>
      </w:r>
      <w:r>
        <w:rPr>
          <w:rFonts w:ascii="Courier New" w:cs="Courier New" w:eastAsia="Courier New" w:hAnsi="Courier New"/>
          <w:color w:val="24292F"/>
          <w:sz w:val="16"/>
          <w:szCs w:val="16"/>
        </w:rPr>
        <w:t xml:space="preserve">    tipo: str = ""            # Sujeto | Objeto | Verbo | Estado</w:t>
      </w:r>
      <w:r>
        <w:br/>
      </w:r>
      <w:r>
        <w:rPr>
          <w:rFonts w:ascii="Courier New" w:cs="Courier New" w:eastAsia="Courier New" w:hAnsi="Courier New"/>
          <w:color w:val="24292F"/>
          <w:sz w:val="16"/>
          <w:szCs w:val="16"/>
        </w:rPr>
        <w:t xml:space="preserve">    nocion: List[str] = field(default_factory=list)</w:t>
      </w:r>
      <w:r>
        <w:br/>
      </w:r>
      <w:r>
        <w:rPr>
          <w:rFonts w:ascii="Courier New" w:cs="Courier New" w:eastAsia="Courier New" w:hAnsi="Courier New"/>
          <w:color w:val="24292F"/>
          <w:sz w:val="16"/>
          <w:szCs w:val="16"/>
        </w:rPr>
        <w:t xml:space="preserve">    impacto: List[str] = field(default_factory=list)</w:t>
      </w:r>
      <w:r>
        <w:br/>
      </w:r>
      <w:r>
        <w:rPr>
          <w:rFonts w:ascii="Courier New" w:cs="Courier New" w:eastAsia="Courier New" w:hAnsi="Courier New"/>
          <w:color w:val="24292F"/>
          <w:sz w:val="16"/>
          <w:szCs w:val="16"/>
        </w:rPr>
        <w:t xml:space="preserve">    sinonimos: List[str] = field(default_factory=list)</w:t>
      </w:r>
      <w:r>
        <w:br/>
      </w:r>
      <w:r>
        <w:rPr>
          <w:rFonts w:ascii="Courier New" w:cs="Courier New" w:eastAsia="Courier New" w:hAnsi="Courier New"/>
          <w:color w:val="24292F"/>
          <w:sz w:val="16"/>
          <w:szCs w:val="16"/>
        </w:rPr>
        <w:t xml:space="preserve">    id: str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LEL:</w:t>
      </w:r>
      <w:r>
        <w:br/>
      </w:r>
      <w:r>
        <w:rPr>
          <w:rFonts w:ascii="Courier New" w:cs="Courier New" w:eastAsia="Courier New" w:hAnsi="Courier New"/>
          <w:color w:val="24292F"/>
          <w:sz w:val="16"/>
          <w:szCs w:val="16"/>
        </w:rPr>
        <w:t xml:space="preserve">    proyecto: str = ""</w:t>
      </w:r>
      <w:r>
        <w:br/>
      </w:r>
      <w:r>
        <w:rPr>
          <w:rFonts w:ascii="Courier New" w:cs="Courier New" w:eastAsia="Courier New" w:hAnsi="Courier New"/>
          <w:color w:val="24292F"/>
          <w:sz w:val="16"/>
          <w:szCs w:val="16"/>
        </w:rPr>
        <w:t xml:space="preserve">    simbolos: List[Simbolo] = field(default_factory=list)</w:t>
      </w:r>
    </w:p>
    <w:p>
      <w:pPr>
        <w:spacing w:after="160" w:line="276"/>
        <w:jc w:val="both"/>
      </w:pPr>
      <w:r>
        <w:t xml:space="preserve">El módulo provee además las funciones de carga y guardado en JSON y las utilidades de normalización de nombres (minúsculas, sin acentos ni puntuación) y de extracción de tokens significativos, que el motor de evaluación reutiliza para el emparejamiento.</w:t>
      </w:r>
    </w:p>
    <w:p>
      <w:pPr>
        <w:pStyle w:val="Heading2"/>
        <w:keepNext/>
      </w:pPr>
      <w:r>
        <w:t xml:space="preserve">6.4 El pipeline basado en LLM</w:t>
      </w:r>
    </w:p>
    <w:p>
      <w:pPr>
        <w:spacing w:after="160" w:line="276"/>
        <w:jc w:val="both"/>
      </w:pPr>
      <w:r>
        <w:t xml:space="preserve">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pPr>
        <w:pStyle w:val="Heading3"/>
        <w:keepNext/>
      </w:pPr>
      <w:r>
        <w:t xml:space="preserve">6.4.1 Extracción de símbolos</w:t>
      </w:r>
    </w:p>
    <w:p>
      <w:pPr>
        <w:spacing w:after="160" w:line="276"/>
        <w:jc w:val="both"/>
      </w:pPr>
      <w:r>
        <w:t xml:space="preserve">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del contexto de aplicación.</w:t>
      </w:r>
      <w:r>
        <w:br/>
      </w:r>
      <w:r>
        <w:rPr>
          <w:rFonts w:ascii="Courier New" w:cs="Courier New" w:eastAsia="Courier New" w:hAnsi="Courier New"/>
          <w:color w:val="24292F"/>
          <w:sz w:val="16"/>
          <w:szCs w:val="16"/>
        </w:rPr>
        <w:t xml:space="preserve">- Excluí palabras obvias, genéricas o de dominio público.</w:t>
      </w:r>
      <w:r>
        <w:br/>
      </w:r>
      <w:r>
        <w:rPr>
          <w:rFonts w:ascii="Courier New" w:cs="Courier New" w:eastAsia="Courier New" w:hAnsi="Courier New"/>
          <w:color w:val="24292F"/>
          <w:sz w:val="16"/>
          <w:szCs w:val="16"/>
        </w:rPr>
        <w:t xml:space="preserve">- Identificá el nombre completo del término.</w:t>
      </w:r>
      <w:r>
        <w:br/>
      </w:r>
      <w:r>
        <w:rPr>
          <w:rFonts w:ascii="Courier New" w:cs="Courier New" w:eastAsia="Courier New" w:hAnsi="Courier New"/>
          <w:color w:val="24292F"/>
          <w:sz w:val="16"/>
          <w:szCs w:val="16"/>
        </w:rPr>
        <w:t xml:space="preserve">- Una abreviatura o acrónimo puede ser nombre o sinónimo de un símbolo.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un arreglo JSON [{"nombre": "...", "sinonimos": [...]}]</w:t>
      </w:r>
    </w:p>
    <w:p>
      <w:pPr>
        <w:pStyle w:val="Heading3"/>
        <w:keepNext/>
      </w:pPr>
      <w:r>
        <w:t xml:space="preserve">6.4.2 Clasificación por tipo</w:t>
      </w:r>
    </w:p>
    <w:p>
      <w:pPr>
        <w:spacing w:after="160" w:line="276"/>
        <w:jc w:val="both"/>
      </w:pPr>
      <w:r>
        <w:t xml:space="preserve">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pPr>
        <w:pStyle w:val="Heading3"/>
        <w:keepNext/>
      </w:pPr>
      <w:r>
        <w:t xml:space="preserve">6.4.3 Descripción de noción e impacto</w:t>
      </w:r>
    </w:p>
    <w:p>
      <w:pPr>
        <w:spacing w:after="160" w:line="276"/>
        <w:jc w:val="both"/>
      </w:pPr>
      <w:r>
        <w:t xml:space="preserve">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pPr>
        <w:pStyle w:val="Heading3"/>
        <w:keepNext/>
      </w:pPr>
      <w:r>
        <w:t xml:space="preserve">6.4.4 Auto-verificación</w:t>
      </w:r>
    </w:p>
    <w:p>
      <w:pPr>
        <w:spacing w:after="160" w:line="276"/>
        <w:jc w:val="both"/>
      </w:pPr>
      <w:r>
        <w:t xml:space="preserve">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pPr>
        <w:spacing w:after="160" w:line="276"/>
        <w:jc w:val="both"/>
      </w:pPr>
      <w:r>
        <w:t xml:space="preserve">El checklist de la auto-verificación operacionaliza los criterios de las guías de inspección del LEL [5]. La Tabla 6.1 lo resume (ver el prompt en el Anexo A.4).</w:t>
      </w:r>
    </w:p>
    <w:p>
      <w:pPr>
        <w:spacing w:after="70" w:before="180"/>
        <w:jc w:val="center"/>
      </w:pPr>
      <w:r>
        <w:rPr>
          <w:color w:val="333333"/>
          <w:sz w:val="19"/>
          <w:szCs w:val="19"/>
        </w:rPr>
        <w:t xml:space="preserve">Tabla 6.1. Criterios del checklist de auto-verificación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Criterio</w:t>
            </w:r>
          </w:p>
        </w:tc>
        <w:tc>
          <w:tcPr>
            <w:tcW w:type="dxa" w:w="6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Qué controla</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Adherencia a la plantilla</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la noción y el impacto contengan lo que prescribe el tipo del símbolo.</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Circularidad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las descripciones referencien, cuando sea posible, otros símbolos del LEL.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Vocabulario mínimo</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se minimice el uso de términos ajenos al LEL.</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Atomicidad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cada oración exprese una sola idea y tenga un solo verbo principal.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Vigencia de la información</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cada oración distinga lo que efectivamente ocurre («es/hace») de lo que no ocurre pero debiera ocurrir («debiera ser/hacer»).</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Sin auto-referencia</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un símbolo no se describa empleándose a sí mismo.</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Sin alucinaciones</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toda afirmación tenga respaldo en la evidencia del corpus.</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Corrección del tipo</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el tipo asignado (Sujeto/Objeto/Verbo/Estado) sea el adecuado.</w:t>
            </w:r>
          </w:p>
        </w:tc>
      </w:tr>
    </w:tbl>
    <w:p>
      <w:pPr>
        <w:pStyle w:val="Heading3"/>
        <w:keepNext/>
      </w:pPr>
      <w:r>
        <w:t xml:space="preserve">6.4.5 Orquestación y configuraciones experimentales</w:t>
      </w:r>
    </w:p>
    <w:p>
      <w:pPr>
        <w:spacing w:after="160" w:line="276"/>
        <w:jc w:val="both"/>
      </w:pPr>
      <w:r>
        <w:t xml:space="preserve">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construir_lel(corpus_paths, llm_cfg, pipe_cfg, proyecto):</w:t>
      </w:r>
      <w:r>
        <w:br/>
      </w:r>
      <w:r>
        <w:rPr>
          <w:rFonts w:ascii="Courier New" w:cs="Courier New" w:eastAsia="Courier New" w:hAnsi="Courier New"/>
          <w:color w:val="24292F"/>
          <w:sz w:val="16"/>
          <w:szCs w:val="16"/>
        </w:rPr>
        <w:t xml:space="preserve">    cli = get_client(llm_cfg)</w:t>
      </w:r>
      <w:r>
        <w:br/>
      </w:r>
      <w:r>
        <w:rPr>
          <w:rFonts w:ascii="Courier New" w:cs="Courier New" w:eastAsia="Courier New" w:hAnsi="Courier New"/>
          <w:color w:val="24292F"/>
          <w:sz w:val="16"/>
          <w:szCs w:val="16"/>
        </w:rPr>
        <w:t xml:space="preserve">    corpus = cargar_corpus(corpus_paths)</w:t>
      </w:r>
      <w:r>
        <w:br/>
      </w:r>
      <w:r>
        <w:rPr>
          <w:rFonts w:ascii="Courier New" w:cs="Courier New" w:eastAsia="Courier New" w:hAnsi="Courier New"/>
          <w:color w:val="24292F"/>
          <w:sz w:val="16"/>
          <w:szCs w:val="16"/>
        </w:rPr>
        <w:t xml:space="preserve">    candidatos = extraer_candidatos(corpus, cli)       # etapa 1</w:t>
      </w:r>
      <w:r>
        <w:br/>
      </w:r>
      <w:r>
        <w:rPr>
          <w:rFonts w:ascii="Courier New" w:cs="Courier New" w:eastAsia="Courier New" w:hAnsi="Courier New"/>
          <w:color w:val="24292F"/>
          <w:sz w:val="16"/>
          <w:szCs w:val="16"/>
        </w:rPr>
        <w:t xml:space="preserve">    tipos = clasificar(candidatos, corpus, cli)         # etapa 2</w:t>
      </w:r>
      <w:r>
        <w:br/>
      </w:r>
      <w:r>
        <w:rPr>
          <w:rFonts w:ascii="Courier New" w:cs="Courier New" w:eastAsia="Courier New" w:hAnsi="Courier New"/>
          <w:color w:val="24292F"/>
          <w:sz w:val="16"/>
          <w:szCs w:val="16"/>
        </w:rPr>
        <w:t xml:space="preserve">    simbolos = []</w:t>
      </w:r>
      <w:r>
        <w:br/>
      </w:r>
      <w:r>
        <w:rPr>
          <w:rFonts w:ascii="Courier New" w:cs="Courier New" w:eastAsia="Courier New" w:hAnsi="Courier New"/>
          <w:color w:val="24292F"/>
          <w:sz w:val="16"/>
          <w:szCs w:val="16"/>
        </w:rPr>
        <w:t xml:space="preserve">    for c in candidatos:</w:t>
      </w:r>
      <w:r>
        <w:br/>
      </w:r>
      <w:r>
        <w:rPr>
          <w:rFonts w:ascii="Courier New" w:cs="Courier New" w:eastAsia="Courier New" w:hAnsi="Courier New"/>
          <w:color w:val="24292F"/>
          <w:sz w:val="16"/>
          <w:szCs w:val="16"/>
        </w:rPr>
        <w:t xml:space="preserve">        nocion, impacto = [], []</w:t>
      </w:r>
      <w:r>
        <w:br/>
      </w:r>
      <w:r>
        <w:rPr>
          <w:rFonts w:ascii="Courier New" w:cs="Courier New" w:eastAsia="Courier New" w:hAnsi="Courier New"/>
          <w:color w:val="24292F"/>
          <w:sz w:val="16"/>
          <w:szCs w:val="16"/>
        </w:rPr>
        <w:t xml:space="preserve">        if pipe_cfg.descripcion_por_simbolo and tipos[c["nombre"]]:</w:t>
      </w:r>
      <w:r>
        <w:br/>
      </w:r>
      <w:r>
        <w:rPr>
          <w:rFonts w:ascii="Courier New" w:cs="Courier New" w:eastAsia="Courier New" w:hAnsi="Courier New"/>
          <w:color w:val="24292F"/>
          <w:sz w:val="16"/>
          <w:szCs w:val="16"/>
        </w:rPr>
        <w:t xml:space="preserve">            nocion, impacto = describir(c["nombre"], tipos[c["nombre"]],</w:t>
      </w:r>
      <w:r>
        <w:br/>
      </w:r>
      <w:r>
        <w:rPr>
          <w:rFonts w:ascii="Courier New" w:cs="Courier New" w:eastAsia="Courier New" w:hAnsi="Courier New"/>
          <w:color w:val="24292F"/>
          <w:sz w:val="16"/>
          <w:szCs w:val="16"/>
        </w:rPr>
        <w:t xml:space="preserve">                                        otros, corpus, cli)   # etapa 3</w:t>
      </w:r>
      <w:r>
        <w:br/>
      </w:r>
      <w:r>
        <w:rPr>
          <w:rFonts w:ascii="Courier New" w:cs="Courier New" w:eastAsia="Courier New" w:hAnsi="Courier New"/>
          <w:color w:val="24292F"/>
          <w:sz w:val="16"/>
          <w:szCs w:val="16"/>
        </w:rPr>
        <w:t xml:space="preserve">        simbolos.append(Simbolo(nombre=c["nombre"], tipo=tipos[c["nombre"]],</w:t>
      </w:r>
      <w:r>
        <w:br/>
      </w:r>
      <w:r>
        <w:rPr>
          <w:rFonts w:ascii="Courier New" w:cs="Courier New" w:eastAsia="Courier New" w:hAnsi="Courier New"/>
          <w:color w:val="24292F"/>
          <w:sz w:val="16"/>
          <w:szCs w:val="16"/>
        </w:rPr>
        <w:t xml:space="preserve">                                nocion=nocion, impacto=impacto))</w:t>
      </w:r>
      <w:r>
        <w:br/>
      </w:r>
      <w:r>
        <w:rPr>
          <w:rFonts w:ascii="Courier New" w:cs="Courier New" w:eastAsia="Courier New" w:hAnsi="Courier New"/>
          <w:color w:val="24292F"/>
          <w:sz w:val="16"/>
          <w:szCs w:val="16"/>
        </w:rPr>
        <w:t xml:space="preserve">    lel = LEL(proyecto=proyecto, simbolos=simbolos)</w:t>
      </w:r>
      <w:r>
        <w:br/>
      </w:r>
      <w:r>
        <w:rPr>
          <w:rFonts w:ascii="Courier New" w:cs="Courier New" w:eastAsia="Courier New" w:hAnsi="Courier New"/>
          <w:color w:val="24292F"/>
          <w:sz w:val="16"/>
          <w:szCs w:val="16"/>
        </w:rPr>
        <w:t xml:space="preserve">    if pipe_cfg.auto_verificacion:</w:t>
      </w:r>
      <w:r>
        <w:br/>
      </w:r>
      <w:r>
        <w:rPr>
          <w:rFonts w:ascii="Courier New" w:cs="Courier New" w:eastAsia="Courier New" w:hAnsi="Courier New"/>
          <w:color w:val="24292F"/>
          <w:sz w:val="16"/>
          <w:szCs w:val="16"/>
        </w:rPr>
        <w:t xml:space="preserve">        lel = auto_verificar(lel, corpus, cli)           # etapa 4</w:t>
      </w:r>
      <w:r>
        <w:br/>
      </w:r>
      <w:r>
        <w:rPr>
          <w:rFonts w:ascii="Courier New" w:cs="Courier New" w:eastAsia="Courier New" w:hAnsi="Courier New"/>
          <w:color w:val="24292F"/>
          <w:sz w:val="16"/>
          <w:szCs w:val="16"/>
        </w:rPr>
        <w:t xml:space="preserve">    return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CONFIGURACIONES = {</w:t>
      </w:r>
      <w:r>
        <w:br/>
      </w:r>
      <w:r>
        <w:rPr>
          <w:rFonts w:ascii="Courier New" w:cs="Courier New" w:eastAsia="Courier New" w:hAnsi="Courier New"/>
          <w:color w:val="24292F"/>
          <w:sz w:val="16"/>
          <w:szCs w:val="16"/>
        </w:rPr>
        <w:t xml:space="preserve">  "C2a": PipelineConfig(few_shot=False, auto_verificacion=False),</w:t>
      </w:r>
      <w:r>
        <w:br/>
      </w:r>
      <w:r>
        <w:rPr>
          <w:rFonts w:ascii="Courier New" w:cs="Courier New" w:eastAsia="Courier New" w:hAnsi="Courier New"/>
          <w:color w:val="24292F"/>
          <w:sz w:val="16"/>
          <w:szCs w:val="16"/>
        </w:rPr>
        <w:t xml:space="preserve">  "C2b": PipelineConfig(few_shot=True,  auto_verificacion=False),</w:t>
      </w:r>
      <w:r>
        <w:br/>
      </w:r>
      <w:r>
        <w:rPr>
          <w:rFonts w:ascii="Courier New" w:cs="Courier New" w:eastAsia="Courier New" w:hAnsi="Courier New"/>
          <w:color w:val="24292F"/>
          <w:sz w:val="16"/>
          <w:szCs w:val="16"/>
        </w:rPr>
        <w:t xml:space="preserve">  "C2c": PipelineConfig(few_shot=True,  auto_verificacion=True),</w:t>
      </w:r>
      <w:r>
        <w:br/>
      </w:r>
      <w:r>
        <w:rPr>
          <w:rFonts w:ascii="Courier New" w:cs="Courier New" w:eastAsia="Courier New" w:hAnsi="Courier New"/>
          <w:color w:val="24292F"/>
          <w:sz w:val="16"/>
          <w:szCs w:val="16"/>
        </w:rPr>
        <w:t xml:space="preserve">}</w:t>
      </w:r>
    </w:p>
    <w:p>
      <w:pPr>
        <w:pStyle w:val="Heading2"/>
        <w:keepNext/>
      </w:pPr>
      <w:r>
        <w:t xml:space="preserve">6.5 Abstracción de proveedor de LLM</w:t>
      </w:r>
    </w:p>
    <w:p>
      <w:pPr>
        <w:spacing w:after="160" w:line="276"/>
        <w:jc w:val="both"/>
      </w:pPr>
      <w:r>
        <w:t xml:space="preserve">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get_client(cfg):</w:t>
      </w:r>
      <w:r>
        <w:br/>
      </w:r>
      <w:r>
        <w:rPr>
          <w:rFonts w:ascii="Courier New" w:cs="Courier New" w:eastAsia="Courier New" w:hAnsi="Courier New"/>
          <w:color w:val="24292F"/>
          <w:sz w:val="16"/>
          <w:szCs w:val="16"/>
        </w:rPr>
        <w:t xml:space="preserve">    p = cfg.proveedor.lower()</w:t>
      </w:r>
      <w:r>
        <w:br/>
      </w:r>
      <w:r>
        <w:rPr>
          <w:rFonts w:ascii="Courier New" w:cs="Courier New" w:eastAsia="Courier New" w:hAnsi="Courier New"/>
          <w:color w:val="24292F"/>
          <w:sz w:val="16"/>
          <w:szCs w:val="16"/>
        </w:rPr>
        <w:t xml:space="preserve">    if p == "openai":    return OpenAIClient(cfg)</w:t>
      </w:r>
      <w:r>
        <w:br/>
      </w:r>
      <w:r>
        <w:rPr>
          <w:rFonts w:ascii="Courier New" w:cs="Courier New" w:eastAsia="Courier New" w:hAnsi="Courier New"/>
          <w:color w:val="24292F"/>
          <w:sz w:val="16"/>
          <w:szCs w:val="16"/>
        </w:rPr>
        <w:t xml:space="preserve">    if p == "anthropic": return AnthropicClient(cfg)</w:t>
      </w:r>
      <w:r>
        <w:br/>
      </w:r>
      <w:r>
        <w:rPr>
          <w:rFonts w:ascii="Courier New" w:cs="Courier New" w:eastAsia="Courier New" w:hAnsi="Courier New"/>
          <w:color w:val="24292F"/>
          <w:sz w:val="16"/>
          <w:szCs w:val="16"/>
        </w:rPr>
        <w:t xml:space="preserve">    if p == "echo":      return EchoClient(cfg)   # offline, valida el armado</w:t>
      </w:r>
    </w:p>
    <w:p>
      <w:pPr>
        <w:spacing w:after="160" w:line="276"/>
        <w:jc w:val="both"/>
      </w:pPr>
      <w:r>
        <w:t xml:space="preserve">Cambiar de modelo o de proveedor para el benchmarking se reduce, entonces, a editar config.yaml, sin tocar el código del pipeline.</w:t>
      </w:r>
    </w:p>
    <w:p>
      <w:pPr>
        <w:pStyle w:val="Heading2"/>
        <w:keepNext/>
      </w:pPr>
      <w:r>
        <w:t xml:space="preserve">6.6 Baselines de PLN tradicional</w:t>
      </w:r>
    </w:p>
    <w:p>
      <w:pPr>
        <w:spacing w:after="160" w:line="276"/>
        <w:jc w:val="both"/>
      </w:pPr>
      <w:r>
        <w:t xml:space="preserve">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pPr>
        <w:pStyle w:val="Heading3"/>
        <w:keepNext/>
      </w:pPr>
      <w:r>
        <w:t xml:space="preserve">6.6.1 Baseline de frecuencia / Pareto</w:t>
      </w:r>
    </w:p>
    <w:p>
      <w:pPr>
        <w:spacing w:after="160" w:line="276"/>
        <w:jc w:val="both"/>
      </w:pPr>
      <w:r>
        <w:t xml:space="preserve">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cand = [(t, f) for t, f in frec.items()</w:t>
      </w:r>
      <w:r>
        <w:br/>
      </w:r>
      <w:r>
        <w:rPr>
          <w:rFonts w:ascii="Courier New" w:cs="Courier New" w:eastAsia="Courier New" w:hAnsi="Courier New"/>
          <w:color w:val="24292F"/>
          <w:sz w:val="16"/>
          <w:szCs w:val="16"/>
        </w:rPr>
        <w:t xml:space="preserve">        if f &gt;= min_frec and normalizar(t) not in RUIDO]</w:t>
      </w:r>
      <w:r>
        <w:br/>
      </w:r>
      <w:r>
        <w:rPr>
          <w:rFonts w:ascii="Courier New" w:cs="Courier New" w:eastAsia="Courier New" w:hAnsi="Courier New"/>
          <w:color w:val="24292F"/>
          <w:sz w:val="16"/>
          <w:szCs w:val="16"/>
        </w:rPr>
        <w:t xml:space="preserve">cand.sort(key=lambda x: (-x[1], x[0]))</w:t>
      </w:r>
      <w:r>
        <w:br/>
      </w:r>
      <w:r>
        <w:rPr>
          <w:rFonts w:ascii="Courier New" w:cs="Courier New" w:eastAsia="Courier New" w:hAnsi="Courier New"/>
          <w:color w:val="24292F"/>
          <w:sz w:val="16"/>
          <w:szCs w:val="16"/>
        </w:rPr>
        <w:t xml:space="preserve"># corte tipo Pareto sobre la frecuencia acumulada</w:t>
      </w:r>
      <w:r>
        <w:br/>
      </w:r>
      <w:r>
        <w:rPr>
          <w:rFonts w:ascii="Courier New" w:cs="Courier New" w:eastAsia="Courier New" w:hAnsi="Courier New"/>
          <w:color w:val="24292F"/>
          <w:sz w:val="16"/>
          <w:szCs w:val="16"/>
        </w:rPr>
        <w:t xml:space="preserve">total = sum(f for _, f in cand) or 1</w:t>
      </w:r>
      <w:r>
        <w:br/>
      </w:r>
      <w:r>
        <w:rPr>
          <w:rFonts w:ascii="Courier New" w:cs="Courier New" w:eastAsia="Courier New" w:hAnsi="Courier New"/>
          <w:color w:val="24292F"/>
          <w:sz w:val="16"/>
          <w:szCs w:val="16"/>
        </w:rPr>
        <w:t xml:space="preserve">acum, seleccion = 0, []</w:t>
      </w:r>
      <w:r>
        <w:br/>
      </w:r>
      <w:r>
        <w:rPr>
          <w:rFonts w:ascii="Courier New" w:cs="Courier New" w:eastAsia="Courier New" w:hAnsi="Courier New"/>
          <w:color w:val="24292F"/>
          <w:sz w:val="16"/>
          <w:szCs w:val="16"/>
        </w:rPr>
        <w:t xml:space="preserve">for t, f in cand:</w:t>
      </w:r>
      <w:r>
        <w:br/>
      </w:r>
      <w:r>
        <w:rPr>
          <w:rFonts w:ascii="Courier New" w:cs="Courier New" w:eastAsia="Courier New" w:hAnsi="Courier New"/>
          <w:color w:val="24292F"/>
          <w:sz w:val="16"/>
          <w:szCs w:val="16"/>
        </w:rPr>
        <w:t xml:space="preserve">    seleccion.append((t, f)); acum += f</w:t>
      </w:r>
      <w:r>
        <w:br/>
      </w:r>
      <w:r>
        <w:rPr>
          <w:rFonts w:ascii="Courier New" w:cs="Courier New" w:eastAsia="Courier New" w:hAnsi="Courier New"/>
          <w:color w:val="24292F"/>
          <w:sz w:val="16"/>
          <w:szCs w:val="16"/>
        </w:rPr>
        <w:t xml:space="preserve">    if acum / total &gt;= pareto or len(seleccion) &gt;= tope:</w:t>
      </w:r>
      <w:r>
        <w:br/>
      </w:r>
      <w:r>
        <w:rPr>
          <w:rFonts w:ascii="Courier New" w:cs="Courier New" w:eastAsia="Courier New" w:hAnsi="Courier New"/>
          <w:color w:val="24292F"/>
          <w:sz w:val="16"/>
          <w:szCs w:val="16"/>
        </w:rPr>
        <w:t xml:space="preserve">        break</w:t>
      </w:r>
    </w:p>
    <w:p>
      <w:pPr>
        <w:pStyle w:val="Heading3"/>
        <w:keepNext/>
      </w:pPr>
      <w:r>
        <w:t xml:space="preserve">6.6.2 Baseline con spaCy</w:t>
      </w:r>
    </w:p>
    <w:p>
      <w:pPr>
        <w:spacing w:after="160" w:line="276"/>
        <w:jc w:val="both"/>
      </w:pPr>
      <w:r>
        <w:t xml:space="preserve">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nlp = spacy.load("es_core_news_md")</w:t>
      </w:r>
      <w:r>
        <w:br/>
      </w:r>
      <w:r>
        <w:rPr>
          <w:rFonts w:ascii="Courier New" w:cs="Courier New" w:eastAsia="Courier New" w:hAnsi="Courier New"/>
          <w:color w:val="24292F"/>
          <w:sz w:val="16"/>
          <w:szCs w:val="16"/>
        </w:rPr>
        <w:t xml:space="preserve">doc = nlp(texto)</w:t>
      </w:r>
      <w:r>
        <w:br/>
      </w:r>
      <w:r>
        <w:rPr>
          <w:rFonts w:ascii="Courier New" w:cs="Courier New" w:eastAsia="Courier New" w:hAnsi="Courier New"/>
          <w:color w:val="24292F"/>
          <w:sz w:val="16"/>
          <w:szCs w:val="16"/>
        </w:rPr>
        <w:t xml:space="preserve">candidatos = set()</w:t>
      </w:r>
      <w:r>
        <w:br/>
      </w:r>
      <w:r>
        <w:rPr>
          <w:rFonts w:ascii="Courier New" w:cs="Courier New" w:eastAsia="Courier New" w:hAnsi="Courier New"/>
          <w:color w:val="24292F"/>
          <w:sz w:val="16"/>
          <w:szCs w:val="16"/>
        </w:rPr>
        <w:t xml:space="preserve">for ent in doc.ents:                    # entidades nombradas -&gt; Sujeto</w:t>
      </w:r>
      <w:r>
        <w:br/>
      </w:r>
      <w:r>
        <w:rPr>
          <w:rFonts w:ascii="Courier New" w:cs="Courier New" w:eastAsia="Courier New" w:hAnsi="Courier New"/>
          <w:color w:val="24292F"/>
          <w:sz w:val="16"/>
          <w:szCs w:val="16"/>
        </w:rPr>
        <w:t xml:space="preserve">    if ent.label_ in ("PER", "ORG"):</w:t>
      </w:r>
      <w:r>
        <w:br/>
      </w:r>
      <w:r>
        <w:rPr>
          <w:rFonts w:ascii="Courier New" w:cs="Courier New" w:eastAsia="Courier New" w:hAnsi="Courier New"/>
          <w:color w:val="24292F"/>
          <w:sz w:val="16"/>
          <w:szCs w:val="16"/>
        </w:rPr>
        <w:t xml:space="preserve">        candidatos.add((ent.text, "Sujeto"))</w:t>
      </w:r>
      <w:r>
        <w:br/>
      </w:r>
      <w:r>
        <w:rPr>
          <w:rFonts w:ascii="Courier New" w:cs="Courier New" w:eastAsia="Courier New" w:hAnsi="Courier New"/>
          <w:color w:val="24292F"/>
          <w:sz w:val="16"/>
          <w:szCs w:val="16"/>
        </w:rPr>
        <w:t xml:space="preserve">for chunk in doc.noun_chunks:           # sintagmas nominales -&gt; Objeto</w:t>
      </w:r>
      <w:r>
        <w:br/>
      </w:r>
      <w:r>
        <w:rPr>
          <w:rFonts w:ascii="Courier New" w:cs="Courier New" w:eastAsia="Courier New" w:hAnsi="Courier New"/>
          <w:color w:val="24292F"/>
          <w:sz w:val="16"/>
          <w:szCs w:val="16"/>
        </w:rPr>
        <w:t xml:space="preserve">    candidatos.add((chunk.root.lemma_, "Objeto"))</w:t>
      </w:r>
      <w:r>
        <w:br/>
      </w:r>
      <w:r>
        <w:rPr>
          <w:rFonts w:ascii="Courier New" w:cs="Courier New" w:eastAsia="Courier New" w:hAnsi="Courier New"/>
          <w:color w:val="24292F"/>
          <w:sz w:val="16"/>
          <w:szCs w:val="16"/>
        </w:rPr>
        <w:t xml:space="preserve">for tok in doc:                         # verbos principales -&gt; Verbo</w:t>
      </w:r>
      <w:r>
        <w:br/>
      </w:r>
      <w:r>
        <w:rPr>
          <w:rFonts w:ascii="Courier New" w:cs="Courier New" w:eastAsia="Courier New" w:hAnsi="Courier New"/>
          <w:color w:val="24292F"/>
          <w:sz w:val="16"/>
          <w:szCs w:val="16"/>
        </w:rPr>
        <w:t xml:space="preserve">    if tok.pos_ == "VERB":</w:t>
      </w:r>
      <w:r>
        <w:br/>
      </w:r>
      <w:r>
        <w:rPr>
          <w:rFonts w:ascii="Courier New" w:cs="Courier New" w:eastAsia="Courier New" w:hAnsi="Courier New"/>
          <w:color w:val="24292F"/>
          <w:sz w:val="16"/>
          <w:szCs w:val="16"/>
        </w:rPr>
        <w:t xml:space="preserve">        candidatos.add((tok.lemma_, "Verbo"))</w:t>
      </w:r>
    </w:p>
    <w:p>
      <w:pPr>
        <w:pStyle w:val="Heading2"/>
        <w:keepNext/>
      </w:pPr>
      <w:r>
        <w:t xml:space="preserve">6.7 El motor de evaluación</w:t>
      </w:r>
    </w:p>
    <w:p>
      <w:pPr>
        <w:spacing w:after="160" w:line="276"/>
        <w:jc w:val="both"/>
      </w:pPr>
      <w:r>
        <w:t xml:space="preserve">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_match(prod, gold):</w:t>
      </w:r>
      <w:r>
        <w:br/>
      </w:r>
      <w:r>
        <w:rPr>
          <w:rFonts w:ascii="Courier New" w:cs="Courier New" w:eastAsia="Courier New" w:hAnsi="Courier New"/>
          <w:color w:val="24292F"/>
          <w:sz w:val="16"/>
          <w:szCs w:val="16"/>
        </w:rPr>
        <w:t xml:space="preserve">    a, b = norm(prod.nombre), norm(gold.nombre)</w:t>
      </w:r>
      <w:r>
        <w:br/>
      </w:r>
      <w:r>
        <w:rPr>
          <w:rFonts w:ascii="Courier New" w:cs="Courier New" w:eastAsia="Courier New" w:hAnsi="Courier New"/>
          <w:color w:val="24292F"/>
          <w:sz w:val="16"/>
          <w:szCs w:val="16"/>
        </w:rPr>
        <w:t xml:space="preserve">    if a == b:                                  # 1) nombre normalizado</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if a in sinonimos(gold) or b in sinonimos(prod):</w:t>
      </w:r>
      <w:r>
        <w:br/>
      </w:r>
      <w:r>
        <w:rPr>
          <w:rFonts w:ascii="Courier New" w:cs="Courier New" w:eastAsia="Courier New" w:hAnsi="Courier New"/>
          <w:color w:val="24292F"/>
          <w:sz w:val="16"/>
          <w:szCs w:val="16"/>
        </w:rPr>
        <w:t xml:space="preserve">        return True                             # 2) tabla de sinónimos</w:t>
      </w:r>
      <w:r>
        <w:br/>
      </w:r>
      <w:r>
        <w:rPr>
          <w:rFonts w:ascii="Courier New" w:cs="Courier New" w:eastAsia="Courier New" w:hAnsi="Courier New"/>
          <w:color w:val="24292F"/>
          <w:sz w:val="16"/>
          <w:szCs w:val="16"/>
        </w:rPr>
        <w:t xml:space="preserve">    ta, tb = tokens(a), tokens(b)               # 3) contención de tokens</w:t>
      </w:r>
      <w:r>
        <w:br/>
      </w:r>
      <w:r>
        <w:rPr>
          <w:rFonts w:ascii="Courier New" w:cs="Courier New" w:eastAsia="Courier New" w:hAnsi="Courier New"/>
          <w:color w:val="24292F"/>
          <w:sz w:val="16"/>
          <w:szCs w:val="16"/>
        </w:rPr>
        <w:t xml:space="preserve">    if ta and (ta &lt;= tb or tb &lt;= ta):</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return SequenceMatcher(None, a, b).ratio() &gt;= 0.85   # 4) similitud</w:t>
      </w:r>
    </w:p>
    <w:p>
      <w:pPr>
        <w:spacing w:after="60" w:before="160"/>
        <w:jc w:val="center"/>
      </w:pPr>
      <w:r>
        <w:drawing>
          <wp:inline distT="0" distB="0" distL="0" distR="0">
            <wp:extent cx="5334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color w:val="333333"/>
          <w:sz w:val="19"/>
          <w:szCs w:val="19"/>
        </w:rPr>
        <w:t xml:space="preserve">Fig. 6.2. Protocolo de emparejamiento determinístico entre los símbolos producidos y el Gold Standard, y las métricas derivadas del recuento de verdaderos positivos, falsos positivos y falsos negativos.</w:t>
      </w:r>
    </w:p>
    <w:p>
      <w:pPr>
        <w:spacing w:after="120"/>
      </w:pPr>
    </w:p>
    <w:p>
      <w:pPr>
        <w:spacing w:after="160" w:line="276"/>
        <w:jc w:val="both"/>
      </w:pPr>
      <w:r>
        <w:t xml:space="preserve">A partir de ese recuento se calculan las métricas estándar de recuperación de información:</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precision = vp / (vp + fp) if (vp + fp) else 0.0</w:t>
      </w:r>
      <w:r>
        <w:br/>
      </w:r>
      <w:r>
        <w:rPr>
          <w:rFonts w:ascii="Courier New" w:cs="Courier New" w:eastAsia="Courier New" w:hAnsi="Courier New"/>
          <w:color w:val="24292F"/>
          <w:sz w:val="16"/>
          <w:szCs w:val="16"/>
        </w:rPr>
        <w:t xml:space="preserve">cobertura = vp / (vp + fn) if (vp + fn) else 0.0</w:t>
      </w:r>
      <w:r>
        <w:br/>
      </w:r>
      <w:r>
        <w:rPr>
          <w:rFonts w:ascii="Courier New" w:cs="Courier New" w:eastAsia="Courier New" w:hAnsi="Courier New"/>
          <w:color w:val="24292F"/>
          <w:sz w:val="16"/>
          <w:szCs w:val="16"/>
        </w:rPr>
        <w:t xml:space="preserve">f1 = 2 * precision * cobertura / (precision + cobertura) if (precision + cobertura) else 0.0</w:t>
      </w:r>
    </w:p>
    <w:p>
      <w:pPr>
        <w:spacing w:after="160" w:line="276"/>
        <w:jc w:val="both"/>
      </w:pPr>
      <w:r>
        <w:t xml:space="preserve">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pPr>
        <w:pStyle w:val="Heading2"/>
        <w:keepNext/>
      </w:pPr>
      <w:r>
        <w:t xml:space="preserve">6.8 Reproducibilidad y ejecución</w:t>
      </w:r>
    </w:p>
    <w:p>
      <w:pPr>
        <w:spacing w:after="160" w:line="276"/>
        <w:jc w:val="both"/>
      </w:pPr>
      <w: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config.yaml; los prompts viven como archivos de texto editables; y el Gold Standard se versiona en formato JSON. De este modo, un tercero puede reproducir tanto la generación —con su propia clave de API— como, sobre todo, la evaluación, que no depende de ningún servicio externo.</w:t>
      </w:r>
    </w:p>
    <w:p>
      <w:pPr>
        <w:spacing w:after="160" w:line="276"/>
        <w:jc w:val="both"/>
      </w:pPr>
      <w:r>
        <w:t xml:space="preserve">Para poder validar el pipeline sin acceso a la red, la abstracción de proveedor incluye, además de OpenAI y Anthropic, un proveedor </w:t>
      </w:r>
      <w:r>
        <w:rPr>
          <w:i/>
          <w:iCs/>
        </w:rPr>
        <w:t xml:space="preserve">mock</w:t>
      </w:r>
      <w: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pPr>
        <w:pStyle w:val="Heading2"/>
        <w:keepNext/>
      </w:pPr>
      <w:r>
        <w:t xml:space="preserve">6.9 Comparación y justificación de las tecnologías</w:t>
      </w:r>
    </w:p>
    <w:p>
      <w:pPr>
        <w:spacing w:after="160" w:line="276"/>
        <w:jc w:val="both"/>
      </w:pPr>
      <w:r>
        <w:t xml:space="preserve">El diseño del prototipo involucra varias decisiones tecnológicas que conviene justificar y situar frente a sus alternativas.</w:t>
      </w:r>
    </w:p>
    <w:p>
      <w:pPr>
        <w:spacing w:after="160" w:line="276"/>
        <w:jc w:val="both"/>
      </w:pPr>
      <w:r>
        <w:rPr>
          <w:i/>
          <w:iCs/>
        </w:rPr>
        <w:t xml:space="preserve">Lenguaje y ecosistema.</w:t>
      </w:r>
      <w:r>
        <w:t xml:space="preserve"> Se eligió </w:t>
      </w:r>
      <w:r>
        <w:rPr>
          <w:i/>
          <w:iCs/>
        </w:rPr>
        <w:t xml:space="preserve">Python</w:t>
      </w:r>
      <w: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pPr>
        <w:spacing w:after="160" w:line="276"/>
        <w:jc w:val="both"/>
      </w:pPr>
      <w:r>
        <w:rPr>
          <w:i/>
          <w:iCs/>
        </w:rPr>
        <w:t xml:space="preserve">Modelo generativo.</w:t>
      </w:r>
      <w:r>
        <w:t xml:space="preserve"> En lugar de comprometerse con un único modelo, el prototipo define una </w:t>
      </w:r>
      <w:r>
        <w:rPr>
          <w:i/>
          <w:iCs/>
        </w:rPr>
        <w:t xml:space="preserve">abstracción de proveedor</w:t>
      </w:r>
      <w:r>
        <w:t xml:space="preserve"> que permite intercambiarlos y compararlos empíricamente (Sección 6.5). Los candidatos plausibles para la tarea, con sus compromisos, se resumen en la Tabla 6.2. La decisión de </w:t>
      </w:r>
      <w:r>
        <w:rPr>
          <w:i/>
          <w:iCs/>
        </w:rPr>
        <w:t xml:space="preserve">cuál</w:t>
      </w:r>
      <w:r>
        <w:t xml:space="preserve"> usar no se toma a priori, sino que se resuelve con la evaluación; la arquitectura garantiza que cambiar de modelo no exija reescribir el pipeline.</w:t>
      </w:r>
    </w:p>
    <w:p>
      <w:pPr>
        <w:spacing w:after="70" w:before="180"/>
        <w:jc w:val="center"/>
      </w:pPr>
      <w:r>
        <w:rPr>
          <w:color w:val="333333"/>
          <w:sz w:val="19"/>
          <w:szCs w:val="19"/>
        </w:rPr>
        <w:t xml:space="preserve">Tabla 6.2. Modelos generativos candidatos para el pipeline y sus compromisos.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080"/>
        <w:gridCol w:w="268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Modelo / familia</w:t>
            </w:r>
          </w:p>
        </w:tc>
        <w:tc>
          <w:tcPr>
            <w:tcW w:type="dxa" w:w="1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Proveedor</w:t>
            </w:r>
          </w:p>
        </w:tc>
        <w:tc>
          <w:tcPr>
            <w:tcW w:type="dxa" w:w="30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Fortalezas</w:t>
            </w:r>
          </w:p>
        </w:tc>
        <w:tc>
          <w:tcPr>
            <w:tcW w:type="dxa" w:w="26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Consideraciones</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GPT-4 / GPT-4o</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OpenAI</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Alta capacidad general, buen desempeño en español, salida estructurada (modo JSON).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los datos se procesan en un tercero.</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Claude</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Anthropic</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Ventana de contexto amplia, buen seguimiento de instrucciones complejas.</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Gemini</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Google</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Integración con el ecosistema Google, capacidades multimodales.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Llama / Mistral (abiertos)</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Meta / Mistral</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Ejecución local (privacidad de los datos), sin costo por token.</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Requieren hardware propio; calidad algo menor en español.</w:t>
            </w:r>
          </w:p>
        </w:tc>
      </w:tr>
    </w:tbl>
    <w:p>
      <w:pPr>
        <w:spacing w:after="120"/>
      </w:pPr>
    </w:p>
    <w:p>
      <w:pPr>
        <w:spacing w:after="160" w:line="276"/>
        <w:jc w:val="both"/>
      </w:pPr>
      <w:r>
        <w:t xml:space="preserve">Prompting frente a ajuste fino y agentes. El pipeline se apoya en </w:t>
      </w:r>
      <w:r>
        <w:rPr>
          <w:i/>
          <w:iCs/>
        </w:rPr>
        <w:t xml:space="preserve">prompting</w:t>
      </w:r>
      <w:r>
        <w:t xml:space="preserve"> estructurado —instrucciones, ejemplos (</w:t>
      </w:r>
      <w:r>
        <w:rPr>
          <w:i/>
          <w:iCs/>
        </w:rPr>
        <w:t xml:space="preserve">few-shot</w:t>
      </w:r>
      <w:r>
        <w:t xml:space="preserve">) y cadena de pensamiento— y no en ajuste fino (</w:t>
      </w:r>
      <w:r>
        <w:rPr>
          <w:i/>
          <w:iCs/>
        </w:rPr>
        <w:t xml:space="preserve">fine-tuning</w:t>
      </w:r>
      <w:r>
        <w:t xml:space="preserve">), que exigiría un conjunto de datos etiquetado del que no se dispone y un costo mayor, sin garantía de superar al prompting bien diseñado para esta tarea. Una alternativa emergente son los </w:t>
      </w:r>
      <w:r>
        <w:rPr>
          <w:i/>
          <w:iCs/>
        </w:rPr>
        <w:t xml:space="preserve">agentes</w:t>
      </w:r>
      <w:r>
        <w:t xml:space="preserve">: sistemas en los que 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Pr>
          <w:i/>
          <w:iCs/>
        </w:rPr>
        <w:t xml:space="preserve">agente conversacional</w:t>
      </w:r>
      <w:r>
        <w:t xml:space="preserve"> podría conducir la entrevista, una línea ya explorada en la literatura reciente [14], [27]. Este trabajo adopta el enfoque de etapas fijas por ser más transparente, controlable y evaluable, y deja el enfoque agéntico como trabajo futuro.</w:t>
      </w:r>
    </w:p>
    <w:p>
      <w:pPr>
        <w:spacing w:after="160" w:line="276"/>
        <w:jc w:val="both"/>
      </w:pPr>
      <w:r>
        <w:rPr>
          <w:i/>
          <w:iCs/>
        </w:rPr>
        <w:t xml:space="preserve">Herramientas de desarrollo.</w:t>
      </w:r>
      <w:r>
        <w:t xml:space="preserve"> El proyecto se versiona con </w:t>
      </w:r>
      <w:r>
        <w:rPr>
          <w:i/>
          <w:iCs/>
        </w:rPr>
        <w:t xml:space="preserve">Git</w:t>
      </w:r>
      <w:r>
        <w:t xml:space="preserve"> y </w:t>
      </w:r>
      <w:r>
        <w:rPr>
          <w:i/>
          <w:iCs/>
        </w:rPr>
        <w:t xml:space="preserve">GitHub</w:t>
      </w:r>
      <w:r>
        <w:t xml:space="preserve"> y se desarrolla en </w:t>
      </w:r>
      <w:r>
        <w:rPr>
          <w:i/>
          <w:iCs/>
        </w:rPr>
        <w:t xml:space="preserve">VS Code</w:t>
      </w:r>
      <w:r>
        <w:t xml:space="preserve">. Para acelerar la escritura y la depuración del código, es razonable apoyarse en asistentes de programación basados en IA integrados al editor —como GitHub Copilot o el chat de Copilot de VS Code—, que aplican al </w:t>
      </w:r>
      <w:r>
        <w:rPr>
          <w:i/>
          <w:iCs/>
        </w:rPr>
        <w:t xml:space="preserve">desarrollo</w:t>
      </w:r>
      <w:r>
        <w:t xml:space="preserve"> la misma clase de tecnología que el prototipo aplica al </w:t>
      </w:r>
      <w:r>
        <w:rPr>
          <w:i/>
          <w:iCs/>
        </w:rPr>
        <w:t xml:space="preserve">dominio</w:t>
      </w:r>
      <w:r>
        <w:t xml:space="preserve">.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pPr>
        <w:pStyle w:val="Heading2"/>
        <w:keepNext/>
      </w:pPr>
      <w:r>
        <w:t xml:space="preserve">6.10 Obtención del corpus: transcripción de entrevistas asistida por IA</w:t>
      </w:r>
    </w:p>
    <w:p>
      <w:pPr>
        <w:spacing w:after="160" w:line="276"/>
        <w:jc w:val="both"/>
      </w:pPr>
      <w: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Pr>
          <w:i/>
          <w:iCs/>
        </w:rPr>
        <w:t xml:space="preserve">Whisper</w:t>
      </w:r>
      <w:r>
        <w:t xml:space="preserve"> de OpenAI [28], transcriben audio a texto con alta exactitud, incluso en español y en condiciones de audio no ideales, y admiten la </w:t>
      </w:r>
      <w:r>
        <w:rPr>
          <w:i/>
          <w:iCs/>
        </w:rPr>
        <w:t xml:space="preserve">diarización</w:t>
      </w:r>
      <w:r>
        <w:t xml:space="preserve"> —la separación de los turnos de cada interlocutor—, que es precisamente el formato por hablante que el pipeline espera.</w:t>
      </w:r>
    </w:p>
    <w:p>
      <w:pPr>
        <w:spacing w:after="160" w:line="276"/>
        <w:jc w:val="both"/>
      </w:pPr>
      <w:r>
        <w:t xml:space="preserve">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pPr>
        <w:pStyle w:val="Heading1"/>
        <w:keepNext/>
        <w:pageBreakBefore/>
        <w:spacing w:after="200" w:before="420"/>
      </w:pPr>
      <w:r>
        <w:t xml:space="preserve">Capítulo 7 — Experimentación y Resultados</w:t>
      </w:r>
    </w:p>
    <w:p>
      <w:pPr>
        <w:spacing w:after="160" w:line="276"/>
        <w:jc w:val="both"/>
      </w:pPr>
      <w:r>
        <w:t xml:space="preserve">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pPr>
        <w:pStyle w:val="Heading2"/>
        <w:keepNext/>
      </w:pPr>
      <w:r>
        <w:t xml:space="preserve">7.1 Entorno experimental y alcance de la ejecución</w:t>
      </w:r>
    </w:p>
    <w:p>
      <w:pPr>
        <w:spacing w:after="160" w:line="276"/>
        <w:jc w:val="both"/>
      </w:pPr>
      <w:r>
        <w:t xml:space="preserve">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pPr>
        <w:spacing w:after="160" w:line="276"/>
        <w:jc w:val="both"/>
      </w:pPr>
      <w:r>
        <w:t xml:space="preserve">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pPr>
        <w:pStyle w:val="Heading2"/>
        <w:keepNext/>
      </w:pPr>
      <w:r>
        <w:t xml:space="preserve">7.2 Datos de las entrevistas</w:t>
      </w:r>
    </w:p>
    <w:p>
      <w:pPr>
        <w:spacing w:after="160" w:line="276"/>
        <w:jc w:val="both"/>
      </w:pPr>
      <w:r>
        <w:t xml:space="preserve">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pPr>
        <w:spacing w:after="70" w:before="180"/>
        <w:jc w:val="center"/>
      </w:pPr>
      <w:r>
        <w:rPr>
          <w:color w:val="333333"/>
          <w:sz w:val="19"/>
          <w:szCs w:val="19"/>
        </w:rPr>
        <w:t xml:space="preserve">Tabla 7.1. Datos de las entrevistas del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Entrevista</w:t>
            </w:r>
          </w:p>
        </w:tc>
        <w:tc>
          <w:tcPr>
            <w:tcW w:type="dxa" w:w="2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3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Palabras</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 Dueño</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1304</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 Gerente Comercial</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759</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 Operario ERP</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830</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 Responsable ERP</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346</w:t>
            </w:r>
          </w:p>
        </w:tc>
      </w:tr>
    </w:tbl>
    <w:p>
      <w:pPr>
        <w:spacing w:after="120"/>
      </w:pPr>
    </w:p>
    <w:p>
      <w:pPr>
        <w:spacing w:after="160" w:line="276"/>
        <w:jc w:val="both"/>
      </w:pPr>
      <w:r>
        <w:t xml:space="preserve">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pPr>
        <w:pStyle w:val="Heading2"/>
        <w:keepNext/>
      </w:pPr>
      <w:r>
        <w:t xml:space="preserve">7.3 Resultados del baseline de frecuencia (C1a)</w:t>
      </w:r>
    </w:p>
    <w:p>
      <w:pPr>
        <w:spacing w:after="160" w:line="276"/>
        <w:jc w:val="both"/>
      </w:pPr>
      <w:r>
        <w:t xml:space="preserve">El baseline de frecuencia produce un LEL de </w:t>
      </w:r>
      <w:r>
        <w:rPr>
          <w:i/>
          <w:iCs/>
        </w:rPr>
        <w:t xml:space="preserve">40 símbolos candidatos</w:t>
      </w:r>
      <w:r>
        <w:t xml:space="preserve"> a partir del corpus (sin noción ni impacto). Se lo evalúa contra el </w:t>
      </w:r>
      <w:r>
        <w:rPr>
          <w:i/>
          <w:iCs/>
        </w:rPr>
        <w:t xml:space="preserve">GS-Corpus</w:t>
      </w:r>
      <w:r>
        <w:t xml:space="preserve"> (15 símbolos, los que tienen sustento textual en las cuatro entrevistas) y también contra el </w:t>
      </w:r>
      <w:r>
        <w:rPr>
          <w:i/>
          <w:iCs/>
        </w:rPr>
        <w:t xml:space="preserve">GS-Completo</w:t>
      </w:r>
      <w:r>
        <w:t xml:space="preserve"> (21), como techo teórico. Las métricas reportadas son verdaderos positivos (VP), falsos positivos (FP), falsos negativos (FN), precisión, cobertura, F1, exactitud de clasificación de tipo (sobre los VP) y cobertura de descripciones (Descr.), en la Tabla 7.2.</w:t>
      </w:r>
    </w:p>
    <w:p>
      <w:pPr>
        <w:spacing w:after="70" w:before="180"/>
        <w:jc w:val="center"/>
      </w:pPr>
      <w:r>
        <w:rPr>
          <w:color w:val="333333"/>
          <w:sz w:val="19"/>
          <w:szCs w:val="19"/>
        </w:rPr>
        <w:t xml:space="preserve">Tabla 7.2. Baseline de frecuencia (C1a)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7</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33</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12</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0,225</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0,429</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0,295</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0,556</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w:t>
            </w:r>
          </w:p>
        </w:tc>
      </w:tr>
    </w:tbl>
    <w:p>
      <w:pPr>
        <w:spacing w:after="120"/>
      </w:pPr>
    </w:p>
    <w:p>
      <w:pPr>
        <w:spacing w:after="160" w:line="276"/>
        <w:jc w:val="both"/>
      </w:pPr>
      <w:r>
        <w:t xml:space="preserve">El método recupera cerca de la mitad de los símbolos recuperables (cobertura de 0,467 contra el GS-Corpus)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pPr>
        <w:spacing w:after="160" w:line="276"/>
        <w:jc w:val="both"/>
      </w:pPr>
      <w:r>
        <w:t xml:space="preserve">La cobertura alcanzada refleja, sobre todo, una propiedad del corpus más que del método: seis de los veintiún símbolos del LEL experto no tienen sustento textual en ninguna de las cuatro entrevistas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pPr>
        <w:pStyle w:val="Heading2"/>
        <w:keepNext/>
      </w:pPr>
      <w:r>
        <w:t xml:space="preserve">7.4 Resultados del pipeline LLM</w:t>
      </w:r>
    </w:p>
    <w:p>
      <w:pPr>
        <w:pStyle w:val="Heading3"/>
        <w:keepNext/>
      </w:pPr>
      <w:r>
        <w:t xml:space="preserve">7.4.1 Corrida de referencia</w:t>
      </w:r>
    </w:p>
    <w:p>
      <w:pPr>
        <w:spacing w:after="160" w:line="276"/>
        <w:jc w:val="both"/>
      </w:pPr>
      <w:r>
        <w:t xml:space="preserve">No fue posible acceder a la API de los proveedores comerciales durante la elaboración de este trabajo, por lo que el pipeline no pudo ejecutarse contra los modelos externos por la vía del SDK. En su lugar se realizó una </w:t>
      </w:r>
      <w:r>
        <w:rPr>
          <w:i/>
          <w:iCs/>
        </w:rPr>
        <w:t xml:space="preserve">corrida de referencia</w:t>
      </w:r>
      <w:r>
        <w:t xml:space="preserve"> empleando como modelo generativo el propio asistente (Claude), que ejecutó las cuatro etapas del pipeline —extracción, clasificación, descripción y auto-verificación, en la configuración C2c— sobre el corpus de las cuatro entrevistas, produciendo un LEL que luego se midió con el motor de evaluación determinístico.</w:t>
      </w:r>
    </w:p>
    <w:p>
      <w:pPr>
        <w:spacing w:after="160" w:line="276"/>
        <w:jc w:val="both"/>
      </w:pPr>
      <w:r>
        <w:t xml:space="preserve">Esta corrida debe leerse con dos salvedades explícitas. Primero, el </w:t>
      </w:r>
      <w:r>
        <w:rPr>
          <w:i/>
          <w:iCs/>
        </w:rPr>
        <w:t xml:space="preserve">modelo</w:t>
      </w:r>
      <w:r>
        <w:t xml:space="preserve"> utilizado es el asistente, y no necesariamente representa el desempeño de los modelos comerciales que se someterán a benchmarking en la réplica definitiva. Segundo, aplica una </w:t>
      </w:r>
      <w:r>
        <w:rPr>
          <w:i/>
          <w:iCs/>
        </w:rPr>
        <w:t xml:space="preserve">salvedad de contaminación</w:t>
      </w:r>
      <w:r>
        <w:t xml:space="preserve">: el operador tuvo exposición previa al Gold Standard durante el desarrollo del trabajo, lo que puede sesgar qué candidatos se seleccionan o cómo se redactan las descripciones. Por ambas razones, los valores que siguen se interpretan como una </w:t>
      </w:r>
      <w:r>
        <w:rPr>
          <w:i/>
          <w:iCs/>
        </w:rPr>
        <w:t xml:space="preserve">cota optimista</w:t>
      </w:r>
      <w:r>
        <w:t xml:space="preserve"> y como una demostración de que el pipeline produce un LEL real y evaluable, y no como el resultado final del experimento, que requiere una réplica en condiciones ciegas con modelos frescos (Sección 7.9).</w:t>
      </w:r>
    </w:p>
    <w:p>
      <w:pPr>
        <w:pStyle w:val="Heading3"/>
        <w:keepNext/>
      </w:pPr>
      <w:r>
        <w:t xml:space="preserve">7.4.2 Resultados</w:t>
      </w:r>
    </w:p>
    <w:p>
      <w:pPr>
        <w:spacing w:after="160" w:line="276"/>
        <w:jc w:val="both"/>
      </w:pPr>
      <w:r>
        <w:t xml:space="preserve">El LEL producido por el prototipo contiene 19 símbolos descriptos: 8 Sujeto, 8 Objeto y 3 Verbo — ningún Estado, un resultado en sí mismo informativo. La Tabla 7.4 reporta su evaluación contra ambos conjuntos de referencia.</w:t>
      </w:r>
    </w:p>
    <w:p>
      <w:pPr>
        <w:spacing w:after="70" w:before="180"/>
        <w:jc w:val="center"/>
      </w:pPr>
      <w:r>
        <w:rPr>
          <w:color w:val="333333"/>
          <w:sz w:val="19"/>
          <w:szCs w:val="19"/>
        </w:rPr>
        <w:t xml:space="preserve">Tabla 7.4. Pipeline LLM (configuración C2c, modelo: asistente)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0,474</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0,529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0,526</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0,476</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Contra el GS-Corpus —el blanco alcanzable desde el corpus disponible—, el pipeline alcanza una </w:t>
      </w:r>
      <w:r>
        <w:rPr>
          <w:i/>
          <w:iCs/>
        </w:rPr>
        <w:t xml:space="preserve">cobertura de 0,600</w:t>
      </w:r>
      <w:r>
        <w:t xml:space="preserve"> (9 de 15 símbolos), una </w:t>
      </w:r>
      <w:r>
        <w:rPr>
          <w:i/>
          <w:iCs/>
        </w:rPr>
        <w:t xml:space="preserve">precisión de 0,474</w:t>
      </w:r>
      <w:r>
        <w:t xml:space="preserve"> y un </w:t>
      </w:r>
      <w:r>
        <w:rPr>
          <w:i/>
          <w:iCs/>
        </w:rPr>
        <w:t xml:space="preserve">F1 de 0,529</w:t>
      </w:r>
      <w:r>
        <w:t xml:space="preserve">. Entre los falsos positivos aparecen tres actores legítimos del dominio —</w:t>
      </w:r>
      <w:r>
        <w:rPr>
          <w:i/>
          <w:iCs/>
        </w:rPr>
        <w:t xml:space="preserve">Dueño</w:t>
      </w:r>
      <w:r>
        <w:t xml:space="preserve">, </w:t>
      </w:r>
      <w:r>
        <w:rPr>
          <w:i/>
          <w:iCs/>
        </w:rPr>
        <w:t xml:space="preserve">Gerente Comercial</w:t>
      </w:r>
      <w:r>
        <w:t xml:space="preserve"> y </w:t>
      </w:r>
      <w:r>
        <w:rPr>
          <w:i/>
          <w:iCs/>
        </w:rPr>
        <w:t xml:space="preserve">Responsable ERP</w:t>
      </w:r>
      <w:r>
        <w:t xml:space="preserve">—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pPr>
        <w:pStyle w:val="Heading3"/>
        <w:keepNext/>
      </w:pPr>
      <w:r>
        <w:t xml:space="preserve">7.4.3 Comparación con el PLN tradicional</w:t>
      </w:r>
    </w:p>
    <w:p>
      <w:pPr>
        <w:spacing w:after="160" w:line="276"/>
        <w:jc w:val="both"/>
      </w:pPr>
      <w:r>
        <w:t xml:space="preserve">El contraste con el baseline de frecuencia, frente al mismo blanco de comparación (GS-Corpus), es nítido (Figura 7.2).</w:t>
      </w:r>
    </w:p>
    <w:p>
      <w:pPr>
        <w:spacing w:after="60" w:before="1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color w:val="333333"/>
          <w:sz w:val="19"/>
          <w:szCs w:val="19"/>
        </w:rPr>
        <w:t xml:space="preserve">Fig. 7.2. PLN tradicional frente al pipeline LLM en las métricas de identificación, clasificación y descripción, contra el GS-Corpus.</w:t>
      </w:r>
    </w:p>
    <w:p>
      <w:pPr>
        <w:spacing w:after="120"/>
      </w:pPr>
    </w:p>
    <w:p>
      <w:pPr>
        <w:spacing w:after="70" w:before="180"/>
        <w:jc w:val="center"/>
      </w:pPr>
      <w:r>
        <w:rPr>
          <w:color w:val="333333"/>
          <w:sz w:val="19"/>
          <w:szCs w:val="19"/>
        </w:rPr>
        <w:t xml:space="preserve">Tabla 7.5. Comparación del baseline de frecuencia (C1a) y el pipeline LLM (C2c) frente al GS-Corpus.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40"/>
        <w:gridCol w:w="1400"/>
        <w:gridCol w:w="1000"/>
        <w:gridCol w:w="1000"/>
        <w:gridCol w:w="1860"/>
      </w:tblGrid>
      <w:tr>
        <w:trPr>
          <w:tblHeader/>
        </w:trPr>
        <w:tc>
          <w:tcPr>
            <w:tcW w:type="dxa" w:w="2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18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Descripciones</w:t>
            </w:r>
          </w:p>
        </w:tc>
      </w:tr>
      <w:tr>
        <w:tc>
          <w:tcPr>
            <w:tcW w:type="dxa" w:w="2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13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18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13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0,474</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0,529</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0,889</w:t>
            </w:r>
          </w:p>
        </w:tc>
        <w:tc>
          <w:tcPr>
            <w:tcW w:type="dxa" w:w="18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El pipeline LLM mejora todas las métricas de identificación y clasificación, pero la diferencia </w:t>
      </w:r>
      <w:r>
        <w:rPr>
          <w:i/>
          <w:iCs/>
        </w:rPr>
        <w:t xml:space="preserve">cualitativamente decisiva</w:t>
      </w:r>
      <w:r>
        <w:t xml:space="preserve"> está en la última columna: el baseline por frecuencia produce </w:t>
      </w:r>
      <w:r>
        <w:rPr>
          <w:i/>
          <w:iCs/>
        </w:rPr>
        <w:t xml:space="preserve">cero</w:t>
      </w:r>
      <w:r>
        <w:t xml:space="preserve"> descripciones, mientras que el LLM describe el </w:t>
      </w:r>
      <w:r>
        <w:rPr>
          <w:i/>
          <w:iCs/>
        </w:rPr>
        <w:t xml:space="preserve">100 %</w:t>
      </w:r>
      <w: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pPr>
        <w:pStyle w:val="Heading3"/>
        <w:keepNext/>
      </w:pPr>
      <w:r>
        <w:t xml:space="preserve">7.4.4 Ejemplos del LEL generado</w:t>
      </w:r>
    </w:p>
    <w:p>
      <w:pPr>
        <w:spacing w:after="160" w:line="276"/>
        <w:jc w:val="both"/>
      </w:pPr>
      <w:r>
        <w:t xml:space="preserve">A modo ilustrativo, se transcriben tres símbolos tal como los produjo la corrida de referencia, con su noción y su impacto:</w:t>
      </w:r>
    </w:p>
    <w:p>
      <w:pPr>
        <w:spacing w:after="160" w:line="276"/>
        <w:jc w:val="both"/>
      </w:pPr>
      <w:r>
        <w:t xml:space="preserve">Sistema ERP — </w:t>
      </w:r>
      <w:r>
        <w:rPr>
          <w:i/>
          <w:iCs/>
        </w:rPr>
        <w:t xml:space="preserve">Sujeto</w:t>
      </w:r>
      <w:r>
        <w:t xml:space="preserve">. </w:t>
      </w:r>
      <w:r>
        <w:rPr>
          <w:b/>
          <w:bCs/>
        </w:rPr>
        <w:t xml:space="preserve">Noción:</w:t>
      </w:r>
      <w:r>
        <w:t xml:space="preserve"> es el sistema de gestión administrativa que usa ecoFactory, provisto por una empresa externa,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Remito</w:t>
      </w:r>
      <w:r>
        <w:t xml:space="preserve"> — </w:t>
      </w:r>
      <w:r>
        <w:rPr>
          <w:i/>
          <w:iCs/>
        </w:rPr>
        <w:t xml:space="preserve">Objeto</w:t>
      </w:r>
      <w:r>
        <w:t xml:space="preserve">.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obliga a depurar la diferencia a mano.</w:t>
      </w:r>
    </w:p>
    <w:p>
      <w:pPr>
        <w:spacing w:after="160" w:line="276"/>
        <w:jc w:val="both"/>
      </w:pPr>
      <w:r>
        <w:rPr>
          <w:i/>
          <w:iCs/>
        </w:rPr>
        <w:t xml:space="preserve">Cliente Mayorista</w:t>
      </w:r>
      <w:r>
        <w:t xml:space="preserve"> — </w:t>
      </w:r>
      <w:r>
        <w:rPr>
          <w:i/>
          <w:iCs/>
        </w:rPr>
        <w:t xml:space="preserve">Sujeto</w:t>
      </w:r>
      <w:r>
        <w:t xml:space="preserve">. </w:t>
      </w:r>
      <w:r>
        <w:rPr>
          <w:b/>
          <w:bCs/>
        </w:rPr>
        <w:t xml:space="preserve">Noción:</w:t>
      </w:r>
      <w:r>
        <w:t xml:space="preserve"> es un tipo de Cliente que le compra a ecoFactory en cantidad, como cadenas de supermercados. </w:t>
      </w:r>
      <w:r>
        <w:rPr>
          <w:b/>
          <w:bCs/>
        </w:rPr>
        <w:t xml:space="preserve">Impacto:</w:t>
      </w:r>
      <w:r>
        <w:t xml:space="preserve"> es atendido de forma personalizada por el Gerente Comercial; genera entre 800 y 1000 Pedido por semana entre todos los Cliente Mayorista.</w:t>
      </w:r>
    </w:p>
    <w:p>
      <w:pPr>
        <w:spacing w:after="160" w:line="276"/>
        <w:jc w:val="both"/>
      </w:pPr>
      <w:r>
        <w:t xml:space="preserve">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pPr>
        <w:pStyle w:val="Heading2"/>
        <w:keepNext/>
      </w:pPr>
      <w:r>
        <w:t xml:space="preserve">7.5 Síntesis de resultados obtenidos</w:t>
      </w:r>
    </w:p>
    <w:p>
      <w:pPr>
        <w:spacing w:after="160" w:line="276"/>
        <w:jc w:val="both"/>
      </w:pPr>
      <w:r>
        <w:t xml:space="preserve">La experimentación permite establecer las siguientes observaciones:</w:t>
      </w:r>
    </w:p>
    <w:p>
      <w:pPr>
        <w:pStyle w:val="ListParagraph"/>
        <w:numPr>
          <w:ilvl w:val="0"/>
          <w:numId w:val="3"/>
        </w:numPr>
        <w:spacing w:after="90" w:line="270"/>
        <w:jc w:val="both"/>
      </w:pPr>
      <w:r>
        <w:t xml:space="preserve">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pPr>
        <w:pStyle w:val="ListParagraph"/>
        <w:numPr>
          <w:ilvl w:val="0"/>
          <w:numId w:val="3"/>
        </w:numPr>
        <w:spacing w:after="90" w:line="270"/>
        <w:jc w:val="both"/>
      </w:pPr>
      <w:r>
        <w:t xml:space="preserve">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GS-Corpus (15 símbolos).</w:t>
      </w:r>
    </w:p>
    <w:p>
      <w:pPr>
        <w:pStyle w:val="ListParagraph"/>
        <w:numPr>
          <w:ilvl w:val="0"/>
          <w:numId w:val="3"/>
        </w:numPr>
        <w:spacing w:after="90" w:line="270"/>
        <w:jc w:val="both"/>
      </w:pPr>
      <w:r>
        <w:t xml:space="preserve">El enfoque generativo cierra la brecha de descripción. En la corrida de referencia, el pipeline LLM (C2c) describe el 100 % de los símbolos —noción e impacto— frente al 0 % del PLN por frecuencia, con un F1 de 0,529 contra el GS-Corpus. Esta es la contribución cualitativa que el PLN por frecuencia no puede ofrecer.</w:t>
      </w:r>
    </w:p>
    <w:p>
      <w:pPr>
        <w:pStyle w:val="ListParagraph"/>
        <w:numPr>
          <w:ilvl w:val="0"/>
          <w:numId w:val="3"/>
        </w:numPr>
        <w:spacing w:after="90" w:line="270"/>
        <w:jc w:val="both"/>
      </w:pPr>
      <w:r>
        <w:t xml:space="preserve">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pPr>
        <w:pStyle w:val="ListParagraph"/>
        <w:numPr>
          <w:ilvl w:val="0"/>
          <w:numId w:val="3"/>
        </w:numPr>
        <w:spacing w:after="90" w:line="270"/>
        <w:jc w:val="both"/>
      </w:pPr>
      <w:r>
        <w:t xml:space="preserve">La precisión sigue siendo un desafío. Tanto en el PLN como en el LLM aparecen falsos positivos; en el LLM, varios son en realidad actores legítimos del dominio (</w:t>
      </w:r>
      <w:r>
        <w:rPr>
          <w:i/>
          <w:iCs/>
        </w:rPr>
        <w:t xml:space="preserve">Dueño</w:t>
      </w:r>
      <w:r>
        <w:t xml:space="preserve">, </w:t>
      </w:r>
      <w:r>
        <w:rPr>
          <w:i/>
          <w:iCs/>
        </w:rPr>
        <w:t xml:space="preserve">Responsable ERP</w:t>
      </w:r>
      <w:r>
        <w:t xml:space="preserve">) ausentes del Gold Standard de 21 símbolos porque este último se construyó sin esa entrevista, más que alucinaciones propiamente dichas.</w:t>
      </w:r>
    </w:p>
    <w:p>
      <w:pPr>
        <w:pStyle w:val="ListParagraph"/>
        <w:numPr>
          <w:ilvl w:val="0"/>
          <w:numId w:val="3"/>
        </w:numPr>
        <w:spacing w:after="90" w:line="270"/>
        <w:jc w:val="both"/>
      </w:pPr>
      <w:r>
        <w:rPr>
          <w:i/>
          <w:iCs/>
        </w:rPr>
        <w:t xml:space="preserve">Reproducibilidad.</w:t>
      </w:r>
      <w:r>
        <w:t xml:space="preserve"> Por ser el motor de evaluación completamente determinístico, todos los números reportados pueden reproducirse a partir del LEL producido y del Gold Standard, sin intervención de servicios externos.</w:t>
      </w:r>
    </w:p>
    <w:p>
      <w:pPr>
        <w:pStyle w:val="Heading2"/>
        <w:keepNext/>
      </w:pPr>
      <w:r>
        <w:t xml:space="preserve">7.6 Caso de muestreo: robustez en un dominio nuevo</w:t>
      </w:r>
    </w:p>
    <w:p>
      <w:pPr>
        <w:spacing w:after="160" w:line="276"/>
        <w:jc w:val="both"/>
      </w:pPr>
      <w:r>
        <w:t xml:space="preserve">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pPr>
        <w:spacing w:after="70" w:before="180"/>
        <w:jc w:val="center"/>
      </w:pPr>
      <w:r>
        <w:rPr>
          <w:color w:val="333333"/>
          <w:sz w:val="19"/>
          <w:szCs w:val="19"/>
        </w:rPr>
        <w:t xml:space="preserve">Tabla 7.6. Caso de muestreo (veterinaria): resultados frente al LEL de referencia de 16 símbolos.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600"/>
        <w:gridCol w:w="600"/>
        <w:gridCol w:w="1180"/>
        <w:gridCol w:w="1300"/>
        <w:gridCol w:w="900"/>
        <w:gridCol w:w="880"/>
        <w:gridCol w:w="9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8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5</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0,667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0,625</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8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0,938</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0,909</w:t>
            </w:r>
          </w:p>
        </w:tc>
        <w:tc>
          <w:tcPr>
            <w:tcW w:type="dxa" w:w="8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7.3. Caso de muestreo (veterinaria): PLN tradicional frente al pipeline LLM en identificación, clasificación y descripción.</w:t>
      </w:r>
    </w:p>
    <w:p>
      <w:pPr>
        <w:spacing w:after="120"/>
      </w:pPr>
    </w:p>
    <w:p>
      <w:pPr>
        <w:spacing w:after="160" w:line="276"/>
        <w:jc w:val="both"/>
      </w:pPr>
      <w:r>
        <w:t xml:space="preserve">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Pr>
          <w:i/>
          <w:iCs/>
        </w:rPr>
        <w:t xml:space="preserve">Dar de Alta Cliente</w:t>
      </w:r>
      <w:r>
        <w:t xml:space="preserve">, que nombró «Registrar Cliente», por lo que no emparejó) e introdujo dos falsos positivos plausibles (</w:t>
      </w:r>
      <w:r>
        <w:rPr>
          <w:i/>
          <w:iCs/>
        </w:rPr>
        <w:t xml:space="preserve">Comprobante</w:t>
      </w:r>
      <w:r>
        <w:t xml:space="preserve"> y el ya mencionado </w:t>
      </w:r>
      <w:r>
        <w:rPr>
          <w:i/>
          <w:iCs/>
        </w:rPr>
        <w:t xml:space="preserve">Registrar Cliente</w:t>
      </w:r>
      <w:r>
        <w:t xml:space="preserve">). Que el comportamiento se sostenga en un segundo dominio es un indicio —no una prueba— de generalidad; la prueba requeriría casos con referencias independientes y corridas ciegas.</w:t>
      </w:r>
    </w:p>
    <w:p>
      <w:pPr>
        <w:pStyle w:val="Heading2"/>
        <w:keepNext/>
      </w:pPr>
      <w:r>
        <w:t xml:space="preserve">7.7 Evidencia de ejecución del prototipo</w:t>
      </w:r>
    </w:p>
    <w:p>
      <w:pPr>
        <w:spacing w:after="160" w:line="276"/>
        <w:jc w:val="both"/>
      </w:pPr>
      <w:r>
        <w:t xml:space="preserve">Para respaldar que el prototipo efectivamente se ejecuta —y no es solo código— se documentan a continuación corridas reales y sus salidas. </w:t>
      </w:r>
      <w:r>
        <w:rPr>
          <w:i/>
          <w:iCs/>
        </w:rPr>
        <w:t xml:space="preserve">Primero</w:t>
      </w:r>
      <w:r>
        <w:t xml:space="preserve">, el pipeline corre de punta a punta de forma offline con el proveedor </w:t>
      </w:r>
      <w:r>
        <w:rPr>
          <w:i/>
          <w:iCs/>
        </w:rPr>
        <w:t xml:space="preserve">mock</w:t>
      </w:r>
      <w:r>
        <w:t xml:space="preserve">, lo que verifica la orquestación completa sin llamar a ningún modelo externo: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python -c "construir_lel(['.../entrevista_1_dueno.txt'], cfg(mock), C2c)"</w:t>
      </w:r>
      <w:r>
        <w:br/>
      </w:r>
      <w:r>
        <w:rPr>
          <w:rFonts w:ascii="Courier New" w:cs="Courier New" w:eastAsia="Courier New" w:hAnsi="Courier New"/>
          <w:color w:val="24292F"/>
          <w:sz w:val="16"/>
          <w:szCs w:val="16"/>
        </w:rPr>
        <w:t xml:space="preserve">  C2a: OK — 5 símbolos, 5 con noción+impacto</w:t>
      </w:r>
      <w:r>
        <w:br/>
      </w:r>
      <w:r>
        <w:rPr>
          <w:rFonts w:ascii="Courier New" w:cs="Courier New" w:eastAsia="Courier New" w:hAnsi="Courier New"/>
          <w:color w:val="24292F"/>
          <w:sz w:val="16"/>
          <w:szCs w:val="16"/>
        </w:rPr>
        <w:t xml:space="preserve">  C2b: OK — 5 símbolos, 5 con noción+impacto</w:t>
      </w:r>
      <w:r>
        <w:br/>
      </w:r>
      <w:r>
        <w:rPr>
          <w:rFonts w:ascii="Courier New" w:cs="Courier New" w:eastAsia="Courier New" w:hAnsi="Courier New"/>
          <w:color w:val="24292F"/>
          <w:sz w:val="16"/>
          <w:szCs w:val="16"/>
        </w:rPr>
        <w:t xml:space="preserve">  C2c: OK — 5 símbolos, 5 con noción+impacto</w:t>
      </w:r>
      <w:r>
        <w:br/>
      </w:r>
      <w:r>
        <w:rPr>
          <w:rFonts w:ascii="Courier New" w:cs="Courier New" w:eastAsia="Courier New" w:hAnsi="Courier New"/>
          <w:color w:val="24292F"/>
          <w:sz w:val="16"/>
          <w:szCs w:val="16"/>
        </w:rPr>
        <w:t xml:space="preserve">  &gt;&gt; extracción -&gt; clasificación -&gt; descripción -&gt; verificación: sin errores</w:t>
      </w:r>
    </w:p>
    <w:p>
      <w:pPr>
        <w:spacing w:after="160" w:line="276"/>
        <w:jc w:val="both"/>
      </w:pPr>
      <w:r>
        <w:rPr>
          <w:i/>
          <w:iCs/>
        </w:rPr>
        <w:t xml:space="preserve">Segundo</w:t>
      </w:r>
      <w:r>
        <w:t xml:space="preserve">, los baselines y el motor de evaluación producen métricas reales sobre ambos casos (estas son las cifras reportadas en las tablas de este capítulo):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ecoFactory — baseline de frecuencia (4 entrevistas reales) vs GS-Completo</w:t>
      </w:r>
      <w:r>
        <w:br/>
      </w:r>
      <w:r>
        <w:rPr>
          <w:rFonts w:ascii="Courier New" w:cs="Courier New" w:eastAsia="Courier New" w:hAnsi="Courier New"/>
          <w:color w:val="24292F"/>
          <w:sz w:val="16"/>
          <w:szCs w:val="16"/>
        </w:rPr>
        <w:t xml:space="preserve">candidatos=40   VP=9 FP=31 FN=12    P=0.225  R=0.429  F1=0.295</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 Caso de muestreo (veterinaria)</w:t>
      </w:r>
      <w:r>
        <w:br/>
      </w:r>
      <w:r>
        <w:rPr>
          <w:rFonts w:ascii="Courier New" w:cs="Courier New" w:eastAsia="Courier New" w:hAnsi="Courier New"/>
          <w:color w:val="24292F"/>
          <w:sz w:val="16"/>
          <w:szCs w:val="16"/>
        </w:rPr>
        <w:t xml:space="preserve">C1a frecuencia   candidatos=15  VP=10 FP=5 FN=6   P=0.667 R=0.625 F1=0.645  descr=0/15</w:t>
      </w:r>
      <w:r>
        <w:br/>
      </w:r>
      <w:r>
        <w:rPr>
          <w:rFonts w:ascii="Courier New" w:cs="Courier New" w:eastAsia="Courier New" w:hAnsi="Courier New"/>
          <w:color w:val="24292F"/>
          <w:sz w:val="16"/>
          <w:szCs w:val="16"/>
        </w:rPr>
        <w:t xml:space="preserve">C2c LLM          producidos=17  VP=15 FP=2 FN=1   P=0.882 R=0.938 F1=0.909  descr=17/17</w:t>
      </w:r>
    </w:p>
    <w:p>
      <w:pPr>
        <w:spacing w:after="160" w:line="276"/>
        <w:jc w:val="both"/>
      </w:pPr>
      <w:r>
        <w:rPr>
          <w:i/>
          <w:iCs/>
        </w:rPr>
        <w:t xml:space="preserve">Tercero</w:t>
      </w:r>
      <w:r>
        <w:t xml:space="preserve">, cada corrida deja su LEL en el directorio resultados/ en formato JSON. A modo de muestra, un símbolo del LEL producido para el caso de muestreo, con su estructura completa (nombre, tipo, noción, impacto, sinónimos):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"Agendar Turno",</w:t>
      </w:r>
      <w:r>
        <w:br/>
      </w:r>
      <w:r>
        <w:rPr>
          <w:rFonts w:ascii="Courier New" w:cs="Courier New" w:eastAsia="Courier New" w:hAnsi="Courier New"/>
          <w:color w:val="24292F"/>
          <w:sz w:val="16"/>
          <w:szCs w:val="16"/>
        </w:rPr>
        <w:t xml:space="preserve">  "tipo": "Verbo",</w:t>
      </w:r>
      <w:r>
        <w:br/>
      </w:r>
      <w:r>
        <w:rPr>
          <w:rFonts w:ascii="Courier New" w:cs="Courier New" w:eastAsia="Courier New" w:hAnsi="Courier New"/>
          <w:color w:val="24292F"/>
          <w:sz w:val="16"/>
          <w:szCs w:val="16"/>
        </w:rPr>
        <w:t xml:space="preserve">  "nocion": ["Es la actividad de reservar un horario de atención.",</w:t>
      </w:r>
      <w:r>
        <w:br/>
      </w:r>
      <w:r>
        <w:rPr>
          <w:rFonts w:ascii="Courier New" w:cs="Courier New" w:eastAsia="Courier New" w:hAnsi="Courier New"/>
          <w:color w:val="24292F"/>
          <w:sz w:val="16"/>
          <w:szCs w:val="16"/>
        </w:rPr>
        <w:t xml:space="preserve">             "La realiza la Recepcionista."],</w:t>
      </w:r>
      <w:r>
        <w:br/>
      </w:r>
      <w:r>
        <w:rPr>
          <w:rFonts w:ascii="Courier New" w:cs="Courier New" w:eastAsia="Courier New" w:hAnsi="Courier New"/>
          <w:color w:val="24292F"/>
          <w:sz w:val="16"/>
          <w:szCs w:val="16"/>
        </w:rPr>
        <w:t xml:space="preserve">  "impacto": ["Genera un Turno Confirmado y un Recordatorio."],</w:t>
      </w:r>
      <w:r>
        <w:br/>
      </w:r>
      <w:r>
        <w:rPr>
          <w:rFonts w:ascii="Courier New" w:cs="Courier New" w:eastAsia="Courier New" w:hAnsi="Courier New"/>
          <w:color w:val="24292F"/>
          <w:sz w:val="16"/>
          <w:szCs w:val="16"/>
        </w:rPr>
        <w:t xml:space="preserve">  "sinonimos": []</w:t>
      </w:r>
      <w:r>
        <w:br/>
      </w:r>
      <w:r>
        <w:rPr>
          <w:rFonts w:ascii="Courier New" w:cs="Courier New" w:eastAsia="Courier New" w:hAnsi="Courier New"/>
          <w:color w:val="24292F"/>
          <w:sz w:val="16"/>
          <w:szCs w:val="16"/>
        </w:rPr>
        <w:t xml:space="preserve">}</w:t>
      </w:r>
    </w:p>
    <w:p>
      <w:pPr>
        <w:spacing w:after="160" w:line="276"/>
        <w:jc w:val="both"/>
      </w:pPr>
      <w:r>
        <w:t xml:space="preserve">Por último, un </w:t>
      </w:r>
      <w:r>
        <w:rPr>
          <w:i/>
          <w:iCs/>
        </w:rPr>
        <w:t xml:space="preserve">beneficio colateral</w:t>
      </w:r>
      <w: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pPr>
        <w:pStyle w:val="Heading2"/>
        <w:keepNext/>
      </w:pPr>
      <w:r>
        <w:t xml:space="preserve">7.8 Evaluación en múltiples dominios de muestreo</w:t>
      </w:r>
    </w:p>
    <w:p>
      <w:pPr>
        <w:spacing w:after="160" w:line="276"/>
        <w:jc w:val="both"/>
      </w:pPr>
      <w: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Pr>
          <w:i/>
          <w:iCs/>
        </w:rPr>
        <w:t xml:space="preserve">seis dominios independientes</w:t>
      </w:r>
      <w: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pPr>
        <w:spacing w:after="70" w:before="180"/>
        <w:jc w:val="center"/>
      </w:pPr>
      <w:r>
        <w:rPr>
          <w:color w:val="333333"/>
          <w:sz w:val="19"/>
          <w:szCs w:val="19"/>
        </w:rPr>
        <w:t xml:space="preserve">Tabla 7.7. Evaluación multi-dominio: PLN de frecuencia frente al pipeline LLM (F1 contra el LEL de referencia de cada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160"/>
        <w:gridCol w:w="1000"/>
        <w:gridCol w:w="1000"/>
        <w:gridCol w:w="1000"/>
        <w:gridCol w:w="1000"/>
        <w:gridCol w:w="150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Dominio</w:t>
            </w:r>
          </w:p>
        </w:tc>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w:t>
            </w:r>
          </w:p>
        </w:tc>
        <w:tc>
          <w:tcPr>
            <w:tcW w:type="dxa" w:w="11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Símbolos Referencia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Tipo</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 PLN / LLM</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Veterinaria</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Consultorio médico</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0,435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Universidad</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0,882</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Hotel</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0,450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0,444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E-commerce</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0,453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0,938</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0,583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Farmacéutica</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0,462</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0,968</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Promedio</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bl>
    <w:p>
      <w:pPr>
        <w:spacing w:after="120"/>
      </w:pPr>
    </w:p>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color w:val="333333"/>
          <w:sz w:val="19"/>
          <w:szCs w:val="19"/>
        </w:rPr>
        <w:t xml:space="preserve">Fig. 7.4. F1 por dominio de muestreo: PLN tradicional frente al pipeline LLM. Las líneas punteadas marcan los promedios de cada enfoque.</w:t>
      </w:r>
    </w:p>
    <w:p>
      <w:pPr>
        <w:spacing w:after="120"/>
      </w:pPr>
    </w:p>
    <w:p>
      <w:pPr>
        <w:spacing w:after="160" w:line="276"/>
        <w:jc w:val="both"/>
      </w:pPr>
      <w: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Pr>
          <w:i/>
          <w:iCs/>
        </w:rPr>
        <w:t xml:space="preserve">baja</w:t>
      </w:r>
      <w: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pPr>
        <w:spacing w:after="160" w:line="276"/>
        <w:jc w:val="both"/>
      </w:pPr>
      <w:r>
        <w:t xml:space="preserve">Las imperfecciones observadas son realistas y honestas: el pipeline sigue proponiendo falsos positivos plausibles del dominio, pero ausentes de la referencia —</w:t>
      </w:r>
      <w:r>
        <w:rPr>
          <w:i/>
          <w:iCs/>
        </w:rPr>
        <w:t xml:space="preserve">Copago</w:t>
      </w:r>
      <w:r>
        <w:t xml:space="preserve"> y </w:t>
      </w:r>
      <w:r>
        <w:rPr>
          <w:i/>
          <w:iCs/>
        </w:rPr>
        <w:t xml:space="preserve">Recordatorio</w:t>
      </w:r>
      <w:r>
        <w:t xml:space="preserve"> en el consultorio, </w:t>
      </w:r>
      <w:r>
        <w:rPr>
          <w:i/>
          <w:iCs/>
        </w:rPr>
        <w:t xml:space="preserve">Overbooking</w:t>
      </w:r>
      <w:r>
        <w:t xml:space="preserve"> y </w:t>
      </w:r>
      <w:r>
        <w:rPr>
          <w:i/>
          <w:iCs/>
        </w:rPr>
        <w:t xml:space="preserve">Consumo</w:t>
      </w:r>
      <w:r>
        <w:t xml:space="preserve"> en el hotel, </w:t>
      </w:r>
      <w:r>
        <w:rPr>
          <w:i/>
          <w:iCs/>
        </w:rPr>
        <w:t xml:space="preserve">Seguimiento</w:t>
      </w:r>
      <w:r>
        <w:t xml:space="preserve"> y </w:t>
      </w:r>
      <w:r>
        <w:rPr>
          <w:i/>
          <w:iCs/>
        </w:rPr>
        <w:t xml:space="preserve">Promoción</w:t>
      </w:r>
      <w:r>
        <w:t xml:space="preserve"> en el comercio electrónico— y comete algún desajuste de denominación, como nombrar </w:t>
      </w:r>
      <w:r>
        <w:rPr>
          <w:i/>
          <w:iCs/>
        </w:rPr>
        <w:t xml:space="preserve">Registrar Paciente</w:t>
      </w:r>
      <w:r>
        <w:t xml:space="preserve"> lo que la referencia llama </w:t>
      </w:r>
      <w:r>
        <w:rPr>
          <w:i/>
          <w:iCs/>
        </w:rPr>
        <w:t xml:space="preserve">Dar de Alta Paciente</w:t>
      </w:r>
      <w:r>
        <w:t xml:space="preserve">. Estos casos, lejos de invalidar el resultado, ilustran el tipo de revisión humana que el flujo contempla (Capítulo 8).</w:t>
      </w:r>
    </w:p>
    <w:p>
      <w:pPr>
        <w:spacing w:after="160" w:line="276"/>
        <w:jc w:val="both"/>
      </w:pPr>
      <w:r>
        <w:t xml:space="preserve">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pPr>
        <w:pStyle w:val="Heading2"/>
        <w:keepNext/>
      </w:pPr>
      <w:r>
        <w:t xml:space="preserve">7.9 Estado de las corridas pendientes: C1b y la réplica ciega</w:t>
      </w:r>
    </w:p>
    <w:p>
      <w:pPr>
        <w:spacing w:after="160" w:line="276"/>
        <w:jc w:val="both"/>
      </w:pPr>
      <w:r>
        <w:t xml:space="preserve">Este trabajo distingue explícitamente entre lo que se ejecutó y se reporta como resultado final, y lo que queda como corrida pendiente, para no dejar ambigüedad al respecto.</w:t>
      </w:r>
    </w:p>
    <w:p>
      <w:pPr>
        <w:pStyle w:val="ListParagraph"/>
        <w:numPr>
          <w:ilvl w:val="0"/>
          <w:numId w:val="3"/>
        </w:numPr>
        <w:spacing w:after="90" w:line="270"/>
        <w:jc w:val="both"/>
      </w:pPr>
      <w:r>
        <w:rPr>
          <w:i/>
          <w:iCs/>
        </w:rPr>
        <w:t xml:space="preserve">C1b (baseline spaCy).</w:t>
      </w:r>
      <w: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pPr>
        <w:pStyle w:val="ListParagraph"/>
        <w:numPr>
          <w:ilvl w:val="0"/>
          <w:numId w:val="3"/>
        </w:numPr>
        <w:spacing w:after="90" w:line="270"/>
        <w:jc w:val="both"/>
      </w:pPr>
      <w:r>
        <w:t xml:space="preserve">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pPr>
        <w:pStyle w:val="ListParagraph"/>
        <w:numPr>
          <w:ilvl w:val="0"/>
          <w:numId w:val="3"/>
        </w:numPr>
        <w:spacing w:after="90" w:line="270"/>
        <w:jc w:val="both"/>
      </w:pPr>
      <w:r>
        <w:t xml:space="preserve">Lo que sí se reporta como definitivo en este capítulo es C1a (baseline de frecuencia, determinístico, corrido sobre el corpus de cuatro entrevistas) y la corrida de referencia de C2c con el asistente como modelo, sobre el corpus. Ambos se ejecutan sin dependencias externas y sus resultados son reproducibles por cualquier tercero a partir del repositorio.</w:t>
      </w:r>
    </w:p>
    <w:p>
      <w:pPr>
        <w:spacing w:after="160" w:line="276"/>
        <w:jc w:val="both"/>
      </w:pPr>
      <w:r>
        <w:t xml:space="preserve">Estas corridas pendientes no son trabajo futuro en un sentido vago: son el paso inmediato siguiente, ya diseñado, documentado y con el código listo, que transforma la corrida de referencia de este capítulo en el resultado del experimento completo con todos los tratamientos propuestos. Correrlas y registrar sus números y evaluar comparativamente sería la primera tarea pendiente del repositorio, documentada en `INSTRUCTIVO_EJECUCION.md`.</w:t>
      </w:r>
    </w:p>
    <w:p>
      <w:pPr>
        <w:pStyle w:val="Heading1"/>
        <w:keepNext/>
        <w:pageBreakBefore/>
        <w:spacing w:after="200" w:before="420"/>
      </w:pPr>
      <w:r>
        <w:t xml:space="preserve">Capítulo 8 — Discusión</w:t>
      </w:r>
    </w:p>
    <w:p>
      <w:pPr>
        <w:spacing w:after="160" w:line="276"/>
        <w:jc w:val="both"/>
      </w:pPr>
      <w:r>
        <w:t xml:space="preserve">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pPr>
        <w:pStyle w:val="Heading2"/>
        <w:keepNext/>
      </w:pPr>
      <w:r>
        <w:t xml:space="preserve">8.1 El piso del PLN y la oportunidad del enfoque generativo</w:t>
      </w:r>
    </w:p>
    <w:p>
      <w:pPr>
        <w:spacing w:after="160" w:line="276"/>
        <w:jc w:val="both"/>
      </w:pPr>
      <w:r>
        <w:t xml:space="preserve">Los resultados del baseline de frecuencia (Capítulo 7) confirman, de manera cuantitativa, la intuición que motiva el trabajo. El PLN tradicional alcanza una </w:t>
      </w:r>
      <w:r>
        <w:rPr>
          <w:i/>
          <w:iCs/>
        </w:rPr>
        <w:t xml:space="preserve">cobertura moderada</w:t>
      </w:r>
      <w:r>
        <w:t xml:space="preserve"> —recupera entre un tercio y dos tercios de los símbolos, según el corpus— pero con una </w:t>
      </w:r>
      <w:r>
        <w:rPr>
          <w:i/>
          <w:iCs/>
        </w:rPr>
        <w:t xml:space="preserve">precisión baja</w:t>
      </w:r>
      <w:r>
        <w:t xml:space="preserve">, y, de modo concluyente, no produce ninguna descripción: la noción y el impacto de todos los símbolos quedan vacíos. En otras palabras, el método tradicional resuelve, parcialmente, solo la primera de las tres tareas que componen la construcción del LEL.</w:t>
      </w:r>
    </w:p>
    <w:p>
      <w:pPr>
        <w:spacing w:after="160" w:line="276"/>
        <w:jc w:val="both"/>
      </w:pPr>
      <w: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Pr>
          <w:i/>
          <w:iCs/>
        </w:rPr>
        <w:t xml:space="preserve">clasificación semántica</w:t>
      </w:r>
      <w:r>
        <w:t xml:space="preserve"> según el rol del símbolo en el dominio y, sobre todo, la redacción de la noción y el impacto respetando las plantillas, la circularidad y el vocabulario mínimo. El valor del LLM, por tanto, no es marginal sino </w:t>
      </w:r>
      <w:r>
        <w:rPr>
          <w:i/>
          <w:iCs/>
        </w:rPr>
        <w:t xml:space="preserve">cualitativo</w:t>
      </w:r>
      <w:r>
        <w:t xml:space="preserve">: hace posible automatizar una parte del proceso que antes era exclusivamente manual.</w:t>
      </w:r>
    </w:p>
    <w:p>
      <w:pPr>
        <w:pStyle w:val="Heading2"/>
        <w:keepNext/>
      </w:pPr>
      <w:r>
        <w:t xml:space="preserve">8.2 Tres capacidades distintas: identificar, clasificar, describir</w:t>
      </w:r>
    </w:p>
    <w:p>
      <w:pPr>
        <w:spacing w:after="160" w:line="276"/>
        <w:jc w:val="both"/>
      </w:pPr>
      <w:r>
        <w:t xml:space="preserve">Un aporte conceptual que emerge del trabajo es la conveniencia de descomponer la construcción del LEL en tres capacidades separables, porque cada una tiene una dificultad y una madurez tecnológica diferentes:</w:t>
      </w:r>
    </w:p>
    <w:p>
      <w:pPr>
        <w:pStyle w:val="ListParagraph"/>
        <w:numPr>
          <w:ilvl w:val="0"/>
          <w:numId w:val="3"/>
        </w:numPr>
        <w:spacing w:after="90" w:line="270"/>
        <w:jc w:val="both"/>
      </w:pPr>
      <w:r>
        <w:rPr>
          <w:i/>
          <w:iCs/>
        </w:rPr>
        <w:t xml:space="preserve">Identificación.</w:t>
      </w:r>
      <w:r>
        <w:t xml:space="preserve"> Decidir qué términos del corpus son símbolos del dominio. Es la tarea más accesible: el PLN la aborda mediante frecuencia de repetición y reconocimiento de entidades, aunque con baja precisión por los términos genéricos.</w:t>
      </w:r>
    </w:p>
    <w:p>
      <w:pPr>
        <w:pStyle w:val="ListParagraph"/>
        <w:numPr>
          <w:ilvl w:val="0"/>
          <w:numId w:val="3"/>
        </w:numPr>
        <w:spacing w:after="90" w:line="270"/>
        <w:jc w:val="both"/>
      </w:pPr>
      <w:r>
        <w:rPr>
          <w:i/>
          <w:iCs/>
        </w:rPr>
        <w:t xml:space="preserve">Clasificación.</w:t>
      </w:r>
      <w:r>
        <w:t xml:space="preserve"> Asignar el tipo Sujeto, Objeto, Verbo o Estado. Requiere comprensión del rol del término en el contexto; el PLN solo lo aproxima con heurísticas frágiles, mientras que el LLM puede razonar sobre las definiciones.</w:t>
      </w:r>
    </w:p>
    <w:p>
      <w:pPr>
        <w:pStyle w:val="ListParagraph"/>
        <w:numPr>
          <w:ilvl w:val="0"/>
          <w:numId w:val="3"/>
        </w:numPr>
        <w:spacing w:after="90" w:line="270"/>
        <w:jc w:val="both"/>
      </w:pPr>
      <w:r>
        <w:rPr>
          <w:i/>
          <w:iCs/>
        </w:rPr>
        <w:t xml:space="preserve">Descripción.</w:t>
      </w:r>
      <w:r>
        <w:t xml:space="preserve"> Redactar la noción y el impacto. Es la tarea de mayor valor y la única genuinamente generativa; está fuera del alcance del PLN clásico y constituye el corazón de la contribución.</w:t>
      </w:r>
    </w:p>
    <w:p>
      <w:pPr>
        <w:spacing w:after="160" w:line="276"/>
        <w:jc w:val="both"/>
      </w:pPr>
      <w:r>
        <w:t xml:space="preserve">Esta separación no es solo analítica: se refleja en la </w:t>
      </w:r>
      <w:r>
        <w:rPr>
          <w:i/>
          <w:iCs/>
        </w:rPr>
        <w:t xml:space="preserve">arquitectura por etapas</w:t>
      </w:r>
      <w:r>
        <w:t xml:space="preserve"> del prototipo (Capítulo 6), que dedica una etapa específica a cada capacidad y permite, además, medir el aporte marginal de cada una.</w:t>
      </w:r>
    </w:p>
    <w:p>
      <w:pPr>
        <w:pStyle w:val="Heading2"/>
        <w:keepNext/>
      </w:pPr>
      <w:r>
        <w:t xml:space="preserve">8.3 El caso del «Remito»: ¿error o señal?</w:t>
      </w:r>
    </w:p>
    <w:p>
      <w:pPr>
        <w:spacing w:after="160" w:line="276"/>
        <w:jc w:val="both"/>
      </w:pPr>
      <w:r>
        <w:t xml:space="preserve">Durante el análisis del corpus se observó que el término </w:t>
      </w:r>
      <w:r>
        <w:rPr>
          <w:i/>
          <w:iCs/>
        </w:rPr>
        <w:t xml:space="preserve">Remito</w:t>
      </w:r>
      <w:r>
        <w:t xml:space="preserve"> aparece en las entrevistas del caso ecoFactory como el documento que acompaña la entrega de la mercadería, sin estar modelado como símbolo en el Gold Standard. Esto plantea una cuestión metodológica fina: si un método automático propone </w:t>
      </w:r>
      <w:r>
        <w:rPr>
          <w:i/>
          <w:iCs/>
        </w:rPr>
        <w:t xml:space="preserve">Remito</w:t>
      </w:r>
      <w:r>
        <w:t xml:space="preserve"> como símbolo, ¿debe contarse como un falso positivo?</w:t>
      </w:r>
    </w:p>
    <w:p>
      <w:pPr>
        <w:spacing w:after="160" w:line="276"/>
        <w:jc w:val="both"/>
      </w:pPr>
      <w:r>
        <w:t xml:space="preserve">La respuesta es matizada. Estrictamente, no está en la referencia, de modo que penaliza la precisión. Pero, en rigor, el método </w:t>
      </w:r>
      <w:r>
        <w:rPr>
          <w:i/>
          <w:iCs/>
        </w:rPr>
        <w:t xml:space="preserve">no estaría equivocado</w:t>
      </w:r>
      <w: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Pr>
          <w:i/>
          <w:iCs/>
        </w:rPr>
        <w:t xml:space="preserve">revisor</w:t>
      </w:r>
      <w:r>
        <w:t xml:space="preserve"> del LEL manual, detectando símbolos que los analistas humanos pasaron por alto.</w:t>
      </w:r>
    </w:p>
    <w:p>
      <w:pPr>
        <w:pStyle w:val="Heading2"/>
        <w:keepNext/>
      </w:pPr>
      <w:r>
        <w:t xml:space="preserve">8.4 La contradicción de la Facturación</w:t>
      </w:r>
    </w:p>
    <w:p>
      <w:pPr>
        <w:spacing w:after="160" w:line="276"/>
        <w:jc w:val="both"/>
      </w:pPr>
      <w:r>
        <w:t xml:space="preserve">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pPr>
        <w:spacing w:after="160" w:line="276"/>
        <w:jc w:val="both"/>
      </w:pPr>
      <w:r>
        <w:t xml:space="preserve">Para la construcción del LEL, la contradicción es un excelente banco de pruebas. Un método ingenuo podría elegir una de las dos versiones, promediarlas o, peor aún, </w:t>
      </w:r>
      <w:r>
        <w:rPr>
          <w:i/>
          <w:iCs/>
        </w:rPr>
        <w:t xml:space="preserve">alucinar</w:t>
      </w:r>
      <w:r>
        <w:t xml:space="preserve"> una síntesis no sustentada. El comportamiento deseable es que el LEL </w:t>
      </w:r>
      <w:r>
        <w:rPr>
          <w:i/>
          <w:iCs/>
        </w:rPr>
        <w:t xml:space="preserve">refleje la tensión</w:t>
      </w:r>
      <w: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pPr>
        <w:pStyle w:val="Heading2"/>
        <w:keepNext/>
      </w:pPr>
      <w:r>
        <w:t xml:space="preserve">8.5 El rol de la revisión humana</w:t>
      </w:r>
    </w:p>
    <w:p>
      <w:pPr>
        <w:spacing w:after="160" w:line="276"/>
        <w:jc w:val="both"/>
      </w:pPr>
      <w:r>
        <w:t xml:space="preserve">El prototipo no pretende </w:t>
      </w:r>
      <w:r>
        <w:rPr>
          <w:i/>
          <w:iCs/>
        </w:rPr>
        <w:t xml:space="preserve">reemplazar</w:t>
      </w:r>
      <w:r>
        <w:t xml:space="preserve"> al ingeniero de requisitos, sino </w:t>
      </w:r>
      <w:r>
        <w:rPr>
          <w:i/>
          <w:iCs/>
        </w:rPr>
        <w:t xml:space="preserve">asistirlo</w:t>
      </w:r>
      <w:r>
        <w:t xml:space="preserve">. La hipótesis del trabajo es explícita al respecto: el enfoque generativo produce un </w:t>
      </w:r>
      <w:r>
        <w:rPr>
          <w:i/>
          <w:iCs/>
        </w:rPr>
        <w:t xml:space="preserve">borrador</w:t>
      </w:r>
      <w:r>
        <w:t xml:space="preserve"> que requiere una etapa de revisión y corrección humana. Lo que cambia, y de manera sustancial, es la naturaleza del esfuerzo humano, como ilustra la Fig. 8.1.</w:t>
      </w:r>
    </w:p>
    <w:p>
      <w:pPr>
        <w:spacing w:after="60" w:before="16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857375"/>
                    </a:xfrm>
                    <a:prstGeom prst="rect">
                      <a:avLst/>
                    </a:prstGeom>
                  </pic:spPr>
                </pic:pic>
              </a:graphicData>
            </a:graphic>
          </wp:inline>
        </w:drawing>
      </w:r>
    </w:p>
    <w:p>
      <w:pPr>
        <w:spacing w:after="200"/>
        <w:jc w:val="center"/>
      </w:pPr>
      <w:r>
        <w:rPr>
          <w:color w:val="333333"/>
          <w:sz w:val="19"/>
          <w:szCs w:val="19"/>
        </w:rPr>
        <w:t xml:space="preserve">Fig. 8.1. El LEL generado y la revisión humana: el enfoque generativo desplaza el esfuerzo del ingeniero de redactar el LEL desde cero a revisar y corregir un borrador.</w:t>
      </w:r>
    </w:p>
    <w:p>
      <w:pPr>
        <w:spacing w:after="120"/>
      </w:pPr>
    </w:p>
    <w:p>
      <w:pPr>
        <w:spacing w:after="160" w:line="276"/>
        <w:jc w:val="both"/>
      </w:pPr>
      <w:r>
        <w:t xml:space="preserve">Pasar de </w:t>
      </w:r>
      <w:r>
        <w:rPr>
          <w:i/>
          <w:iCs/>
        </w:rPr>
        <w:t xml:space="preserve">redactar</w:t>
      </w:r>
      <w:r>
        <w:t xml:space="preserve"> a </w:t>
      </w:r>
      <w:r>
        <w:rPr>
          <w:i/>
          <w:iCs/>
        </w:rPr>
        <w:t xml:space="preserve">revisar</w:t>
      </w:r>
      <w: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pPr>
        <w:spacing w:after="160" w:line="276"/>
        <w:jc w:val="both"/>
      </w:pPr>
      <w:r>
        <w:t xml:space="preserve">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pPr>
        <w:pStyle w:val="Heading2"/>
        <w:keepNext/>
      </w:pPr>
      <w:r>
        <w:t xml:space="preserve">8.6 Sobre la validez de los resultados</w:t>
      </w:r>
    </w:p>
    <w:p>
      <w:pPr>
        <w:spacing w:after="160" w:line="276"/>
        <w:jc w:val="both"/>
      </w:pPr>
      <w: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Pr>
          <w:i/>
          <w:iCs/>
        </w:rPr>
        <w:t xml:space="preserve">único dominio</w:t>
      </w:r>
      <w:r>
        <w:t xml:space="preserve"> principal, complementado con casos de muestreo en dominios adicionales cuyo corpus sí es simulado por el autor, lo que limita la generalización; que la </w:t>
      </w:r>
      <w:r>
        <w:rPr>
          <w:i/>
          <w:iCs/>
        </w:rPr>
        <w:t xml:space="preserve">medición primaria</w:t>
      </w:r>
      <w:r>
        <w:t xml:space="preserve"> se restringe a la configuración de corpus original del caso, inmune al sesgo de autoría del LEL; y que la </w:t>
      </w:r>
      <w:r>
        <w:rPr>
          <w:i/>
          <w:iCs/>
        </w:rPr>
        <w:t xml:space="preserve">variabilidad</w:t>
      </w:r>
      <w:r>
        <w:t xml:space="preserve"> propia de los LLM exige reportar resultados sobre múltiples corridas. La fortaleza compensatoria es que la evaluación es completamente determinística y reproducible, y que el caso aporta un Gold Standard </w:t>
      </w:r>
      <w:r>
        <w:rPr>
          <w:i/>
          <w:iCs/>
        </w:rPr>
        <w:t xml:space="preserve">previo e independiente</w:t>
      </w:r>
      <w:r>
        <w:t xml:space="preserve"> del prototipo, construido a mano antes del desarrollo de este trabajo final de carrera. Cabe agregar, como elemento a favor de la generalidad, que el prototipo en su configuración C2c se aplicó también a otros seis dominios de muestreo, con resultados consistentes entre sí (Sección 7.8); esos casos, sin embargo, emplean referencias construidas por el propio autor, por lo que valen como indicio de robustez y no como evaluación independiente.</w:t>
      </w:r>
    </w:p>
    <w:p>
      <w:pPr>
        <w:pStyle w:val="Heading2"/>
        <w:keepNext/>
      </w:pPr>
      <w:r>
        <w:t xml:space="preserve">8.7 Un experimento aparte: entrevistas simuladas para ecoFactory</w:t>
      </w:r>
    </w:p>
    <w:p>
      <w:pPr>
        <w:spacing w:after="160" w:line="276"/>
        <w:jc w:val="both"/>
      </w:pPr>
      <w:r>
        <w:t xml:space="preserve">Durante el desarrollo de este trabajo, y antes de disponer de las cuatro transcripciones reales del estudio original, se realizó un experimento adicional que conviene documentar por separado, ya que </w:t>
      </w:r>
      <w:r>
        <w:rPr>
          <w:i/>
          <w:iCs/>
        </w:rPr>
        <w:t xml:space="preserve">no forma parte de la evaluación de los tratamientos</w:t>
      </w:r>
      <w:r>
        <w:t xml:space="preserve"> del Capítulo 7 —todos ellos corren sobre el mismo corpus real— sino que constituye una prueba de concepto independiente sobre la simulación de entrevistas.</w:t>
      </w:r>
    </w:p>
    <w:p>
      <w:pPr>
        <w:spacing w:after="160" w:line="276"/>
        <w:jc w:val="both"/>
      </w:pPr>
      <w:r>
        <w:t xml:space="preserve">Este experimento preliminar consistió en redactar dos entrevistas </w:t>
      </w:r>
      <w:r>
        <w:rPr>
          <w:i/>
          <w:iCs/>
        </w:rPr>
        <w:t xml:space="preserve">simuladas</w:t>
      </w:r>
      <w: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pPr>
        <w:spacing w:after="160" w:line="276"/>
        <w:jc w:val="both"/>
      </w:pPr>
      <w:r>
        <w:t xml:space="preserve">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pPr>
        <w:pStyle w:val="Heading2"/>
        <w:keepNext/>
      </w:pPr>
      <w:r>
        <w:t xml:space="preserve">8.8 Lecciones aprendidas</w:t>
      </w:r>
    </w:p>
    <w:p>
      <w:pPr>
        <w:pStyle w:val="ListParagraph"/>
        <w:numPr>
          <w:ilvl w:val="0"/>
          <w:numId w:val="3"/>
        </w:numPr>
        <w:spacing w:after="90" w:line="270"/>
        <w:jc w:val="both"/>
      </w:pPr>
      <w:r>
        <w:t xml:space="preserve">Separar el problema en identificar, clasificar y describir clarifica tanto el diseño del prototipo como la interpretación de los resultados.</w:t>
      </w:r>
    </w:p>
    <w:p>
      <w:pPr>
        <w:pStyle w:val="ListParagraph"/>
        <w:numPr>
          <w:ilvl w:val="0"/>
          <w:numId w:val="3"/>
        </w:numPr>
        <w:spacing w:after="90" w:line="270"/>
        <w:jc w:val="both"/>
      </w:pPr>
      <w:r>
        <w:t xml:space="preserve">La cobertura alcanzable está acotada por el corpus: ningún método puede recuperar lo que no fue elicitado, y esto se sostiene incluso al ampliar el corpus con más entrevistas reales (Sección 5.7).</w:t>
      </w:r>
    </w:p>
    <w:p>
      <w:pPr>
        <w:pStyle w:val="ListParagraph"/>
        <w:numPr>
          <w:ilvl w:val="0"/>
          <w:numId w:val="3"/>
        </w:numPr>
        <w:spacing w:after="90" w:line="270"/>
        <w:jc w:val="both"/>
      </w:pPr>
      <w:r>
        <w:t xml:space="preserve">Un método automático puede actuar como revisor del modelo manual, revelando omisiones como la del </w:t>
      </w:r>
      <w:r>
        <w:rPr>
          <w:i/>
          <w:iCs/>
        </w:rPr>
        <w:t xml:space="preserve">Remito</w:t>
      </w:r>
      <w:r>
        <w:t xml:space="preserve">.</w:t>
      </w:r>
    </w:p>
    <w:p>
      <w:pPr>
        <w:pStyle w:val="ListParagraph"/>
        <w:numPr>
          <w:ilvl w:val="0"/>
          <w:numId w:val="3"/>
        </w:numPr>
        <w:spacing w:after="90" w:line="270"/>
        <w:jc w:val="both"/>
      </w:pPr>
      <w:r>
        <w:t xml:space="preserve">Las contradicciones entre actores no son ruido a eliminar, sino información a preservar y un test exigente para cualquier método.</w:t>
      </w:r>
    </w:p>
    <w:p>
      <w:pPr>
        <w:pStyle w:val="ListParagraph"/>
        <w:numPr>
          <w:ilvl w:val="0"/>
          <w:numId w:val="3"/>
        </w:numPr>
        <w:spacing w:after="90" w:line="270"/>
        <w:jc w:val="both"/>
      </w:pPr>
      <w:r>
        <w:t xml:space="preserve">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pPr>
        <w:pStyle w:val="ListParagraph"/>
        <w:numPr>
          <w:ilvl w:val="0"/>
          <w:numId w:val="3"/>
        </w:numPr>
        <w:spacing w:after="90" w:line="270"/>
        <w:jc w:val="both"/>
      </w:pPr>
      <w:r>
        <w:t xml:space="preserve">El valor del enfoque generativo se mide mejor por lo que </w:t>
      </w:r>
      <w:r>
        <w:rPr>
          <w:i/>
          <w:iCs/>
        </w:rPr>
        <w:t xml:space="preserve">habilita</w:t>
      </w:r>
      <w:r>
        <w:t xml:space="preserve"> (la descripción automática) que por mejoras incrementales en lo que el PLN ya proveía.</w:t>
      </w:r>
    </w:p>
    <w:p>
      <w:pPr>
        <w:pStyle w:val="Heading1"/>
        <w:keepNext/>
        <w:pageBreakBefore/>
        <w:spacing w:after="200" w:before="420"/>
      </w:pPr>
      <w:r>
        <w:t xml:space="preserve">Capítulo 9 — Conclusiones y Trabajos Futuros</w:t>
      </w:r>
    </w:p>
    <w:p>
      <w:pPr>
        <w:pStyle w:val="Heading2"/>
        <w:keepNext/>
      </w:pPr>
      <w:r>
        <w:t xml:space="preserve">9.1 Conclusiones</w:t>
      </w:r>
    </w:p>
    <w:p>
      <w:pPr>
        <w:spacing w:after="160" w:line="276"/>
        <w:jc w:val="both"/>
      </w:pPr>
      <w:r>
        <w:t xml:space="preserve">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pPr>
        <w:spacing w:after="160" w:line="276"/>
        <w:jc w:val="both"/>
      </w:pPr>
      <w:r>
        <w:t xml:space="preserve">La evidencia reunida sostiene el núcleo de la hipótesis. Los baselines de PLN establecen un </w:t>
      </w:r>
      <w:r>
        <w:rPr>
          <w:i/>
          <w:iCs/>
        </w:rPr>
        <w:t xml:space="preserve">piso</w:t>
      </w:r>
      <w: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pPr>
        <w:pStyle w:val="Heading2"/>
        <w:keepNext/>
      </w:pPr>
      <w:r>
        <w:t xml:space="preserve">9.2 Contribuciones</w:t>
      </w:r>
    </w:p>
    <w:p>
      <w:pPr>
        <w:spacing w:after="160" w:line="276"/>
        <w:jc w:val="both"/>
      </w:pPr>
      <w:r>
        <w:t xml:space="preserve">El trabajo deja las siguientes contribuciones concretas:</w:t>
      </w:r>
    </w:p>
    <w:p>
      <w:pPr>
        <w:pStyle w:val="ListParagraph"/>
        <w:numPr>
          <w:ilvl w:val="0"/>
          <w:numId w:val="3"/>
        </w:numPr>
        <w:spacing w:after="90" w:line="270"/>
        <w:jc w:val="both"/>
      </w:pPr>
      <w:r>
        <w:t xml:space="preserve">Un prototipo funcional, documentado y reproducible para asistir en la construcción del LEL con IA Generativa, con un pipeline de cuatro etapas, que incluye una auto-evaluación, y abstracción del proveedor para el benchmarking de modelos.</w:t>
      </w:r>
    </w:p>
    <w:p>
      <w:pPr>
        <w:pStyle w:val="ListParagraph"/>
        <w:numPr>
          <w:ilvl w:val="0"/>
          <w:numId w:val="3"/>
        </w:numPr>
        <w:spacing w:after="90" w:line="270"/>
        <w:jc w:val="both"/>
      </w:pPr>
      <w:r>
        <w:t xml:space="preserve">Elaboración de casos de muestreo con sus Gold Standards (LEL de referencia legibles por máquina), incluyendo la trazabilidad símbolo–fuente (Tabla 5.2) y la distinción entre conjunto completo y conjunto recuperable del caso principal.</w:t>
      </w:r>
    </w:p>
    <w:p>
      <w:pPr>
        <w:pStyle w:val="ListParagraph"/>
        <w:numPr>
          <w:ilvl w:val="0"/>
          <w:numId w:val="3"/>
        </w:numPr>
        <w:spacing w:after="90" w:line="270"/>
        <w:jc w:val="both"/>
      </w:pPr>
      <w:r>
        <w:t xml:space="preserve">Un protocolo de evaluación determinístico con métricas de identificación, clasificación y descripción, replicable por terceros e independiente del método de construcción.</w:t>
      </w:r>
    </w:p>
    <w:p>
      <w:pPr>
        <w:pStyle w:val="ListParagraph"/>
        <w:numPr>
          <w:ilvl w:val="0"/>
          <w:numId w:val="3"/>
        </w:numPr>
        <w:spacing w:after="90" w:line="270"/>
        <w:jc w:val="both"/>
      </w:pPr>
      <w:r>
        <w:rPr>
          <w:i/>
          <w:iCs/>
        </w:rPr>
        <w:t xml:space="preserve">Evidencia empírica comparativa</w:t>
      </w:r>
      <w:r>
        <w:t xml:space="preserve"> entre PLN tradicional y el enfoque generativo para esta tarea, incluyendo el análisis de la recuperabilidad según el corpus.</w:t>
      </w:r>
    </w:p>
    <w:p>
      <w:pPr>
        <w:pStyle w:val="ListParagraph"/>
        <w:numPr>
          <w:ilvl w:val="0"/>
          <w:numId w:val="3"/>
        </w:numPr>
        <w:spacing w:after="90" w:line="270"/>
        <w:jc w:val="both"/>
      </w:pPr>
      <w:r>
        <w:rPr>
          <w:i/>
          <w:iCs/>
        </w:rPr>
        <w:t xml:space="preserve">Una discusión metodológica</w:t>
      </w:r>
      <w:r>
        <w:t xml:space="preserve"> sobre el rol de la revisión humana, el tratamiento de omisiones y contradicciones, y las salvaguardas frente a las alucinaciones.</w:t>
      </w:r>
    </w:p>
    <w:p>
      <w:pPr>
        <w:pStyle w:val="Heading2"/>
        <w:keepNext/>
      </w:pPr>
      <w:r>
        <w:t xml:space="preserve">9.3 Limitaciones</w:t>
      </w:r>
    </w:p>
    <w:p>
      <w:pPr>
        <w:pStyle w:val="ListParagraph"/>
        <w:numPr>
          <w:ilvl w:val="0"/>
          <w:numId w:val="3"/>
        </w:numPr>
        <w:spacing w:after="90" w:line="270"/>
        <w:jc w:val="both"/>
      </w:pPr>
      <w:r>
        <w:t xml:space="preserve">La evaluación rigurosa se circunscribe a un único dominio principal (ecoFactory), lo que limita la generalización de las conclusiones.</w:t>
      </w:r>
    </w:p>
    <w:p>
      <w:pPr>
        <w:pStyle w:val="ListParagraph"/>
        <w:numPr>
          <w:ilvl w:val="0"/>
          <w:numId w:val="3"/>
        </w:numPr>
        <w:spacing w:after="90" w:line="270"/>
        <w:jc w:val="both"/>
      </w:pPr>
      <w:r>
        <w:t xml:space="preserve">Los seis casos de muestreo adicionales usan entrevistas simuladas por el autor, que no reemplazan datos de campo y valen como demostración de robustez, no como evaluación rigurosa.</w:t>
      </w:r>
    </w:p>
    <w:p>
      <w:pPr>
        <w:pStyle w:val="ListParagraph"/>
        <w:numPr>
          <w:ilvl w:val="0"/>
          <w:numId w:val="3"/>
        </w:numPr>
        <w:spacing w:after="90" w:line="270"/>
        <w:jc w:val="both"/>
      </w:pPr>
      <w:r>
        <w:t xml:space="preserve">La variabilidad inherente a los LLM exige múltiples corridas y un reporte cuidadoso de la dispersión.</w:t>
      </w:r>
    </w:p>
    <w:p>
      <w:pPr>
        <w:pStyle w:val="ListParagraph"/>
        <w:numPr>
          <w:ilvl w:val="0"/>
          <w:numId w:val="3"/>
        </w:numPr>
        <w:spacing w:after="90" w:line="270"/>
        <w:jc w:val="both"/>
      </w:pPr>
      <w:r>
        <w:t xml:space="preserve">La evaluación de la calidad de las descripciones a nivel de oración conserva un componente de adjudicación que conviene complementar con más de un evaluador.</w:t>
      </w:r>
    </w:p>
    <w:p>
      <w:pPr>
        <w:pStyle w:val="Heading2"/>
        <w:keepNext/>
      </w:pPr>
      <w:r>
        <w:t xml:space="preserve">9.4 Trabajos futuros</w:t>
      </w:r>
    </w:p>
    <w:p>
      <w:pPr>
        <w:spacing w:after="160" w:line="276"/>
        <w:jc w:val="both"/>
      </w:pPr>
      <w:r>
        <w:t xml:space="preserve">El prototipo abre varias líneas de continuación, resumidas en la Fig. 9.1.</w:t>
      </w:r>
    </w:p>
    <w:p>
      <w:pPr>
        <w:spacing w:after="60" w:before="1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color w:val="333333"/>
          <w:sz w:val="19"/>
          <w:szCs w:val="19"/>
        </w:rPr>
        <w:t xml:space="preserve">Fig. 9.1. Líneas de trabajo futuro a partir del prototipo de construcción del LEL.</w:t>
      </w:r>
    </w:p>
    <w:p>
      <w:pPr>
        <w:spacing w:after="120"/>
      </w:pPr>
    </w:p>
    <w:p>
      <w:pPr>
        <w:pStyle w:val="ListParagraph"/>
        <w:numPr>
          <w:ilvl w:val="0"/>
          <w:numId w:val="3"/>
        </w:numPr>
        <w:spacing w:after="90" w:line="270"/>
        <w:jc w:val="both"/>
      </w:pPr>
      <w:r>
        <w:t xml:space="preserve">Soporte de iteración post-revisión humana: descomponer `construir_lel` en llamadas independientes por etapa para que una lista de símbolos corregida por el ingeniero pueda reingresar al prototipo (Sección 8.5).</w:t>
      </w:r>
    </w:p>
    <w:p>
      <w:pPr>
        <w:pStyle w:val="ListParagraph"/>
        <w:numPr>
          <w:ilvl w:val="0"/>
          <w:numId w:val="3"/>
        </w:numPr>
        <w:spacing w:after="90" w:line="270"/>
        <w:jc w:val="both"/>
      </w:pPr>
      <w:r>
        <w:t xml:space="preserve">Generación automática de Escenarios a partir del LEL, extendiendo la automatización a la segunda etapa de la estrategia orientada al cliente.</w:t>
      </w:r>
    </w:p>
    <w:p>
      <w:pPr>
        <w:pStyle w:val="ListParagraph"/>
        <w:numPr>
          <w:ilvl w:val="0"/>
          <w:numId w:val="3"/>
        </w:numPr>
        <w:spacing w:after="90" w:line="270"/>
        <w:jc w:val="both"/>
      </w:pPr>
      <w:r>
        <w:t xml:space="preserve">Validación con organizaciones reales, reemplazando las entrevistas simuladas de los casos de muestreo por casos de campo y ampliando el número de dominios.</w:t>
      </w:r>
    </w:p>
    <w:p>
      <w:pPr>
        <w:pStyle w:val="ListParagraph"/>
        <w:numPr>
          <w:ilvl w:val="0"/>
          <w:numId w:val="3"/>
        </w:numPr>
        <w:spacing w:after="90" w:line="270"/>
        <w:jc w:val="both"/>
      </w:pPr>
      <w:r>
        <w:t xml:space="preserve">Más dominios y modelos, para evaluar la generalización y consolidar el benchmarking entre proveedores.</w:t>
      </w:r>
    </w:p>
    <w:p>
      <w:pPr>
        <w:pStyle w:val="ListParagraph"/>
        <w:numPr>
          <w:ilvl w:val="0"/>
          <w:numId w:val="3"/>
        </w:numPr>
        <w:spacing w:after="90" w:line="270"/>
        <w:jc w:val="both"/>
      </w:pPr>
      <w:r>
        <w:t xml:space="preserve">Ajuste fino (fine-tuning) especializado de un modelo en la tarea de construcción del LEL, para mejorar la adherencia a las plantillas y reducir las alucinaciones.</w:t>
      </w:r>
    </w:p>
    <w:p>
      <w:pPr>
        <w:pStyle w:val="ListParagraph"/>
        <w:numPr>
          <w:ilvl w:val="0"/>
          <w:numId w:val="3"/>
        </w:numPr>
        <w:spacing w:after="90" w:line="270"/>
        <w:jc w:val="both"/>
      </w:pPr>
      <w:r>
        <w:t xml:space="preserve">Integración en una herramienta de Ingeniería de Requisitos, que incorpore el flujo de revisión humana y la trazabilidad símbolo–evidencia de manera interactiva.</w:t>
      </w:r>
    </w:p>
    <w:p>
      <w:pPr>
        <w:pStyle w:val="Heading2"/>
        <w:keepNext/>
      </w:pPr>
      <w:r>
        <w:t xml:space="preserve">9.5 Reflexión final</w:t>
      </w:r>
    </w:p>
    <w:p>
      <w:pPr>
        <w:spacing w:after="160" w:line="276"/>
        <w:jc w:val="both"/>
      </w:pPr>
      <w:r>
        <w:t xml:space="preserve">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pPr>
        <w:pStyle w:val="Heading1"/>
        <w:keepNext/>
        <w:pageBreakBefore/>
        <w:spacing w:after="200" w:before="420"/>
      </w:pPr>
      <w:r>
        <w:t xml:space="preserve">Bibliografía</w:t>
      </w:r>
    </w:p>
    <w:p>
      <w:pPr>
        <w:spacing w:after="90" w:line="252"/>
        <w:ind w:left="420" w:hanging="420"/>
        <w:jc w:val="both"/>
      </w:pPr>
      <w:r>
        <w:t xml:space="preserve">[1] ISO/IEC/IEEE, </w:t>
      </w:r>
      <w:r>
        <w:rPr>
          <w:i/>
          <w:iCs/>
        </w:rPr>
        <w:t xml:space="preserve">ISO/IEC/IEEE 29148:2018 — Systems and software engineering — Life cycle processes — Requirements engineering</w:t>
      </w:r>
      <w:r>
        <w:t xml:space="preserve">, 2018.</w:t>
      </w:r>
    </w:p>
    <w:p>
      <w:pPr>
        <w:spacing w:after="90" w:line="252"/>
        <w:ind w:left="420" w:hanging="420"/>
        <w:jc w:val="both"/>
      </w:pPr>
      <w:r>
        <w:t xml:space="preserve">[2] G. Kotonya and I. Sommerville, </w:t>
      </w:r>
      <w:r>
        <w:rPr>
          <w:i/>
          <w:iCs/>
        </w:rPr>
        <w:t xml:space="preserve">Requirements Engineering: Processes and Techniques</w:t>
      </w:r>
      <w:r>
        <w:t xml:space="preserve">. Chichester, UK: John Wiley &amp; Sons, 1998.</w:t>
      </w:r>
    </w:p>
    <w:p>
      <w:pPr>
        <w:spacing w:after="90" w:line="252"/>
        <w:ind w:left="420" w:hanging="420"/>
        <w:jc w:val="both"/>
      </w:pPr>
      <w:r>
        <w:t xml:space="preserve">[3] K. Wiegers and J. Beatty, </w:t>
      </w:r>
      <w:r>
        <w:rPr>
          <w:i/>
          <w:iCs/>
        </w:rPr>
        <w:t xml:space="preserve">Software Requirements</w:t>
      </w:r>
      <w:r>
        <w:t xml:space="preserve">, 3rd ed. Redmond, WA: Microsoft Press, 2013.</w:t>
      </w:r>
    </w:p>
    <w:p>
      <w:pPr>
        <w:spacing w:after="90" w:line="252"/>
        <w:ind w:left="420" w:hanging="420"/>
        <w:jc w:val="both"/>
      </w:pPr>
      <w:r>
        <w:t xml:space="preserve">[4] J. L. Whitten and L. D. Bentley, </w:t>
      </w:r>
      <w:r>
        <w:rPr>
          <w:i/>
          <w:iCs/>
        </w:rPr>
        <w:t xml:space="preserve">Systems Analysis and Design Methods</w:t>
      </w:r>
      <w:r>
        <w:t xml:space="preserve">, 7th ed. New York, NY: McGraw-Hill, 2006.</w:t>
      </w:r>
    </w:p>
    <w:p>
      <w:pPr>
        <w:spacing w:after="90" w:line="252"/>
        <w:ind w:left="420" w:hanging="420"/>
        <w:jc w:val="both"/>
      </w:pPr>
      <w:r>
        <w:t xml:space="preserve">[5] G. D. S. Hadad, </w:t>
      </w:r>
      <w:r>
        <w:rPr>
          <w:i/>
          <w:iCs/>
        </w:rPr>
        <w:t xml:space="preserve">Tópicos de Ingeniería de Requisitos</w:t>
      </w:r>
      <w:r>
        <w:t xml:space="preserve">, Notas de clase. Buenos Aires, Argentina: Universidad de Belgrano, 2024.</w:t>
      </w:r>
    </w:p>
    <w:p>
      <w:pPr>
        <w:spacing w:after="90" w:line="252"/>
        <w:ind w:left="420" w:hanging="420"/>
        <w:jc w:val="both"/>
      </w:pPr>
      <w:r>
        <w:t xml:space="preserve">[6] J. C. S. do Prado Leite and A. P. M. Franco, “A strategy for conceptual model acquisition,” in </w:t>
      </w:r>
      <w:r>
        <w:rPr>
          <w:i/>
          <w:iCs/>
        </w:rPr>
        <w:t xml:space="preserve">Proc. IEEE Int. Symp. on Requirements Engineering</w:t>
      </w:r>
      <w:r>
        <w:t xml:space="preserve">, San Diego, CA, 1993, pp. 243–246.</w:t>
      </w:r>
    </w:p>
    <w:p>
      <w:pPr>
        <w:spacing w:after="90" w:line="252"/>
        <w:ind w:left="420" w:hanging="420"/>
        <w:jc w:val="both"/>
      </w:pPr>
      <w:r>
        <w:t xml:space="preserve">[7] G. D. S. Hadad, J. H. Doorn, and G. N. Kaplan, “Explicitando requisitos del software con escenarios,” in </w:t>
      </w:r>
      <w:r>
        <w:rPr>
          <w:i/>
          <w:iCs/>
        </w:rPr>
        <w:t xml:space="preserve">Anais do Workshop em Engenharia de Requisitos (WER)</w:t>
      </w:r>
      <w:r>
        <w:t xml:space="preserve">, 2009.</w:t>
      </w:r>
    </w:p>
    <w:p>
      <w:pPr>
        <w:spacing w:after="90" w:line="252"/>
        <w:ind w:left="420" w:hanging="420"/>
        <w:jc w:val="both"/>
      </w:pPr>
      <w:r>
        <w:t xml:space="preserve">[8] G. D. S. Hadad, J. H. Doorn, and M. Elizalde, “Procesamiento de la información elicitada: buenas prácticas en la Ingeniería de Requisitos,” </w:t>
      </w:r>
      <w:r>
        <w:rPr>
          <w:i/>
          <w:iCs/>
        </w:rPr>
        <w:t xml:space="preserve">Electronic Journal of SADIO</w:t>
      </w:r>
      <w:r>
        <w:t xml:space="preserve">, vol. 23, no. 2, pp. 133–149, 2024. [Online]. Disponible: http://sedici.unlp.edu.ar/handle/10915/167057</w:t>
      </w:r>
    </w:p>
    <w:p>
      <w:pPr>
        <w:spacing w:after="90" w:line="252"/>
        <w:ind w:left="420" w:hanging="420"/>
        <w:jc w:val="both"/>
      </w:pPr>
      <w:r>
        <w:t xml:space="preserve">[9] A. Vaswani et al., “Attention is all you need,” in </w:t>
      </w:r>
      <w:r>
        <w:rPr>
          <w:i/>
          <w:iCs/>
        </w:rPr>
        <w:t xml:space="preserve">Advances in Neural Information Processing Systems (NeurIPS)</w:t>
      </w:r>
      <w:r>
        <w:t xml:space="preserve">, vol. 30, 2017. [Online]. Disponible: https://proceedings.neurips.cc/paper_files/paper/2017/file/3f5ee243547dee91fbd053c1c4a845aa-Paper.pdf</w:t>
      </w:r>
    </w:p>
    <w:p>
      <w:pPr>
        <w:spacing w:after="90" w:line="252"/>
        <w:ind w:left="420" w:hanging="420"/>
        <w:jc w:val="both"/>
      </w:pPr>
      <w:r>
        <w:t xml:space="preserve">[10] T. B. Brown et al., “Language models are few-shot learners,” in </w:t>
      </w:r>
      <w:r>
        <w:rPr>
          <w:i/>
          <w:iCs/>
        </w:rPr>
        <w:t xml:space="preserve">Advances in Neural Information Processing Systems (NeurIPS)</w:t>
      </w:r>
      <w:r>
        <w:t xml:space="preserve">, vol. 33, 2020, Article 159. [Online]. Disponible: https://proceedings.neurips.cc/paper_files/paper/2020/file/1457c0d6bfcb4967418bfb8ac142f64a-Paper.pdf</w:t>
      </w:r>
    </w:p>
    <w:p>
      <w:pPr>
        <w:spacing w:after="90" w:line="252"/>
        <w:ind w:left="420" w:hanging="420"/>
        <w:jc w:val="both"/>
      </w:pPr>
      <w:r>
        <w:t xml:space="preserve">[11] J. Wei et al., “Chain-of-thought prompting elicits reasoning in large language models,” in </w:t>
      </w:r>
      <w:r>
        <w:rPr>
          <w:i/>
          <w:iCs/>
        </w:rPr>
        <w:t xml:space="preserve">Advances in Neural Information Processing Systems (NeurIPS)</w:t>
      </w:r>
      <w:r>
        <w:t xml:space="preserve">, vol. 35, 2022, pp. 24824–24837. [Online]. Disponible: https://proceedings.neurips.cc/paper_files/paper/2022/file/9d5609613524ecf4f15af0f7b31abca4-Paper-Conference.pdf</w:t>
      </w:r>
    </w:p>
    <w:p>
      <w:pPr>
        <w:spacing w:after="90" w:line="252"/>
        <w:ind w:left="420" w:hanging="420"/>
        <w:jc w:val="both"/>
      </w:pPr>
      <w:r>
        <w:t xml:space="preserve">[12] Z. Ji et al., “Survey of hallucination in natural language generation,” </w:t>
      </w:r>
      <w:r>
        <w:rPr>
          <w:i/>
          <w:iCs/>
        </w:rPr>
        <w:t xml:space="preserve">ACM Computing Surveys</w:t>
      </w:r>
      <w:r>
        <w:t xml:space="preserve">, vol. 55, no. 12, pp. 1–38, 2023. doi: 10.1145/3571730.</w:t>
      </w:r>
    </w:p>
    <w:p>
      <w:pPr>
        <w:spacing w:after="90" w:line="252"/>
        <w:ind w:left="420" w:hanging="420"/>
        <w:jc w:val="both"/>
      </w:pPr>
      <w:r>
        <w:t xml:space="preserve">[13] F. Castillo and M. Romano, “Facilitación Gráfica en Modelos de la Ingeniería de Requisitos,” in </w:t>
      </w:r>
      <w:r>
        <w:rPr>
          <w:i/>
          <w:iCs/>
        </w:rPr>
        <w:t xml:space="preserve">27th Workshop em Engenharia de Requisitos (WER), Student Track (WER-ST)</w:t>
      </w:r>
      <w:r>
        <w:t xml:space="preserve">, Buenos Aires, Argentina, 2024. [Online]. Disponible: https://github.com/Luminicen/WER2024Students/blob/main/WER%202024_002.pdf</w:t>
      </w:r>
    </w:p>
    <w:p>
      <w:pPr>
        <w:spacing w:after="90" w:line="252"/>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 xml:space="preserve">Proc. 28th Workshop em Engenharia de Requisitos (WER)</w:t>
      </w:r>
      <w:r>
        <w:t xml:space="preserve">, Rio de Janeiro, Brazil, 2025. [Online]. Disponible: https://werpapers.dimap.ufrn.br/papers/WER2025/wer202511.pdf</w:t>
      </w:r>
    </w:p>
    <w:p>
      <w:pPr>
        <w:spacing w:after="90" w:line="252"/>
        <w:ind w:left="420" w:hanging="420"/>
        <w:jc w:val="both"/>
      </w:pPr>
      <w:r>
        <w:t xml:space="preserve">[15] J. J. Norheim, S. Marczak, A. Knauss, K. Schneider, P. Sawyer, and D. Méndez Fernández, “Challenges in applying large language models to requirements engineering tasks,” </w:t>
      </w:r>
      <w:r>
        <w:rPr>
          <w:i/>
          <w:iCs/>
        </w:rPr>
        <w:t xml:space="preserve">Design Science</w:t>
      </w:r>
      <w:r>
        <w:t xml:space="preserve">, vol. 10, e16, 2024.</w:t>
      </w:r>
    </w:p>
    <w:p>
      <w:pPr>
        <w:spacing w:after="90" w:line="252"/>
        <w:ind w:left="420" w:hanging="420"/>
        <w:jc w:val="both"/>
      </w:pPr>
      <w:r>
        <w:t xml:space="preserve">[16] M. B. Christel and K. C. Kang, </w:t>
      </w:r>
      <w:r>
        <w:rPr>
          <w:i/>
          <w:iCs/>
        </w:rPr>
        <w:t xml:space="preserve">Issues in Requirements Elicitation</w:t>
      </w:r>
      <w:r>
        <w:t xml:space="preserve">, Technical Report CMU/SEI-92-TR-012. Software Engineering Institute, 1992.</w:t>
      </w:r>
    </w:p>
    <w:p>
      <w:pPr>
        <w:spacing w:after="90" w:line="252"/>
        <w:ind w:left="420" w:hanging="420"/>
        <w:jc w:val="both"/>
      </w:pPr>
      <w:r>
        <w:t xml:space="preserve">[17] N. M. Vidal Monge Navarro, “Ingeniería de Requerimientos: modelo de procesamiento de lenguaje natural para la construcción del Léxico Extendido del Lenguaje,” Trabajo Final de Carrera, Univ. de Belgrano, Buenos Aires, Argentina, 2023.</w:t>
      </w:r>
    </w:p>
    <w:p>
      <w:pPr>
        <w:spacing w:after="90" w:line="252"/>
        <w:ind w:left="420" w:hanging="420"/>
        <w:jc w:val="both"/>
      </w:pPr>
      <w:r>
        <w:t xml:space="preserve">[18] N. M. Vidal Monge Navarro, “Procesamiento de lenguaje natural en la construcción de un modelo léxico,” in </w:t>
      </w:r>
      <w:r>
        <w:rPr>
          <w:i/>
          <w:iCs/>
        </w:rPr>
        <w:t xml:space="preserve">27th Workshop em Engenharia de Requisitos (WER), Student Track (WER-ST)</w:t>
      </w:r>
      <w:r>
        <w:t xml:space="preserve">, Buenos Aires, Argentina, 2024. [Online]. Disponible: https://github.com/Luminicen/WER2024Students/blob/main/WER%202024_001.pdf</w:t>
      </w:r>
    </w:p>
    <w:p>
      <w:pPr>
        <w:spacing w:after="90" w:line="252"/>
        <w:ind w:left="420" w:hanging="420"/>
        <w:jc w:val="both"/>
      </w:pPr>
      <w:r>
        <w:t xml:space="preserve">[19] L. Antonelli, M. Lezoche, and J. Delle Ville, “Knowledge Extraction from the Language Extended Lexicon Glossary Using Natural Language Processing,” </w:t>
      </w:r>
      <w:r>
        <w:rPr>
          <w:i/>
          <w:iCs/>
        </w:rPr>
        <w:t xml:space="preserve">TecnoLógicas</w:t>
      </w:r>
      <w:r>
        <w:t xml:space="preserve">, vol. 27, no. 59, art. e2917, 2024. [Online]. Disponible: https://doi.org/10.22430/22565337.2917</w:t>
      </w:r>
    </w:p>
    <w:p>
      <w:pPr>
        <w:spacing w:after="90" w:line="252"/>
        <w:ind w:left="420" w:hanging="420"/>
        <w:jc w:val="both"/>
      </w:pPr>
      <w:r>
        <w:t xml:space="preserve">[20] A. Hemmat, M. Sharbaf, S. Kolahdouz-Rahimi, K. Lano, and S. Y. Tehrani, “Research directions for using LLM in software requirement engineering: a systematic review,” </w:t>
      </w:r>
      <w:r>
        <w:rPr>
          <w:i/>
          <w:iCs/>
        </w:rPr>
        <w:t xml:space="preserve">Frontiers in Computer Science</w:t>
      </w:r>
      <w:r>
        <w:t xml:space="preserve">, vol. 7, art. 1519437, 2025. doi: 10.3389/fcomp.2025.1519437</w:t>
      </w:r>
    </w:p>
    <w:p>
      <w:pPr>
        <w:spacing w:after="90" w:line="252"/>
        <w:ind w:left="420" w:hanging="420"/>
        <w:jc w:val="both"/>
      </w:pPr>
      <w:r>
        <w:t xml:space="preserve">[21] Y. Silva, M. Gois, A. Santos, J. Castro, and M. Lencastre, “Uso de Large Language Models na Engenharia de Requisitos,” in </w:t>
      </w:r>
      <w:r>
        <w:rPr>
          <w:i/>
          <w:iCs/>
        </w:rPr>
        <w:t xml:space="preserve">Proc. 28th Workshop em Engenharia de Requisitos (WER)</w:t>
      </w:r>
      <w:r>
        <w:t xml:space="preserve">, Rio de Janeiro, Brazil, 2025.</w:t>
      </w:r>
    </w:p>
    <w:p>
      <w:pPr>
        <w:spacing w:after="90" w:line="252"/>
        <w:ind w:left="420" w:hanging="420"/>
        <w:jc w:val="both"/>
      </w:pPr>
      <w:r>
        <w:t xml:space="preserve">[22] P. M. Roldán Valdiviezo and L. Antonelli, “Definición de una gramática para el Léxico Extendido del Lenguaje,” in </w:t>
      </w:r>
      <w:r>
        <w:rPr>
          <w:i/>
          <w:iCs/>
        </w:rPr>
        <w:t xml:space="preserve">Proc. 27th Workshop em Engenharia de Requisitos (WER)</w:t>
      </w:r>
      <w:r>
        <w:t xml:space="preserve">, Buenos Aires, Argentina, 2024.</w:t>
      </w:r>
    </w:p>
    <w:p>
      <w:pPr>
        <w:spacing w:after="90" w:line="252"/>
        <w:ind w:left="420" w:hanging="420"/>
        <w:jc w:val="both"/>
      </w:pPr>
      <w:r>
        <w:t xml:space="preserve">[23] W. X. Zhao, K. Zhou, J. Li, et al., “A Survey of Large Language Models,” </w:t>
      </w:r>
      <w:r>
        <w:rPr>
          <w:i/>
          <w:iCs/>
        </w:rPr>
        <w:t xml:space="preserve">Frontiers of Computer Science</w:t>
      </w:r>
      <w:r>
        <w:t xml:space="preserve">, vol. 20, art. 2012627, 2026. [Online]. Disponible: https://doi.org/10.1007/s11704-026-60308-3</w:t>
      </w:r>
    </w:p>
    <w:p>
      <w:pPr>
        <w:spacing w:after="90" w:line="252"/>
        <w:ind w:left="420" w:hanging="420"/>
        <w:jc w:val="both"/>
      </w:pPr>
      <w:r>
        <w:t xml:space="preserve">[24] G. D. S. Hadad, J. H. Doorn, and G. N. Kaplan, “Creating Software System Context Glossaries,” in </w:t>
      </w:r>
      <w:r>
        <w:rPr>
          <w:i/>
          <w:iCs/>
        </w:rPr>
        <w:t xml:space="preserve">Encyclopedia of Information Science and Technology</w:t>
      </w:r>
      <w:r>
        <w:t xml:space="preserve">, 2nd ed. Hershey, PA: IGI Global, 2009, pp. 789–794.</w:t>
      </w:r>
    </w:p>
    <w:p>
      <w:pPr>
        <w:spacing w:after="90" w:line="252"/>
        <w:ind w:left="420" w:hanging="420"/>
        <w:jc w:val="both"/>
      </w:pPr>
      <w:r>
        <w:t xml:space="preserve">[25] H. Cheng, J. H. Husen, Y. Lu, et al., “Generative AI for Requirements Engineering: A Systematic Literature Review,” </w:t>
      </w:r>
      <w:r>
        <w:rPr>
          <w:i/>
          <w:iCs/>
        </w:rPr>
        <w:t xml:space="preserve">Software: Practice and Experience</w:t>
      </w:r>
      <w:r>
        <w:t xml:space="preserve">, vol. 56, no. 2, pp. 141–170, 2026. [Online]. Disponible: https://doi.org/10.1002/spe.70029</w:t>
      </w:r>
    </w:p>
    <w:p>
      <w:pPr>
        <w:spacing w:after="90" w:line="252"/>
        <w:ind w:left="420" w:hanging="420"/>
        <w:jc w:val="both"/>
      </w:pPr>
      <w:r>
        <w:t xml:space="preserve">[26] L. M. Cysneiros and J. C. Sampaio do Prado Leite, “Using the Language Extended Lexicon to Support Non-Functional Requirements Elicitation,” in </w:t>
      </w:r>
      <w:r>
        <w:rPr>
          <w:i/>
          <w:iCs/>
        </w:rPr>
        <w:t xml:space="preserve">Anais do WER01 — Workshop em Engenharia de Requisitos</w:t>
      </w:r>
      <w:r>
        <w:t xml:space="preserve">, Buenos Aires, Argentina, 2001.</w:t>
      </w:r>
    </w:p>
    <w:p>
      <w:pPr>
        <w:spacing w:after="90" w:line="252"/>
        <w:ind w:left="420" w:hanging="420"/>
        <w:jc w:val="both"/>
      </w:pPr>
      <w:r>
        <w:t xml:space="preserve">[27] B. Görer and F. B. Aydemir, “Generating Requirements Elicitation Interview Scripts with Large Language Models,” in </w:t>
      </w:r>
      <w:r>
        <w:rPr>
          <w:i/>
          <w:iCs/>
        </w:rPr>
        <w:t xml:space="preserve">Proc. 2023 IEEE 31st Int. Requirements Engineering Conf. Workshops (REW)</w:t>
      </w:r>
      <w:r>
        <w:t xml:space="preserve">, Hannover, Germany, 2023, pp. 44–51. doi: 10.1109/REW57809.2023.00015.</w:t>
      </w:r>
    </w:p>
    <w:p>
      <w:pPr>
        <w:spacing w:after="90" w:line="252"/>
        <w:ind w:left="420" w:hanging="420"/>
        <w:jc w:val="both"/>
      </w:pPr>
      <w:r>
        <w:t xml:space="preserve">[28] A. Radford, J. W. Kim, T. Xu, G. Brockman, C. McLeavey, and I. Sutskever, “Robust Speech Recognition via Large-Scale Weak Supervision,” in </w:t>
      </w:r>
      <w:r>
        <w:rPr>
          <w:i/>
          <w:iCs/>
        </w:rPr>
        <w:t xml:space="preserve">Proc. 40th Int. Conf. on Machine Learning (ICML)</w:t>
      </w:r>
      <w:r>
        <w:t xml:space="preserve">, vol. 202, Honolulu, HI, 2023, Article 1182. [Online]. Disponible: https://dl.acm.org/doi/10.5555/3618408.3619590</w:t>
      </w:r>
    </w:p>
    <w:p>
      <w:pPr>
        <w:spacing w:after="90" w:line="252"/>
        <w:ind w:left="420" w:hanging="420"/>
        <w:jc w:val="both"/>
      </w:pPr>
      <w:r>
        <w:t xml:space="preserve">[29] D. Sibbet, </w:t>
      </w:r>
      <w:r>
        <w:rPr>
          <w:i/>
          <w:iCs/>
        </w:rPr>
        <w:t xml:space="preserve">Liderazgo Visual</w:t>
      </w:r>
      <w:r>
        <w:t xml:space="preserve">. España: Anaya Multimedia, 2013.</w:t>
      </w:r>
    </w:p>
    <w:p>
      <w:pPr>
        <w:spacing w:after="90" w:line="252"/>
        <w:ind w:left="420" w:hanging="420"/>
        <w:jc w:val="both"/>
      </w:pPr>
      <w:r>
        <w:t xml:space="preserve">[30] G. D. S. Hadad, J. H. Doorn, M. C. Elizalde, and M. N. Ridao, “Trayecto para Precisar Heurísticas en un Modelo Conceptual,” in </w:t>
      </w:r>
      <w:r>
        <w:rPr>
          <w:i/>
          <w:iCs/>
        </w:rPr>
        <w:t xml:space="preserve">Proc. 28th Workshop on Requirements Engineering (WER 2025)</w:t>
      </w:r>
      <w:r>
        <w:t xml:space="preserve">, Rio de Janeiro, Brazil, 2025. doi: 10.29327/1588952.28-17</w:t>
      </w:r>
    </w:p>
    <w:p>
      <w:pPr>
        <w:spacing w:after="90" w:line="252"/>
        <w:ind w:left="420" w:hanging="420"/>
        <w:jc w:val="both"/>
      </w:pPr>
      <w:r>
        <w:t xml:space="preserve">[31] Standish Group, </w:t>
      </w:r>
      <w:r>
        <w:rPr>
          <w:i/>
          <w:iCs/>
        </w:rPr>
        <w:t xml:space="preserve">Chaos Report 2020: Beyond Infinity</w:t>
      </w:r>
      <w:r>
        <w:t xml:space="preserve">. Standish Group International, 2020.</w:t>
      </w:r>
    </w:p>
    <w:p>
      <w:pPr>
        <w:spacing w:after="90" w:line="252"/>
        <w:ind w:left="420" w:hanging="420"/>
        <w:jc w:val="both"/>
      </w:pPr>
      <w:r>
        <w:t xml:space="preserve">[32] P. G. Neumann, “Risks to the Public,” </w:t>
      </w:r>
      <w:r>
        <w:rPr>
          <w:i/>
          <w:iCs/>
        </w:rPr>
        <w:t xml:space="preserve">ACM SIGSOFT Software Engineering Notes</w:t>
      </w:r>
      <w:r>
        <w:t xml:space="preserve">, vol. 49, no. 2, pp. 3–8, 2024. doi: 10.1145/3650142.3650143</w:t>
      </w:r>
    </w:p>
    <w:p>
      <w:pPr>
        <w:spacing w:after="90" w:line="252"/>
        <w:ind w:left="420" w:hanging="420"/>
        <w:jc w:val="both"/>
      </w:pPr>
      <w:r>
        <w:t xml:space="preserve">[33] G. D. S. Hadad, J. H. Doorn, and J. C. S. P. Leite, </w:t>
      </w:r>
      <w:r>
        <w:rPr>
          <w:i/>
          <w:iCs/>
        </w:rPr>
        <w:t xml:space="preserve">Gestión de Requisitos para la Ingeniería de Software</w:t>
      </w:r>
      <w:r>
        <w:t xml:space="preserve">. Argentina: Alfaomega, 2025.</w:t>
      </w:r>
    </w:p>
    <w:p>
      <w:pPr>
        <w:pStyle w:val="Heading1"/>
        <w:keepNext/>
        <w:pageBreakBefore/>
        <w:spacing w:after="200" w:before="420"/>
      </w:pPr>
      <w:r>
        <w:t xml:space="preserve">Anexo A — Prompts del pipeline</w:t>
      </w:r>
    </w:p>
    <w:p>
      <w:pPr>
        <w:spacing w:after="160" w:line="276"/>
        <w:jc w:val="both"/>
      </w:pPr>
      <w:r>
        <w:t xml:space="preserve">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pPr>
        <w:pStyle w:val="Heading2"/>
        <w:keepNext/>
      </w:pPr>
      <w:r>
        <w:t xml:space="preserve">A.1 Extracción de candidatos (01_extraccion.txt)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la estrategia orientada al cliente y en la</w:t>
      </w:r>
      <w:r>
        <w:br/>
      </w:r>
      <w:r>
        <w:rPr>
          <w:rFonts w:ascii="Courier New" w:cs="Courier New" w:eastAsia="Courier New" w:hAnsi="Courier New"/>
          <w:color w:val="24292F"/>
          <w:sz w:val="16"/>
          <w:szCs w:val="16"/>
        </w:rPr>
        <w:t xml:space="preserve">construcción del Léxico Extendido del Lenguaje (LEL). Tu tarea es la actividad</w:t>
      </w:r>
      <w:r>
        <w:br/>
      </w:r>
      <w:r>
        <w:rPr>
          <w:rFonts w:ascii="Courier New" w:cs="Courier New" w:eastAsia="Courier New" w:hAnsi="Courier New"/>
          <w:color w:val="24292F"/>
          <w:sz w:val="16"/>
          <w:szCs w:val="16"/>
        </w:rPr>
        <w:t xml:space="preserve">"Recolectar Símbolos": a partir de transcripciones de entrevistas en lenguaje natural</w:t>
      </w:r>
      <w:r>
        <w:br/>
      </w:r>
      <w:r>
        <w:rPr>
          <w:rFonts w:ascii="Courier New" w:cs="Courier New" w:eastAsia="Courier New" w:hAnsi="Courier New"/>
          <w:color w:val="24292F"/>
          <w:sz w:val="16"/>
          <w:szCs w:val="16"/>
        </w:rPr>
        <w:t xml:space="preserve">coloquial, identificar los términos candidatos a ser símbolos del LEL del contexto de</w:t>
      </w:r>
      <w:r>
        <w:br/>
      </w:r>
      <w:r>
        <w:rPr>
          <w:rFonts w:ascii="Courier New" w:cs="Courier New" w:eastAsia="Courier New" w:hAnsi="Courier New"/>
          <w:color w:val="24292F"/>
          <w:sz w:val="16"/>
          <w:szCs w:val="16"/>
        </w:rPr>
        <w:t xml:space="preserve">aplicación (Universo de Discurso).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pertenecientes al contexto de aplicación.</w:t>
      </w:r>
      <w:r>
        <w:br/>
      </w:r>
      <w:r>
        <w:rPr>
          <w:rFonts w:ascii="Courier New" w:cs="Courier New" w:eastAsia="Courier New" w:hAnsi="Courier New"/>
          <w:color w:val="24292F"/>
          <w:sz w:val="16"/>
          <w:szCs w:val="16"/>
        </w:rPr>
        <w:t xml:space="preserve">- Seleccioná palabras o frases frecuentes o significativas para los actores del dominio.</w:t>
      </w:r>
      <w:r>
        <w:br/>
      </w:r>
      <w:r>
        <w:rPr>
          <w:rFonts w:ascii="Courier New" w:cs="Courier New" w:eastAsia="Courier New" w:hAnsi="Courier New"/>
          <w:color w:val="24292F"/>
          <w:sz w:val="16"/>
          <w:szCs w:val="16"/>
        </w:rPr>
        <w:t xml:space="preserve">- Excluí palabras obvias, genéricas o de dominio público que no sean particulares de</w:t>
      </w:r>
      <w:r>
        <w:br/>
      </w:r>
      <w:r>
        <w:rPr>
          <w:rFonts w:ascii="Courier New" w:cs="Courier New" w:eastAsia="Courier New" w:hAnsi="Courier New"/>
          <w:color w:val="24292F"/>
          <w:sz w:val="16"/>
          <w:szCs w:val="16"/>
        </w:rPr>
        <w:t xml:space="preserve">  este Universo de Discurso (por ejemplo: "información", "proceso", "cosa", "tema").</w:t>
      </w:r>
      <w:r>
        <w:br/>
      </w:r>
      <w:r>
        <w:rPr>
          <w:rFonts w:ascii="Courier New" w:cs="Courier New" w:eastAsia="Courier New" w:hAnsi="Courier New"/>
          <w:color w:val="24292F"/>
          <w:sz w:val="16"/>
          <w:szCs w:val="16"/>
        </w:rPr>
        <w:t xml:space="preserve">- Identificá el nombre completo del término, por más largo que sea.</w:t>
      </w:r>
      <w:r>
        <w:br/>
      </w:r>
      <w:r>
        <w:rPr>
          <w:rFonts w:ascii="Courier New" w:cs="Courier New" w:eastAsia="Courier New" w:hAnsi="Courier New"/>
          <w:color w:val="24292F"/>
          <w:sz w:val="16"/>
          <w:szCs w:val="16"/>
        </w:rPr>
        <w:t xml:space="preserve">- Una abreviatura o acrónimo puede ser el nombre de un símbolo, o un sinónimo de un</w:t>
      </w:r>
      <w:r>
        <w:br/>
      </w:r>
      <w:r>
        <w:rPr>
          <w:rFonts w:ascii="Courier New" w:cs="Courier New" w:eastAsia="Courier New" w:hAnsi="Courier New"/>
          <w:color w:val="24292F"/>
          <w:sz w:val="16"/>
          <w:szCs w:val="16"/>
        </w:rPr>
        <w:t xml:space="preserve">  símbolo con nombre más largo (si ambos se usan en el dominio).</w:t>
      </w:r>
      <w:r>
        <w:br/>
      </w:r>
      <w:r>
        <w:rPr>
          <w:rFonts w:ascii="Courier New" w:cs="Courier New" w:eastAsia="Courier New" w:hAnsi="Courier New"/>
          <w:color w:val="24292F"/>
          <w:sz w:val="16"/>
          <w:szCs w:val="16"/>
        </w:rPr>
        <w:t xml:space="preserve">- Unificá variantes (género, número, conjugación) bajo un único nombre.</w:t>
      </w:r>
      <w:r>
        <w:br/>
      </w:r>
      <w:r>
        <w:rPr>
          <w:rFonts w:ascii="Courier New" w:cs="Courier New" w:eastAsia="Courier New" w:hAnsi="Courier New"/>
          <w:color w:val="24292F"/>
          <w:sz w:val="16"/>
          <w:szCs w:val="16"/>
        </w:rPr>
        <w:t xml:space="preserve">- No inventes términos que no aparezcan ni se desprendan del texto.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 sin texto adicional ni markdown:</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"Nombre del término", "sinonimos": ["variante1", "sigla"]},</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Transcripciones de las entrevistas:</w:t>
      </w:r>
      <w:r>
        <w:br/>
      </w:r>
      <w:r>
        <w:rPr>
          <w:rFonts w:ascii="Courier New" w:cs="Courier New" w:eastAsia="Courier New" w:hAnsi="Courier New"/>
          <w:color w:val="24292F"/>
          <w:sz w:val="16"/>
          <w:szCs w:val="16"/>
        </w:rPr>
        <w:t xml:space="preserve">--- {TRANSCRIPCIONES} ---</w:t>
      </w:r>
    </w:p>
    <w:p>
      <w:pPr>
        <w:pStyle w:val="Heading2"/>
        <w:keepNext/>
      </w:pPr>
      <w:r>
        <w:t xml:space="preserve">A.2 Clasificación por tipo (02_clasificacion.txt)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"Clasificar</w:t>
      </w:r>
      <w:r>
        <w:br/>
      </w:r>
      <w:r>
        <w:rPr>
          <w:rFonts w:ascii="Courier New" w:cs="Courier New" w:eastAsia="Courier New" w:hAnsi="Courier New"/>
          <w:color w:val="24292F"/>
          <w:sz w:val="16"/>
          <w:szCs w:val="16"/>
        </w:rPr>
        <w:t xml:space="preserve">Símbolos": asignar a cada término candidato uno de los cuatro tipos del LEL, según su</w:t>
      </w:r>
      <w:r>
        <w:br/>
      </w:r>
      <w:r>
        <w:rPr>
          <w:rFonts w:ascii="Courier New" w:cs="Courier New" w:eastAsia="Courier New" w:hAnsi="Courier New"/>
          <w:color w:val="24292F"/>
          <w:sz w:val="16"/>
          <w:szCs w:val="16"/>
        </w:rPr>
        <w:t xml:space="preserve">rol en el contexto de aplicación descripto por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Definiciones de los tipos:</w:t>
      </w:r>
      <w:r>
        <w:br/>
      </w:r>
      <w:r>
        <w:rPr>
          <w:rFonts w:ascii="Courier New" w:cs="Courier New" w:eastAsia="Courier New" w:hAnsi="Courier New"/>
          <w:color w:val="24292F"/>
          <w:sz w:val="16"/>
          <w:szCs w:val="16"/>
        </w:rPr>
        <w:t xml:space="preserve">- Sujeto: entidad activa (persona, organización, máquina o sistema) que realiza</w:t>
      </w:r>
      <w:r>
        <w:br/>
      </w:r>
      <w:r>
        <w:rPr>
          <w:rFonts w:ascii="Courier New" w:cs="Courier New" w:eastAsia="Courier New" w:hAnsi="Courier New"/>
          <w:color w:val="24292F"/>
          <w:sz w:val="16"/>
          <w:szCs w:val="16"/>
        </w:rPr>
        <w:t xml:space="preserve">  actividades en el contexto de aplicación.</w:t>
      </w:r>
      <w:r>
        <w:br/>
      </w:r>
      <w:r>
        <w:rPr>
          <w:rFonts w:ascii="Courier New" w:cs="Courier New" w:eastAsia="Courier New" w:hAnsi="Courier New"/>
          <w:color w:val="24292F"/>
          <w:sz w:val="16"/>
          <w:szCs w:val="16"/>
        </w:rPr>
        <w:t xml:space="preserve">- Objeto: entidad pasiva sobre la cual se aplican acciones, sin realizar acciones.</w:t>
      </w:r>
      <w:r>
        <w:br/>
      </w:r>
      <w:r>
        <w:rPr>
          <w:rFonts w:ascii="Courier New" w:cs="Courier New" w:eastAsia="Courier New" w:hAnsi="Courier New"/>
          <w:color w:val="24292F"/>
          <w:sz w:val="16"/>
          <w:szCs w:val="16"/>
        </w:rPr>
        <w:t xml:space="preserve">- Verbo: una actividad o acción que ocurre en el contexto de aplicación.</w:t>
      </w:r>
      <w:r>
        <w:br/>
      </w:r>
      <w:r>
        <w:rPr>
          <w:rFonts w:ascii="Courier New" w:cs="Courier New" w:eastAsia="Courier New" w:hAnsi="Courier New"/>
          <w:color w:val="24292F"/>
          <w:sz w:val="16"/>
          <w:szCs w:val="16"/>
        </w:rPr>
        <w:t xml:space="preserve">- Estado: una condición o situación en la que se encuentran sujetos, objetos o</w:t>
      </w:r>
      <w:r>
        <w:br/>
      </w:r>
      <w:r>
        <w:rPr>
          <w:rFonts w:ascii="Courier New" w:cs="Courier New" w:eastAsia="Courier New" w:hAnsi="Courier New"/>
          <w:color w:val="24292F"/>
          <w:sz w:val="16"/>
          <w:szCs w:val="16"/>
        </w:rPr>
        <w:t xml:space="preserve">  actividades, y que puede cambiar a otra condición.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Ejemplos (de un dominio distinto, solo para ilustrar el criterio):</w:t>
      </w:r>
      <w:r>
        <w:br/>
      </w:r>
      <w:r>
        <w:rPr>
          <w:rFonts w:ascii="Courier New" w:cs="Courier New" w:eastAsia="Courier New" w:hAnsi="Courier New"/>
          <w:color w:val="24292F"/>
          <w:sz w:val="16"/>
          <w:szCs w:val="16"/>
        </w:rPr>
        <w:t xml:space="preserve">- "Bibliotecario" -&gt; Sujeto ; "Ejemplar" -&gt; Objeto ; "Prestar Ejemplar" -&gt; Verbo ;</w:t>
      </w:r>
      <w:r>
        <w:br/>
      </w:r>
      <w:r>
        <w:rPr>
          <w:rFonts w:ascii="Courier New" w:cs="Courier New" w:eastAsia="Courier New" w:hAnsi="Courier New"/>
          <w:color w:val="24292F"/>
          <w:sz w:val="16"/>
          <w:szCs w:val="16"/>
        </w:rPr>
        <w:t xml:space="preserve">  "Ejemplar Reservado" -&gt;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Asigná exactamente un tipo por término.</w:t>
      </w:r>
      <w:r>
        <w:br/>
      </w:r>
      <w:r>
        <w:rPr>
          <w:rFonts w:ascii="Courier New" w:cs="Courier New" w:eastAsia="Courier New" w:hAnsi="Courier New"/>
          <w:color w:val="24292F"/>
          <w:sz w:val="16"/>
          <w:szCs w:val="16"/>
        </w:rPr>
        <w:t xml:space="preserve">- Ante la duda entre Sujeto y Objeto, decidí Sujeto solo si ejecuta acciones.</w:t>
      </w:r>
      <w:r>
        <w:br/>
      </w:r>
      <w:r>
        <w:rPr>
          <w:rFonts w:ascii="Courier New" w:cs="Courier New" w:eastAsia="Courier New" w:hAnsi="Courier New"/>
          <w:color w:val="24292F"/>
          <w:sz w:val="16"/>
          <w:szCs w:val="16"/>
        </w:rPr>
        <w:t xml:space="preserve">- Un término que nombra una acción es Verbo, aunque esté nominalizado ("Facturación").</w:t>
      </w:r>
      <w:r>
        <w:br/>
      </w:r>
      <w:r>
        <w:rPr>
          <w:rFonts w:ascii="Courier New" w:cs="Courier New" w:eastAsia="Courier New" w:hAnsi="Courier New"/>
          <w:color w:val="24292F"/>
          <w:sz w:val="16"/>
          <w:szCs w:val="16"/>
        </w:rPr>
        <w:t xml:space="preserve">- Un término que nombra una condición alcanzada (participio, "Pedido Aprobado") es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w:t>
      </w:r>
      <w:r>
        <w:br/>
      </w:r>
      <w:r>
        <w:rPr>
          <w:rFonts w:ascii="Courier New" w:cs="Courier New" w:eastAsia="Courier New" w:hAnsi="Courier New"/>
          <w:color w:val="24292F"/>
          <w:sz w:val="16"/>
          <w:szCs w:val="16"/>
        </w:rPr>
        <w:t xml:space="preserve">[ {"nombre": "Nombre del término", "tipo": "Sujeto|Objeto|Verbo|Estado"},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Términos candidatos: {CANDIDATOS}</w:t>
      </w:r>
      <w:r>
        <w:br/>
      </w:r>
      <w:r>
        <w:rPr>
          <w:rFonts w:ascii="Courier New" w:cs="Courier New" w:eastAsia="Courier New" w:hAnsi="Courier New"/>
          <w:color w:val="24292F"/>
          <w:sz w:val="16"/>
          <w:szCs w:val="16"/>
        </w:rPr>
        <w:t xml:space="preserve">Transcripciones de referencia: --- {TRANSCRIPCIONES} ---</w:t>
      </w:r>
    </w:p>
    <w:p>
      <w:pPr>
        <w:pStyle w:val="Heading2"/>
        <w:keepNext/>
      </w:pPr>
      <w:r>
        <w:t xml:space="preserve">A.3 Descripción de noción e impacto (03_descripcion.txt)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"Describir</w:t>
      </w:r>
      <w:r>
        <w:br/>
      </w:r>
      <w:r>
        <w:rPr>
          <w:rFonts w:ascii="Courier New" w:cs="Courier New" w:eastAsia="Courier New" w:hAnsi="Courier New"/>
          <w:color w:val="24292F"/>
          <w:sz w:val="16"/>
          <w:szCs w:val="16"/>
        </w:rPr>
        <w:t xml:space="preserve">Símbolos": para UN símbolo dado, redactar su Noción y su Impacto, fundamentándote</w:t>
      </w:r>
      <w:r>
        <w:br/>
      </w:r>
      <w:r>
        <w:rPr>
          <w:rFonts w:ascii="Courier New" w:cs="Courier New" w:eastAsia="Courier New" w:hAnsi="Courier New"/>
          <w:color w:val="24292F"/>
          <w:sz w:val="16"/>
          <w:szCs w:val="16"/>
        </w:rPr>
        <w:t xml:space="preserve">ÚNICAMENTE en lo que dicen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Símbolo a describir: "{SIMBOLO}"    Tipo del símbolo: {TIPO}</w:t>
      </w:r>
      <w:r>
        <w:br/>
      </w:r>
      <w:r>
        <w:rPr>
          <w:rFonts w:ascii="Courier New" w:cs="Courier New" w:eastAsia="Courier New" w:hAnsi="Courier New"/>
          <w:color w:val="24292F"/>
          <w:sz w:val="16"/>
          <w:szCs w:val="16"/>
        </w:rPr>
        <w:t xml:space="preserve">Plantilla según el tipo (qué debe contener la Noción y el Impacto): {PLANTILLA_TIPO}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 de redacción del LEL:</w:t>
      </w:r>
      <w:r>
        <w:br/>
      </w:r>
      <w:r>
        <w:rPr>
          <w:rFonts w:ascii="Courier New" w:cs="Courier New" w:eastAsia="Courier New" w:hAnsi="Courier New"/>
          <w:color w:val="24292F"/>
          <w:sz w:val="16"/>
          <w:szCs w:val="16"/>
        </w:rPr>
        <w:t xml:space="preserve">- Circularidad: al describir, usá la mayor cantidad posible de OTROS símbolos del LEL</w:t>
      </w:r>
      <w:r>
        <w:br/>
      </w:r>
      <w:r>
        <w:rPr>
          <w:rFonts w:ascii="Courier New" w:cs="Courier New" w:eastAsia="Courier New" w:hAnsi="Courier New"/>
          <w:color w:val="24292F"/>
          <w:sz w:val="16"/>
          <w:szCs w:val="16"/>
        </w:rPr>
        <w:t xml:space="preserve">  (de la lista provista) en lugar de términos externos.</w:t>
      </w:r>
      <w:r>
        <w:br/>
      </w:r>
      <w:r>
        <w:rPr>
          <w:rFonts w:ascii="Courier New" w:cs="Courier New" w:eastAsia="Courier New" w:hAnsi="Courier New"/>
          <w:color w:val="24292F"/>
          <w:sz w:val="16"/>
          <w:szCs w:val="16"/>
        </w:rPr>
        <w:t xml:space="preserve">- Vocabulario mínimo: usá la menor cantidad posible de términos ajenos al LEL.</w:t>
      </w:r>
      <w:r>
        <w:br/>
      </w:r>
      <w:r>
        <w:rPr>
          <w:rFonts w:ascii="Courier New" w:cs="Courier New" w:eastAsia="Courier New" w:hAnsi="Courier New"/>
          <w:color w:val="24292F"/>
          <w:sz w:val="16"/>
          <w:szCs w:val="16"/>
        </w:rPr>
        <w:t xml:space="preserve">- Cada oración de la Noción y del Impacto debe ser ATÓMICA (una sola idea).</w:t>
      </w:r>
      <w:r>
        <w:br/>
      </w:r>
      <w:r>
        <w:rPr>
          <w:rFonts w:ascii="Courier New" w:cs="Courier New" w:eastAsia="Courier New" w:hAnsi="Courier New"/>
          <w:color w:val="24292F"/>
          <w:sz w:val="16"/>
          <w:szCs w:val="16"/>
        </w:rPr>
        <w:t xml:space="preserve">- El símbolo descripto NO debe referenciarse a sí mismo en su propia descripción.</w:t>
      </w:r>
      <w:r>
        <w:br/>
      </w:r>
      <w:r>
        <w:rPr>
          <w:rFonts w:ascii="Courier New" w:cs="Courier New" w:eastAsia="Courier New" w:hAnsi="Courier New"/>
          <w:color w:val="24292F"/>
          <w:sz w:val="16"/>
          <w:szCs w:val="16"/>
        </w:rPr>
        <w:t xml:space="preserve">- NO inventes hechos: si algo no surge de las transcripciones, no lo incluyas.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Lista de símbolos del LEL disponibles para referenciar: {LISTA_SIMBOLOS}</w:t>
      </w:r>
      <w:r>
        <w:br/>
      </w:r>
      <w:r>
        <w:rPr>
          <w:rFonts w:ascii="Courier New" w:cs="Courier New" w:eastAsia="Courier New" w:hAnsi="Courier New"/>
          <w:color w:val="24292F"/>
          <w:sz w:val="16"/>
          <w:szCs w:val="16"/>
        </w:rPr>
        <w:t xml:space="preserve">Transcripciones (única fuente de verdad):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objeto JSON válido:</w:t>
      </w:r>
      <w:r>
        <w:br/>
      </w:r>
      <w:r>
        <w:rPr>
          <w:rFonts w:ascii="Courier New" w:cs="Courier New" w:eastAsia="Courier New" w:hAnsi="Courier New"/>
          <w:color w:val="24292F"/>
          <w:sz w:val="16"/>
          <w:szCs w:val="16"/>
        </w:rPr>
        <w:t xml:space="preserve">{ "nocion": ["oración atómica 1", ...], "impacto": ["oración atómica 1", ...] }</w:t>
      </w:r>
    </w:p>
    <w:p>
      <w:pPr>
        <w:pStyle w:val="Heading2"/>
        <w:keepNext/>
      </w:pPr>
      <w:r>
        <w:t xml:space="preserve">A.4 Auto-verificación (04_verificacion.txt)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inspector de calidad de modelos de la Ingeniería de Requisitos. Tu tarea es la</w:t>
      </w:r>
      <w:r>
        <w:br/>
      </w:r>
      <w:r>
        <w:rPr>
          <w:rFonts w:ascii="Courier New" w:cs="Courier New" w:eastAsia="Courier New" w:hAnsi="Courier New"/>
          <w:color w:val="24292F"/>
          <w:sz w:val="16"/>
          <w:szCs w:val="16"/>
        </w:rPr>
        <w:t xml:space="preserve">actividad "Verificar": revisar un LEL borrador aplicando el checklist de inspección y</w:t>
      </w:r>
      <w:r>
        <w:br/>
      </w:r>
      <w:r>
        <w:rPr>
          <w:rFonts w:ascii="Courier New" w:cs="Courier New" w:eastAsia="Courier New" w:hAnsi="Courier New"/>
          <w:color w:val="24292F"/>
          <w:sz w:val="16"/>
          <w:szCs w:val="16"/>
        </w:rPr>
        <w:t xml:space="preserve">devolver una versión corregida del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Verificá cada símbolo contra estos ítems del checklist:</w:t>
      </w:r>
      <w:r>
        <w:br/>
      </w:r>
      <w:r>
        <w:rPr>
          <w:rFonts w:ascii="Courier New" w:cs="Courier New" w:eastAsia="Courier New" w:hAnsi="Courier New"/>
          <w:color w:val="24292F"/>
          <w:sz w:val="16"/>
          <w:szCs w:val="16"/>
        </w:rPr>
        <w:t xml:space="preserve">1. Adherencia a la plantilla del tipo: la Noción y el Impacto contienen lo que exige.</w:t>
      </w:r>
      <w:r>
        <w:br/>
      </w:r>
      <w:r>
        <w:rPr>
          <w:rFonts w:ascii="Courier New" w:cs="Courier New" w:eastAsia="Courier New" w:hAnsi="Courier New"/>
          <w:color w:val="24292F"/>
          <w:sz w:val="16"/>
          <w:szCs w:val="16"/>
        </w:rPr>
        <w:t xml:space="preserve">2. Circularidad: las descripciones referencian otros símbolos del LEL cuando es posible.</w:t>
      </w:r>
      <w:r>
        <w:br/>
      </w:r>
      <w:r>
        <w:rPr>
          <w:rFonts w:ascii="Courier New" w:cs="Courier New" w:eastAsia="Courier New" w:hAnsi="Courier New"/>
          <w:color w:val="24292F"/>
          <w:sz w:val="16"/>
          <w:szCs w:val="16"/>
        </w:rPr>
        <w:t xml:space="preserve">3. Vocabulario mínimo: se evita el uso innecesario de términos de dominio público.</w:t>
      </w:r>
      <w:r>
        <w:br/>
      </w:r>
      <w:r>
        <w:rPr>
          <w:rFonts w:ascii="Courier New" w:cs="Courier New" w:eastAsia="Courier New" w:hAnsi="Courier New"/>
          <w:color w:val="24292F"/>
          <w:sz w:val="16"/>
          <w:szCs w:val="16"/>
        </w:rPr>
        <w:t xml:space="preserve">4. Atomicidad: cada oración expresa una sola idea y un solo verbo principal.</w:t>
      </w:r>
      <w:r>
        <w:br/>
      </w:r>
      <w:r>
        <w:rPr>
          <w:rFonts w:ascii="Courier New" w:cs="Courier New" w:eastAsia="Courier New" w:hAnsi="Courier New"/>
          <w:color w:val="24292F"/>
          <w:sz w:val="16"/>
          <w:szCs w:val="16"/>
        </w:rPr>
        <w:t xml:space="preserve">5. Vigencia: distinguí lo que ocurre («es/hace») de lo que no ocurre pero debiera ocurrir («debiera ser/hacer»).</w:t>
      </w:r>
      <w:r>
        <w:br/>
      </w:r>
      <w:r>
        <w:rPr>
          <w:rFonts w:ascii="Courier New" w:cs="Courier New" w:eastAsia="Courier New" w:hAnsi="Courier New"/>
          <w:color w:val="24292F"/>
          <w:sz w:val="16"/>
          <w:szCs w:val="16"/>
        </w:rPr>
        <w:t xml:space="preserve">6. No auto-referencia: ningún símbolo se menciona a sí mismo en su descripción.</w:t>
      </w:r>
      <w:r>
        <w:br/>
      </w:r>
      <w:r>
        <w:rPr>
          <w:rFonts w:ascii="Courier New" w:cs="Courier New" w:eastAsia="Courier New" w:hAnsi="Courier New"/>
          <w:color w:val="24292F"/>
          <w:sz w:val="16"/>
          <w:szCs w:val="16"/>
        </w:rPr>
        <w:t xml:space="preserve">7. Sin alucinaciones: todo hecho afirmado se sostiene en las transcripciones.</w:t>
      </w:r>
      <w:r>
        <w:br/>
      </w:r>
      <w:r>
        <w:rPr>
          <w:rFonts w:ascii="Courier New" w:cs="Courier New" w:eastAsia="Courier New" w:hAnsi="Courier New"/>
          <w:color w:val="24292F"/>
          <w:sz w:val="16"/>
          <w:szCs w:val="16"/>
        </w:rPr>
        <w:t xml:space="preserve">8. Clasificación de tipo: si el tipo asignado es incorrecto, corregilo.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Corregí en lugar de descartar, salvo que un símbolo sea claramente espurio: eliminalo.</w:t>
      </w:r>
      <w:r>
        <w:br/>
      </w:r>
      <w:r>
        <w:rPr>
          <w:rFonts w:ascii="Courier New" w:cs="Courier New" w:eastAsia="Courier New" w:hAnsi="Courier New"/>
          <w:color w:val="24292F"/>
          <w:sz w:val="16"/>
          <w:szCs w:val="16"/>
        </w:rPr>
        <w:t xml:space="preserve">- No agregues símbolos nuevos que no estén ya en el LEL borrador (ver {LEL_BORRADOR} más abajo).</w:t>
      </w:r>
      <w:r>
        <w:br/>
      </w:r>
      <w:r>
        <w:rPr>
          <w:rFonts w:ascii="Courier New" w:cs="Courier New" w:eastAsia="Courier New" w:hAnsi="Courier New"/>
          <w:color w:val="24292F"/>
          <w:sz w:val="16"/>
          <w:szCs w:val="16"/>
        </w:rPr>
        <w:t xml:space="preserve">- Mantené el mismo esquema JSON.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LEL borrador a verificar: {LEL_BORRADOR}</w:t>
      </w:r>
      <w:r>
        <w:br/>
      </w:r>
      <w:r>
        <w:rPr>
          <w:rFonts w:ascii="Courier New" w:cs="Courier New" w:eastAsia="Courier New" w:hAnsi="Courier New"/>
          <w:color w:val="24292F"/>
          <w:sz w:val="16"/>
          <w:szCs w:val="16"/>
        </w:rPr>
        <w:t xml:space="preserve">Transcripciones (fuente de verdad para detectar alucinaciones):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el LEL corregido como objeto JSON válido.</w:t>
      </w:r>
    </w:p>
    <w:p>
      <w:pPr>
        <w:pStyle w:val="Heading1"/>
        <w:keepNext/>
        <w:pageBreakBefore/>
        <w:spacing w:after="200" w:before="420"/>
      </w:pPr>
      <w:r>
        <w:t xml:space="preserve">Anexo B — Referencia de módulos del código</w:t>
      </w:r>
    </w:p>
    <w:p>
      <w:pPr>
        <w:spacing w:after="160" w:line="276"/>
        <w:jc w:val="both"/>
      </w:pPr>
      <w:r>
        <w:t xml:space="preserve">El prototipo está organizado en módulos desacoplados que comparten la representación del LEL definida en schema.py. La Tabla B.1 resume la responsabilidad de cada uno.</w:t>
      </w:r>
    </w:p>
    <w:p>
      <w:pPr>
        <w:spacing w:after="70" w:before="180"/>
        <w:jc w:val="center"/>
      </w:pPr>
      <w:r>
        <w:rPr>
          <w:color w:val="333333"/>
          <w:sz w:val="19"/>
          <w:szCs w:val="19"/>
        </w:rPr>
        <w:t xml:space="preserve">Tabla B.1. Módulos del prototipo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Módulo</w:t>
            </w:r>
          </w:p>
        </w:tc>
        <w:tc>
          <w:tcPr>
            <w:tcW w:type="dxa" w:w="66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Responsabilidad</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src/schema.py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Representación del LEL: clases Simbolo y LEL, carga/guardado en JSON, y utilidades de normalización de nombres y de extracción de tokens significativos.</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src/llm_client.py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Abstracción de proveedor de LLM (OpenAI, Anthropic, y los proveedores offline mock y echo). Selecciona la implementación según config.yaml y lee la clave de API del entorno.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src/pipeline_llm.py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Orquesta las cuatro etapas (extraer, clasificar, describir, verificar) y define las configuraciones experimentales C2a, C2b y C2c.</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src/baseline_frecuencia.py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Baseline C1a: tokeniza, extrae n-gramas de una a tres palabras, cuenta frecuencias y aplica un corte tipo Pareto; asigna un tipo tentativo con heurísticas.</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src/baseline_spacy.py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Baseline C1b: análisis lingüístico con spaCy (POS, lematización, sintagmas nominales, NER) para extraer candidatos a símbolo.</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src/evaluacion.py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Motor de evaluación determinístico: protocolo de emparejamiento contra el Gold Standard y cálculo de precisión, cobertura, F1 y exactitud de tipo.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scripts/run_*.py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Puntos de entrada por línea de comando. Aceptan --corpus y --gold para correr cualquier método sobre cualquier entrevista y evaluarlo contra cualquier referencia.</w:t>
            </w:r>
          </w:p>
        </w:tc>
      </w:tr>
    </w:tbl>
    <w:p>
      <w:pPr>
        <w:spacing w:after="120"/>
      </w:pPr>
    </w:p>
    <w:p>
      <w:pPr>
        <w:spacing w:after="160" w:line="276"/>
        <w:jc w:val="both"/>
      </w:pPr>
      <w:r>
        <w:t xml:space="preserve">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pPr>
        <w:pStyle w:val="Heading1"/>
        <w:keepNext/>
        <w:pageBreakBefore/>
        <w:spacing w:after="200" w:before="420"/>
      </w:pPr>
      <w:r>
        <w:t xml:space="preserve">Anexo C — LEL completo producido (corrida de referencia, corpus real)</w:t>
      </w:r>
    </w:p>
    <w:p>
      <w:pPr>
        <w:spacing w:after="160" w:line="276"/>
        <w:jc w:val="both"/>
      </w:pPr>
      <w:r>
        <w:t xml:space="preserve">Se transcribe el LEL completo tal como lo produjo la corrida de referencia de la Sección 7.4 (pipeline C2c, modelo: asistente, corpus real de 4 entrevistas): 19 símbolos con su noción e impacto. El archivo fuente en formato JSON está en `resultados/lel_llm_C2c_referencia.json`.</w:t>
      </w:r>
    </w:p>
    <w:p>
      <w:pPr>
        <w:pStyle w:val="Heading2"/>
        <w:keepNext/>
      </w:pPr>
      <w:r>
        <w:t xml:space="preserve">C.1 Símbolos de tipo Sujeto (8)</w:t>
      </w:r>
    </w:p>
    <w:p>
      <w:pPr>
        <w:spacing w:after="160" w:line="276"/>
        <w:jc w:val="both"/>
      </w:pPr>
      <w:r>
        <w:t xml:space="preserve">Dueño — </w:t>
      </w:r>
      <w:r>
        <w:rPr>
          <w:b/>
          <w:bCs/>
        </w:rPr>
        <w:t xml:space="preserve">Noción:</w:t>
      </w:r>
      <w:r>
        <w:t xml:space="preserve"> Es la persona a cargo de ecoFactory, la empresa que fabrica y distribuye bolsas ecológicas. </w:t>
      </w:r>
      <w:r>
        <w:rPr>
          <w:b/>
          <w:bCs/>
        </w:rPr>
        <w:t xml:space="preserve">Impacto:</w:t>
      </w:r>
      <w:r>
        <w:t xml:space="preserve"> Define los objetivos y las prioridades del proyecto de automatización. Interactúa con el Gerente Comercial para las decisiones del área comercial.</w:t>
      </w:r>
    </w:p>
    <w:p>
      <w:pPr>
        <w:spacing w:after="160" w:line="276"/>
        <w:jc w:val="both"/>
      </w:pPr>
      <w:r>
        <w:t xml:space="preserve">Gerente Comercial — </w:t>
      </w:r>
      <w:r>
        <w:rPr>
          <w:b/>
          <w:bCs/>
        </w:rPr>
        <w:t xml:space="preserve">Noción:</w:t>
      </w:r>
      <w:r>
        <w:t xml:space="preserve"> Es la persona a cargo del área comercial de ecoFactory, con dos o tres personas a cargo de la atención personalizada de Cliente Mayorista. </w:t>
      </w:r>
      <w:r>
        <w:rPr>
          <w:b/>
          <w:bCs/>
        </w:rPr>
        <w:t xml:space="preserve">Impacto:</w:t>
      </w:r>
      <w:r>
        <w:t xml:space="preserve"> Gestiona las cuentas de los Cliente Mayorista más importantes. Carga a mano en el Sistema ERP los datos de entregas cuando no coinciden con lo generado en la planilla.</w:t>
      </w:r>
    </w:p>
    <w:p>
      <w:pPr>
        <w:spacing w:after="160" w:line="276"/>
        <w:jc w:val="both"/>
      </w:pPr>
      <w:r>
        <w:rPr>
          <w:i/>
          <w:iCs/>
        </w:rPr>
        <w:t xml:space="preserve">Operario ERP</w:t>
      </w:r>
      <w:r>
        <w:t xml:space="preserve"> — </w:t>
      </w:r>
      <w:r>
        <w:rPr>
          <w:b/>
          <w:bCs/>
        </w:rPr>
        <w:t xml:space="preserve">Noción:</w:t>
      </w:r>
      <w:r>
        <w:t xml:space="preserve"> Es la persona que opera el Sistema ERP en las tareas administrativas diarias de ecoFactory. </w:t>
      </w:r>
      <w:r>
        <w:rPr>
          <w:b/>
          <w:bCs/>
        </w:rPr>
        <w:t xml:space="preserve">Impacto:</w:t>
      </w:r>
      <w:r>
        <w:t xml:space="preserve"> Carga Pedido, Remito y Factura en el Sistema ERP. Genera informes sobre Pedido, Remito y Facturación.</w:t>
      </w:r>
    </w:p>
    <w:p>
      <w:pPr>
        <w:spacing w:after="160" w:line="276"/>
        <w:jc w:val="both"/>
      </w:pPr>
      <w:r>
        <w:t xml:space="preserve">Responsable ERP — </w:t>
      </w:r>
      <w:r>
        <w:rPr>
          <w:b/>
          <w:bCs/>
        </w:rPr>
        <w:t xml:space="preserve">Noción:</w:t>
      </w:r>
      <w:r>
        <w:t xml:space="preserve"> Es la persona de la empresa proveedora del Sistema ERP, externa a ecoFactory, que brinda soporte funcional y comercial del sistema. </w:t>
      </w:r>
      <w:r>
        <w:rPr>
          <w:b/>
          <w:bCs/>
        </w:rPr>
        <w:t xml:space="preserve">Impacto:</w:t>
      </w:r>
      <w:r>
        <w:t xml:space="preserve"> Explica los módulos disponibles del Sistema ERP y su forma de Integración. Provee usuarios, contraseñas y llaves de seguridad para los distintos módulos del Sistema ERP.</w:t>
      </w:r>
    </w:p>
    <w:p>
      <w:pPr>
        <w:spacing w:after="160" w:line="276"/>
        <w:jc w:val="both"/>
      </w:pPr>
      <w:r>
        <w:t xml:space="preserve">Sistema ERP — </w:t>
      </w:r>
      <w:r>
        <w:rPr>
          <w:b/>
          <w:bCs/>
        </w:rPr>
        <w:t xml:space="preserve">Noción:</w:t>
      </w:r>
      <w:r>
        <w:t xml:space="preserve"> Es el sistema de gestión administrativa que usa ecoFactory, provisto por una empresa externa. Está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Cliente</w:t>
      </w:r>
      <w:r>
        <w:t xml:space="preserve"> — </w:t>
      </w:r>
      <w:r>
        <w:rPr>
          <w:b/>
          <w:bCs/>
        </w:rPr>
        <w:t xml:space="preserve">Noción:</w:t>
      </w:r>
      <w:r>
        <w:t xml:space="preserve"> Es la persona u organización que le compra Bolsa Ecológica a ecoFactory. </w:t>
      </w:r>
      <w:r>
        <w:rPr>
          <w:b/>
          <w:bCs/>
        </w:rPr>
        <w:t xml:space="preserve">Impacto:</w:t>
      </w:r>
      <w:r>
        <w:t xml:space="preserve"> Genera un Pedido. Recibe Factura y Remito de ecoFactory.</w:t>
      </w:r>
    </w:p>
    <w:p>
      <w:pPr>
        <w:spacing w:after="160" w:line="276"/>
        <w:jc w:val="both"/>
      </w:pPr>
      <w:r>
        <w:t xml:space="preserve">Cliente Mayorista — </w:t>
      </w:r>
      <w:r>
        <w:rPr>
          <w:b/>
          <w:bCs/>
        </w:rPr>
        <w:t xml:space="preserve">Noción:</w:t>
      </w:r>
      <w:r>
        <w:t xml:space="preserve"> Es un tipo de Cliente que le compra a ecoFactory en cantidad (miles de unidades por tirada), como cadenas de supermercados. </w:t>
      </w:r>
      <w:r>
        <w:rPr>
          <w:b/>
          <w:bCs/>
        </w:rPr>
        <w:t xml:space="preserve">Impacto:</w:t>
      </w:r>
      <w:r>
        <w:t xml:space="preserve"> Es atendido de forma personalizada por el Gerente Comercial. Genera aproximadamente entre 800 y 1000 Pedido por semana entre todos los Cliente Mayorista.</w:t>
      </w:r>
    </w:p>
    <w:p>
      <w:pPr>
        <w:spacing w:after="160" w:line="276"/>
        <w:jc w:val="both"/>
      </w:pPr>
      <w:r>
        <w:rPr>
          <w:i/>
          <w:iCs/>
        </w:rPr>
        <w:t xml:space="preserve">AFIP</w:t>
      </w:r>
      <w:r>
        <w:t xml:space="preserve"> — </w:t>
      </w:r>
      <w:r>
        <w:rPr>
          <w:b/>
          <w:bCs/>
        </w:rPr>
        <w:t xml:space="preserve">Noción:</w:t>
      </w:r>
      <w:r>
        <w:t xml:space="preserve"> Es el organismo externo con el que el Sistema ERP mantiene una integración formal para la Facturación. </w:t>
      </w:r>
      <w:r>
        <w:rPr>
          <w:b/>
          <w:bCs/>
        </w:rPr>
        <w:t xml:space="preserve">Impacto:</w:t>
      </w:r>
      <w:r>
        <w:t xml:space="preserve"> Restringe la posibilidad de modificar una Factura ya emitida.</w:t>
      </w:r>
    </w:p>
    <w:p>
      <w:pPr>
        <w:pStyle w:val="Heading2"/>
        <w:keepNext/>
      </w:pPr>
      <w:r>
        <w:t xml:space="preserve">C.2 Símbolos de tipo Objeto (8)</w:t>
      </w:r>
    </w:p>
    <w:p>
      <w:pPr>
        <w:spacing w:after="160" w:line="276"/>
        <w:jc w:val="both"/>
      </w:pPr>
      <w:r>
        <w:rPr>
          <w:i/>
          <w:iCs/>
        </w:rPr>
        <w:t xml:space="preserve">Bolsa Ecológica</w:t>
      </w:r>
      <w:r>
        <w:t xml:space="preserve"> — </w:t>
      </w:r>
      <w:r>
        <w:rPr>
          <w:b/>
          <w:bCs/>
        </w:rPr>
        <w:t xml:space="preserve">Noción:</w:t>
      </w:r>
      <w:r>
        <w:t xml:space="preserve"> Es el producto que fabrica y distribuye ecoFactory, en distintos tipos. </w:t>
      </w:r>
      <w:r>
        <w:rPr>
          <w:b/>
          <w:bCs/>
        </w:rPr>
        <w:t xml:space="preserve">Impacto:</w:t>
      </w:r>
      <w:r>
        <w:t xml:space="preserve"> Es incluida en un Pedido por el Cliente. Se fabrica en tiradas de 1000, 2000 o 4000 unidades.</w:t>
      </w:r>
    </w:p>
    <w:p>
      <w:pPr>
        <w:spacing w:after="160" w:line="276"/>
        <w:jc w:val="both"/>
      </w:pPr>
      <w:r>
        <w:rPr>
          <w:i/>
          <w:iCs/>
        </w:rPr>
        <w:t xml:space="preserve">Pedido</w:t>
      </w:r>
      <w:r>
        <w:t xml:space="preserve"> — </w:t>
      </w:r>
      <w:r>
        <w:rPr>
          <w:b/>
          <w:bCs/>
        </w:rPr>
        <w:t xml:space="preserve">Noción:</w:t>
      </w:r>
      <w:r>
        <w:t xml:space="preserve"> Es la solicitud de Bolsa Ecológica que un Cliente realiza a ecoFactory. </w:t>
      </w:r>
      <w:r>
        <w:rPr>
          <w:b/>
          <w:bCs/>
        </w:rPr>
        <w:t xml:space="preserve">Impacto:</w:t>
      </w:r>
      <w:r>
        <w:t xml:space="preserve"> Es cargado por el Operario ERP en el Sistema ERP. Debe corresponderse con el Remito y con la Factura emitida. Es agrupado una vez por día para su gestión.</w:t>
      </w:r>
    </w:p>
    <w:p>
      <w:pPr>
        <w:spacing w:after="160" w:line="276"/>
        <w:jc w:val="both"/>
      </w:pPr>
      <w:r>
        <w:t xml:space="preserve">Remito —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con el Pedido, obliga a depurar la diferencia a mano.</w:t>
      </w:r>
    </w:p>
    <w:p>
      <w:pPr>
        <w:spacing w:after="160" w:line="276"/>
        <w:jc w:val="both"/>
      </w:pPr>
      <w:r>
        <w:rPr>
          <w:i/>
          <w:iCs/>
        </w:rPr>
        <w:t xml:space="preserve">Factura</w:t>
      </w:r>
      <w:r>
        <w:t xml:space="preserve"> — </w:t>
      </w:r>
      <w:r>
        <w:rPr>
          <w:b/>
          <w:bCs/>
        </w:rPr>
        <w:t xml:space="preserve">Noción:</w:t>
      </w:r>
      <w:r>
        <w:t xml:space="preserve"> Es el comprobante fiscal que ecoFactory emite a un Cliente por un Pedido, de tipo A, B o C. </w:t>
      </w:r>
      <w:r>
        <w:rPr>
          <w:b/>
          <w:bCs/>
        </w:rPr>
        <w:t xml:space="preserve">Impacto:</w:t>
      </w:r>
      <w:r>
        <w:t xml:space="preserve"> Debe corresponderse con el Pedido y con el Remito. No puede modificarse fácilmente una vez emitida, por la integración con AFIP. Puede enviarse al Cliente por mail o por el canal que se elija.</w:t>
      </w:r>
    </w:p>
    <w:p>
      <w:pPr>
        <w:spacing w:after="160" w:line="276"/>
        <w:jc w:val="both"/>
      </w:pPr>
      <w:r>
        <w:rPr>
          <w:i/>
          <w:iCs/>
        </w:rPr>
        <w:t xml:space="preserve">Depósito</w:t>
      </w:r>
      <w:r>
        <w:t xml:space="preserve"> — </w:t>
      </w:r>
      <w:r>
        <w:rPr>
          <w:b/>
          <w:bCs/>
        </w:rPr>
        <w:t xml:space="preserve">Noción:</w:t>
      </w:r>
      <w:r>
        <w:t xml:space="preserve"> Es el lugar físico en la provincia de Buenos Aires donde ecoFactory almacena la Bolsa Ecológica antes de su entrega. </w:t>
      </w:r>
      <w:r>
        <w:rPr>
          <w:b/>
          <w:bCs/>
        </w:rPr>
        <w:t xml:space="preserve">Impacto:</w:t>
      </w:r>
      <w:r>
        <w:t xml:space="preserve"> Recibe por mail la indicación de qué Pedido enviar. Genera errores de entrega cuando la comunicación por mail y planillas falla.</w:t>
      </w:r>
    </w:p>
    <w:p>
      <w:pPr>
        <w:spacing w:after="160" w:line="276"/>
        <w:jc w:val="both"/>
      </w:pPr>
      <w:r>
        <w:rPr>
          <w:i/>
          <w:iCs/>
        </w:rPr>
        <w:t xml:space="preserve">Stock</w:t>
      </w:r>
      <w:r>
        <w:t xml:space="preserve"> — </w:t>
      </w:r>
      <w:r>
        <w:rPr>
          <w:b/>
          <w:bCs/>
        </w:rPr>
        <w:t xml:space="preserve">Noción:</w:t>
      </w:r>
      <w:r>
        <w:t xml:space="preserve"> Es la cantidad disponible de Bolsa Ecológica registrada en el Sistema ERP. </w:t>
      </w:r>
      <w:r>
        <w:rPr>
          <w:b/>
          <w:bCs/>
        </w:rPr>
        <w:t xml:space="preserve">Impacto:</w:t>
      </w:r>
      <w:r>
        <w:t xml:space="preserve"> Se actualiza mediante altas, bajas y modificaciones registradas por el Operario ERP.</w:t>
      </w:r>
    </w:p>
    <w:p>
      <w:pPr>
        <w:spacing w:after="160" w:line="276"/>
        <w:jc w:val="both"/>
      </w:pPr>
      <w:r>
        <w:rPr>
          <w:i/>
          <w:iCs/>
        </w:rPr>
        <w:t xml:space="preserve">Base de Datos</w:t>
      </w:r>
      <w:r>
        <w:t xml:space="preserve"> — </w:t>
      </w:r>
      <w:r>
        <w:rPr>
          <w:b/>
          <w:bCs/>
        </w:rPr>
        <w:t xml:space="preserve">Noción:</w:t>
      </w:r>
      <w:r>
        <w:t xml:space="preserve"> Es el repositorio de datos del Sistema ERP, no accedido directamente por el personal de ecoFactory. </w:t>
      </w:r>
      <w:r>
        <w:rPr>
          <w:b/>
          <w:bCs/>
        </w:rPr>
        <w:t xml:space="preserve">Impacto:</w:t>
      </w:r>
      <w:r>
        <w:t xml:space="preserve"> Es resguardada mediante Backup una vez por día y una vez por semana por un servicio técnico externo.</w:t>
      </w:r>
    </w:p>
    <w:p>
      <w:pPr>
        <w:spacing w:after="160" w:line="276"/>
        <w:jc w:val="both"/>
      </w:pPr>
      <w:r>
        <w:rPr>
          <w:i/>
          <w:iCs/>
        </w:rPr>
        <w:t xml:space="preserve">Backup</w:t>
      </w:r>
      <w:r>
        <w:t xml:space="preserve"> — </w:t>
      </w:r>
      <w:r>
        <w:rPr>
          <w:b/>
          <w:bCs/>
        </w:rPr>
        <w:t xml:space="preserve">Noción:</w:t>
      </w:r>
      <w:r>
        <w:t xml:space="preserve"> Es la copia de resguardo de la Base de Datos del Sistema ERP. </w:t>
      </w:r>
      <w:r>
        <w:rPr>
          <w:b/>
          <w:bCs/>
        </w:rPr>
        <w:t xml:space="preserve">Impacto:</w:t>
      </w:r>
      <w:r>
        <w:t xml:space="preserve"> Es realizada por un técnico en informática contratado a terceros, con una frecuencia diaria y semanal.</w:t>
      </w:r>
    </w:p>
    <w:p>
      <w:pPr>
        <w:pStyle w:val="Heading2"/>
        <w:keepNext/>
      </w:pPr>
      <w:r>
        <w:t xml:space="preserve">C.3 Símbolos de tipo Verbo (3)</w:t>
      </w:r>
    </w:p>
    <w:p>
      <w:pPr>
        <w:spacing w:after="160" w:line="276"/>
        <w:jc w:val="both"/>
      </w:pPr>
      <w:r>
        <w:t xml:space="preserve">Facturación — </w:t>
      </w:r>
      <w:r>
        <w:rPr>
          <w:b/>
          <w:bCs/>
        </w:rPr>
        <w:t xml:space="preserve">Noción:</w:t>
      </w:r>
      <w:r>
        <w:t xml:space="preserve"> Es la actividad de emitir una Factura a partir de un Pedido, a cargo del Operario ERP. </w:t>
      </w:r>
      <w:r>
        <w:rPr>
          <w:b/>
          <w:bCs/>
        </w:rPr>
        <w:t xml:space="preserve">Impacto:</w:t>
      </w:r>
      <w:r>
        <w:t xml:space="preserve"> Se realiza en la práctica de forma manual, entrando al Sistema ERP y cargando cada dato. Genera problemas cuando el Pedido o el Remito no coinciden con lo facturado.</w:t>
      </w:r>
    </w:p>
    <w:p>
      <w:pPr>
        <w:spacing w:after="160" w:line="276"/>
        <w:jc w:val="both"/>
      </w:pPr>
      <w:r>
        <w:rPr>
          <w:i/>
          <w:iCs/>
        </w:rPr>
        <w:t xml:space="preserve">Automatizar</w:t>
      </w:r>
      <w:r>
        <w:t xml:space="preserve"> — </w:t>
      </w:r>
      <w:r>
        <w:rPr>
          <w:b/>
          <w:bCs/>
        </w:rPr>
        <w:t xml:space="preserve">Noción:</w:t>
      </w:r>
      <w:r>
        <w:t xml:space="preserve"> Es la acción que busca el Dueño para reducir el trabajo manual en la gestión de Pedido, Remito y Facturación. </w:t>
      </w:r>
      <w:r>
        <w:rPr>
          <w:b/>
          <w:bCs/>
        </w:rPr>
        <w:t xml:space="preserve">Impacto:</w:t>
      </w:r>
      <w:r>
        <w:t xml:space="preserve"> No reemplaza al Sistema ERP; se realiza integrando o comunicando con él. Debe gestionarse con el Responsable ERP cuando implica modificaciones al Sistema ERP.</w:t>
      </w:r>
    </w:p>
    <w:p>
      <w:pPr>
        <w:spacing w:after="160" w:line="276"/>
        <w:jc w:val="both"/>
      </w:pPr>
      <w:r>
        <w:rPr>
          <w:i/>
          <w:iCs/>
        </w:rPr>
        <w:t xml:space="preserve">Integración</w:t>
      </w:r>
      <w:r>
        <w:t xml:space="preserve"> — </w:t>
      </w:r>
      <w:r>
        <w:rPr>
          <w:b/>
          <w:bCs/>
        </w:rPr>
        <w:t xml:space="preserve">Noción:</w:t>
      </w:r>
      <w:r>
        <w:t xml:space="preserve"> Es la acción de conectar el Sistema ERP con software externo mediante una API u otra tecnología estándar de mercado. </w:t>
      </w:r>
      <w:r>
        <w:rPr>
          <w:b/>
          <w:bCs/>
        </w:rPr>
        <w:t xml:space="preserve">Impacto:</w:t>
      </w:r>
      <w:r>
        <w:t xml:space="preserve"> Es ofrecida por el Responsable ERP a los clientes del proveedor del Sistema ERP. Ya existe, por ejemplo, con puntos de venta de terceros.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abstractNum w:abstractNumId="5"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a4a6a2ced8497784299df9eec19e65a8fab2a9.png"/><Relationship Id="rId9" Type="http://schemas.openxmlformats.org/officeDocument/2006/relationships/image" Target="media/c6b5b1b3aec2ed8b9505e3c3293a3b7c42356327.png"/><Relationship Id="rId10" Type="http://schemas.openxmlformats.org/officeDocument/2006/relationships/image" Target="media/94b3336a2011d96aac2a6b2aa156e137ae3e20d8.png"/><Relationship Id="rId11" Type="http://schemas.openxmlformats.org/officeDocument/2006/relationships/image" Target="media/38fcbc0d909392f6e7bb090cec7c3248c3aacf2e.png"/><Relationship Id="rId12" Type="http://schemas.openxmlformats.org/officeDocument/2006/relationships/image" Target="media/4165ee2ed5a9b776d6b7d822b1e323bb1481bae1.png"/><Relationship Id="rId13" Type="http://schemas.openxmlformats.org/officeDocument/2006/relationships/image" Target="media/2ad5bc4259a347d84a40b54872da64b41dd4fde1.png"/><Relationship Id="rId14" Type="http://schemas.openxmlformats.org/officeDocument/2006/relationships/image" Target="media/cefe5874707cb73f191aaed798eaa702a45faaaa.png"/><Relationship Id="rId15" Type="http://schemas.openxmlformats.org/officeDocument/2006/relationships/image" Target="media/bdbe836052c4294b1fbb7bb7fa652c5283741d7a.png"/><Relationship Id="rId16" Type="http://schemas.openxmlformats.org/officeDocument/2006/relationships/image" Target="media/30584fd05a5289e59f4ac56114ea857ed86ce979.png"/><Relationship Id="rId17" Type="http://schemas.openxmlformats.org/officeDocument/2006/relationships/image" Target="media/322a909739b705a4a358bc02aa84955720c65595.png"/><Relationship Id="rId18" Type="http://schemas.openxmlformats.org/officeDocument/2006/relationships/image" Target="media/af662ffd589d12504e4fea29fb84a7cd545a9c29.png"/><Relationship Id="rId19" Type="http://schemas.openxmlformats.org/officeDocument/2006/relationships/image" Target="media/fdfbf927662ece609d64c41e30ece05826a84be3.png"/><Relationship Id="rId20" Type="http://schemas.openxmlformats.org/officeDocument/2006/relationships/image" Target="media/29ff1456c77fb37c7d4ebf69e3338e69c596dd24.png"/><Relationship Id="rId21" Type="http://schemas.openxmlformats.org/officeDocument/2006/relationships/image" Target="media/7fea9bc94e3ca24f39618ad6b7f89f5c715de2e3.png"/><Relationship Id="rId22" Type="http://schemas.openxmlformats.org/officeDocument/2006/relationships/image" Target="media/0f6fa02a12d0ca0149a49809df526cb6bb122cd6.png"/><Relationship Id="rId23" Type="http://schemas.openxmlformats.org/officeDocument/2006/relationships/image" Target="media/030df666eba9130e0dac812d95e67f04995a923c.png"/><Relationship Id="rId24" Type="http://schemas.openxmlformats.org/officeDocument/2006/relationships/image" Target="media/f0806b395f43a6cb18cc4cdb251e23f784e1eed5.png"/><Relationship Id="rId25" Type="http://schemas.openxmlformats.org/officeDocument/2006/relationships/image" Target="media/18592882d01991c2147d12f8ec80226faa877cf6.png"/><Relationship Id="rId26" Type="http://schemas.openxmlformats.org/officeDocument/2006/relationships/image" Target="media/d87b458a07f614636b8427c7918b4fa2fbac9e28.png"/><Relationship Id="rId27" Type="http://schemas.openxmlformats.org/officeDocument/2006/relationships/image" Target="media/ff9a4c37fd7bbef54e38c93fb66a809fd288d699.png"/><Relationship Id="rId28" Type="http://schemas.openxmlformats.org/officeDocument/2006/relationships/image" Target="media/9c6ad1d6fb5d11919f89cc777d4e597b65c2297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2026-07-25T15:34:00.210Z</dcterms:created>
  <dcterms:modified xsi:type="dcterms:W3CDTF">2026-07-25T15:34:00.211Z</dcterms:modified>
</cp:coreProperties>
</file>

<file path=docProps/custom.xml><?xml version="1.0" encoding="utf-8"?>
<Properties xmlns="http://schemas.openxmlformats.org/officeDocument/2006/custom-properties" xmlns:vt="http://schemas.openxmlformats.org/officeDocument/2006/docPropsVTypes"/>
</file>