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A2D22" w14:textId="77777777" w:rsidR="00567365" w:rsidRDefault="00567365" w:rsidP="00567365">
      <w:pPr>
        <w:jc w:val="center"/>
        <w:rPr>
          <w:sz w:val="44"/>
          <w:szCs w:val="44"/>
          <w:lang w:val="en-US"/>
        </w:rPr>
      </w:pPr>
    </w:p>
    <w:p w14:paraId="1CD235DB" w14:textId="77777777" w:rsidR="00567365" w:rsidRDefault="00567365" w:rsidP="00567365">
      <w:pPr>
        <w:jc w:val="center"/>
        <w:rPr>
          <w:sz w:val="44"/>
          <w:szCs w:val="44"/>
          <w:lang w:val="en-US"/>
        </w:rPr>
      </w:pPr>
    </w:p>
    <w:p w14:paraId="19DB34EF" w14:textId="77777777" w:rsidR="00567365" w:rsidRDefault="00567365" w:rsidP="00567365">
      <w:pPr>
        <w:jc w:val="center"/>
        <w:rPr>
          <w:sz w:val="44"/>
          <w:szCs w:val="44"/>
          <w:lang w:val="en-US"/>
        </w:rPr>
      </w:pPr>
    </w:p>
    <w:p w14:paraId="2198D810" w14:textId="77777777" w:rsidR="00567365" w:rsidRDefault="00567365" w:rsidP="00567365">
      <w:pPr>
        <w:jc w:val="center"/>
        <w:rPr>
          <w:sz w:val="44"/>
          <w:szCs w:val="44"/>
          <w:lang w:val="en-US"/>
        </w:rPr>
      </w:pPr>
    </w:p>
    <w:p w14:paraId="124A0170" w14:textId="7AB0FA8D" w:rsidR="00567365" w:rsidRDefault="00567365" w:rsidP="00567365">
      <w:pPr>
        <w:jc w:val="center"/>
        <w:rPr>
          <w:sz w:val="44"/>
          <w:szCs w:val="44"/>
          <w:lang w:val="en-US"/>
        </w:rPr>
      </w:pPr>
    </w:p>
    <w:p w14:paraId="3DFAC653" w14:textId="166ABF0E" w:rsidR="00567365" w:rsidRDefault="00567365" w:rsidP="00567365">
      <w:pPr>
        <w:rPr>
          <w:sz w:val="44"/>
          <w:szCs w:val="44"/>
          <w:lang w:val="en-US"/>
        </w:rPr>
      </w:pPr>
    </w:p>
    <w:p w14:paraId="140FCD4D" w14:textId="0444886B" w:rsidR="00B7657A" w:rsidRPr="00567365" w:rsidRDefault="00567365" w:rsidP="00567365">
      <w:pPr>
        <w:jc w:val="center"/>
        <w:rPr>
          <w:noProof/>
          <w:sz w:val="28"/>
          <w:szCs w:val="28"/>
        </w:rPr>
      </w:pPr>
      <w:r w:rsidRPr="00567365">
        <w:rPr>
          <w:noProof/>
          <w:sz w:val="52"/>
          <w:szCs w:val="52"/>
          <w:lang w:val="en-US"/>
        </w:rPr>
        <w:drawing>
          <wp:anchor distT="0" distB="0" distL="114300" distR="114300" simplePos="0" relativeHeight="251658240" behindDoc="0" locked="0" layoutInCell="1" allowOverlap="1" wp14:anchorId="63E4EF33" wp14:editId="6483E2CF">
            <wp:simplePos x="0" y="0"/>
            <wp:positionH relativeFrom="column">
              <wp:posOffset>1353820</wp:posOffset>
            </wp:positionH>
            <wp:positionV relativeFrom="paragraph">
              <wp:posOffset>4352233</wp:posOffset>
            </wp:positionV>
            <wp:extent cx="3267941" cy="1184037"/>
            <wp:effectExtent l="0" t="0" r="0" b="0"/>
            <wp:wrapNone/>
            <wp:docPr id="709903337" name="Graphic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903337" name="Graphic 70990333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7941" cy="1184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7365">
        <w:rPr>
          <w:sz w:val="52"/>
          <w:szCs w:val="52"/>
          <w:lang w:val="en-US"/>
        </w:rPr>
        <w:t>WAGO IESSB Documentation</w:t>
      </w:r>
    </w:p>
    <w:sectPr w:rsidR="00B7657A" w:rsidRPr="00567365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365"/>
    <w:rsid w:val="002209C7"/>
    <w:rsid w:val="00514D52"/>
    <w:rsid w:val="00567365"/>
    <w:rsid w:val="00B7657A"/>
    <w:rsid w:val="00D3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CED1A"/>
  <w15:chartTrackingRefBased/>
  <w15:docId w15:val="{B34976FB-6936-4B27-90B3-026737482B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3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73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73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73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73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73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73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73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73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73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73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73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73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73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73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73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73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73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73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73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73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73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73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73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73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73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73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73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73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MEYER</dc:creator>
  <cp:keywords/>
  <dc:description/>
  <cp:lastModifiedBy>Martin MEYER</cp:lastModifiedBy>
  <cp:revision>1</cp:revision>
  <dcterms:created xsi:type="dcterms:W3CDTF">2024-03-08T11:20:00Z</dcterms:created>
  <dcterms:modified xsi:type="dcterms:W3CDTF">2024-03-08T11:27:00Z</dcterms:modified>
</cp:coreProperties>
</file>