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7568452"/>
        <w:docPartObj>
          <w:docPartGallery w:val="Cover Pages"/>
          <w:docPartUnique/>
        </w:docPartObj>
      </w:sdtPr>
      <w:sdtEndPr>
        <w:rPr>
          <w:b/>
          <w:bCs/>
        </w:rPr>
      </w:sdtEndPr>
      <w:sdtContent>
        <w:p w14:paraId="4D83D8B5" w14:textId="775D3E77" w:rsidR="007A6ECD" w:rsidRDefault="007A6ECD">
          <w:r>
            <w:rPr>
              <w:noProof/>
            </w:rPr>
            <mc:AlternateContent>
              <mc:Choice Requires="wpg">
                <w:drawing>
                  <wp:anchor distT="0" distB="0" distL="114300" distR="114300" simplePos="0" relativeHeight="251659264" behindDoc="1" locked="0" layoutInCell="1" allowOverlap="1" wp14:anchorId="561D775D" wp14:editId="4378FBEF">
                    <wp:simplePos x="0" y="0"/>
                    <wp:positionH relativeFrom="page">
                      <wp:align>center</wp:align>
                    </wp:positionH>
                    <wp:positionV relativeFrom="page">
                      <wp:align>center</wp:align>
                    </wp:positionV>
                    <wp:extent cx="6864824" cy="9123528"/>
                    <wp:effectExtent l="0" t="0" r="2540" b="635"/>
                    <wp:wrapNone/>
                    <wp:docPr id="193" name="Groep 186"/>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45DD7C" w14:textId="3A6BC737" w:rsidR="007A6ECD" w:rsidRDefault="007A6ECD">
                                      <w:pPr>
                                        <w:pStyle w:val="Geenafstand"/>
                                        <w:spacing w:before="120"/>
                                        <w:jc w:val="center"/>
                                        <w:rPr>
                                          <w:color w:val="FFFFFF" w:themeColor="background1"/>
                                        </w:rPr>
                                      </w:pPr>
                                      <w:r>
                                        <w:rPr>
                                          <w:color w:val="FFFFFF" w:themeColor="background1"/>
                                        </w:rPr>
                                        <w:t>SCRUM 5</w:t>
                                      </w:r>
                                    </w:p>
                                  </w:sdtContent>
                                </w:sdt>
                                <w:p w14:paraId="5C4EBEEE" w14:textId="26F53978" w:rsidR="007A6ECD" w:rsidRDefault="007A6ECD">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FONTYS</w:t>
                                      </w:r>
                                    </w:sdtContent>
                                  </w:sdt>
                                  <w:r>
                                    <w:rPr>
                                      <w:color w:val="FFFFFF" w:themeColor="background1"/>
                                      <w:lang w:val="nl-NL"/>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SEM3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C9D66D5" w14:textId="5312F20D" w:rsidR="007A6ECD" w:rsidRDefault="007A6ECD">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Financial Operation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1D775D" id="Groep 186"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45DD7C" w14:textId="3A6BC737" w:rsidR="007A6ECD" w:rsidRDefault="007A6ECD">
                                <w:pPr>
                                  <w:pStyle w:val="Geenafstand"/>
                                  <w:spacing w:before="120"/>
                                  <w:jc w:val="center"/>
                                  <w:rPr>
                                    <w:color w:val="FFFFFF" w:themeColor="background1"/>
                                  </w:rPr>
                                </w:pPr>
                                <w:r>
                                  <w:rPr>
                                    <w:color w:val="FFFFFF" w:themeColor="background1"/>
                                  </w:rPr>
                                  <w:t>SCRUM 5</w:t>
                                </w:r>
                              </w:p>
                            </w:sdtContent>
                          </w:sdt>
                          <w:p w14:paraId="5C4EBEEE" w14:textId="26F53978" w:rsidR="007A6ECD" w:rsidRDefault="007A6ECD">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FONTYS</w:t>
                                </w:r>
                              </w:sdtContent>
                            </w:sdt>
                            <w:r>
                              <w:rPr>
                                <w:color w:val="FFFFFF" w:themeColor="background1"/>
                                <w:lang w:val="nl-NL"/>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SEM3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0C9D66D5" w14:textId="5312F20D" w:rsidR="007A6ECD" w:rsidRDefault="007A6ECD">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Financial Operation</w:t>
                                </w:r>
                              </w:p>
                            </w:sdtContent>
                          </w:sdt>
                        </w:txbxContent>
                      </v:textbox>
                    </v:shape>
                    <w10:wrap anchorx="page" anchory="page"/>
                  </v:group>
                </w:pict>
              </mc:Fallback>
            </mc:AlternateContent>
          </w:r>
        </w:p>
        <w:p w14:paraId="278B81BD" w14:textId="10A96628" w:rsidR="007A6ECD" w:rsidRDefault="007A6ECD">
          <w:pPr>
            <w:rPr>
              <w:b/>
              <w:bCs/>
            </w:rPr>
          </w:pPr>
          <w:r>
            <w:rPr>
              <w:b/>
              <w:bCs/>
            </w:rPr>
            <w:br w:type="page"/>
          </w:r>
        </w:p>
      </w:sdtContent>
    </w:sdt>
    <w:sdt>
      <w:sdtPr>
        <w:rPr>
          <w:lang w:val="nl-NL"/>
        </w:rPr>
        <w:id w:val="-192463812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3C8BE58" w14:textId="42614E6A" w:rsidR="007A6ECD" w:rsidRDefault="001C59D6">
          <w:pPr>
            <w:pStyle w:val="Kopvaninhoudsopgave"/>
          </w:pPr>
          <w:r>
            <w:rPr>
              <w:lang w:val="nl-NL"/>
            </w:rPr>
            <w:t>Content</w:t>
          </w:r>
        </w:p>
        <w:p w14:paraId="17B5A4F8" w14:textId="171293E2" w:rsidR="001C59D6" w:rsidRDefault="007A6ECD">
          <w:pPr>
            <w:pStyle w:val="Inhopg2"/>
            <w:rPr>
              <w:rFonts w:eastAsiaTheme="minorEastAsia"/>
              <w:noProof/>
              <w:lang w:eastAsia="en-GB"/>
            </w:rPr>
          </w:pPr>
          <w:r>
            <w:fldChar w:fldCharType="begin"/>
          </w:r>
          <w:r>
            <w:instrText xml:space="preserve"> TOC \o "1-3" \h \z \u </w:instrText>
          </w:r>
          <w:r>
            <w:fldChar w:fldCharType="separate"/>
          </w:r>
          <w:hyperlink w:anchor="_Toc187868771" w:history="1">
            <w:r w:rsidR="001C59D6" w:rsidRPr="00E14479">
              <w:rPr>
                <w:rStyle w:val="Hyperlink"/>
                <w:noProof/>
              </w:rPr>
              <w:t>Summary Costs</w:t>
            </w:r>
            <w:r w:rsidR="001C59D6">
              <w:rPr>
                <w:noProof/>
                <w:webHidden/>
              </w:rPr>
              <w:tab/>
            </w:r>
            <w:r w:rsidR="001C59D6">
              <w:rPr>
                <w:noProof/>
                <w:webHidden/>
              </w:rPr>
              <w:fldChar w:fldCharType="begin"/>
            </w:r>
            <w:r w:rsidR="001C59D6">
              <w:rPr>
                <w:noProof/>
                <w:webHidden/>
              </w:rPr>
              <w:instrText xml:space="preserve"> PAGEREF _Toc187868771 \h </w:instrText>
            </w:r>
            <w:r w:rsidR="001C59D6">
              <w:rPr>
                <w:noProof/>
                <w:webHidden/>
              </w:rPr>
            </w:r>
            <w:r w:rsidR="001C59D6">
              <w:rPr>
                <w:noProof/>
                <w:webHidden/>
              </w:rPr>
              <w:fldChar w:fldCharType="separate"/>
            </w:r>
            <w:r w:rsidR="001C59D6">
              <w:rPr>
                <w:noProof/>
                <w:webHidden/>
              </w:rPr>
              <w:t>1</w:t>
            </w:r>
            <w:r w:rsidR="001C59D6">
              <w:rPr>
                <w:noProof/>
                <w:webHidden/>
              </w:rPr>
              <w:fldChar w:fldCharType="end"/>
            </w:r>
          </w:hyperlink>
        </w:p>
        <w:p w14:paraId="2E867697" w14:textId="1F4FF3B7" w:rsidR="001C59D6" w:rsidRDefault="001C59D6">
          <w:pPr>
            <w:pStyle w:val="Inhopg2"/>
            <w:rPr>
              <w:rFonts w:eastAsiaTheme="minorEastAsia"/>
              <w:noProof/>
              <w:lang w:eastAsia="en-GB"/>
            </w:rPr>
          </w:pPr>
          <w:hyperlink w:anchor="_Toc187868772" w:history="1">
            <w:r w:rsidRPr="00E14479">
              <w:rPr>
                <w:rStyle w:val="Hyperlink"/>
                <w:noProof/>
              </w:rPr>
              <w:t>Summary Metrics</w:t>
            </w:r>
            <w:r>
              <w:rPr>
                <w:noProof/>
                <w:webHidden/>
              </w:rPr>
              <w:tab/>
            </w:r>
            <w:r>
              <w:rPr>
                <w:noProof/>
                <w:webHidden/>
              </w:rPr>
              <w:fldChar w:fldCharType="begin"/>
            </w:r>
            <w:r>
              <w:rPr>
                <w:noProof/>
                <w:webHidden/>
              </w:rPr>
              <w:instrText xml:space="preserve"> PAGEREF _Toc187868772 \h </w:instrText>
            </w:r>
            <w:r>
              <w:rPr>
                <w:noProof/>
                <w:webHidden/>
              </w:rPr>
            </w:r>
            <w:r>
              <w:rPr>
                <w:noProof/>
                <w:webHidden/>
              </w:rPr>
              <w:fldChar w:fldCharType="separate"/>
            </w:r>
            <w:r>
              <w:rPr>
                <w:noProof/>
                <w:webHidden/>
              </w:rPr>
              <w:t>1</w:t>
            </w:r>
            <w:r>
              <w:rPr>
                <w:noProof/>
                <w:webHidden/>
              </w:rPr>
              <w:fldChar w:fldCharType="end"/>
            </w:r>
          </w:hyperlink>
        </w:p>
        <w:p w14:paraId="7780570B" w14:textId="14E66851" w:rsidR="001C59D6" w:rsidRDefault="001C59D6">
          <w:pPr>
            <w:pStyle w:val="Inhopg2"/>
            <w:rPr>
              <w:rFonts w:eastAsiaTheme="minorEastAsia"/>
              <w:noProof/>
              <w:lang w:eastAsia="en-GB"/>
            </w:rPr>
          </w:pPr>
          <w:hyperlink w:anchor="_Toc187868773" w:history="1">
            <w:r w:rsidRPr="00E14479">
              <w:rPr>
                <w:rStyle w:val="Hyperlink"/>
                <w:noProof/>
              </w:rPr>
              <w:t>December 2024 Breakdown</w:t>
            </w:r>
            <w:r>
              <w:rPr>
                <w:noProof/>
                <w:webHidden/>
              </w:rPr>
              <w:tab/>
            </w:r>
            <w:r>
              <w:rPr>
                <w:noProof/>
                <w:webHidden/>
              </w:rPr>
              <w:fldChar w:fldCharType="begin"/>
            </w:r>
            <w:r>
              <w:rPr>
                <w:noProof/>
                <w:webHidden/>
              </w:rPr>
              <w:instrText xml:space="preserve"> PAGEREF _Toc187868773 \h </w:instrText>
            </w:r>
            <w:r>
              <w:rPr>
                <w:noProof/>
                <w:webHidden/>
              </w:rPr>
            </w:r>
            <w:r>
              <w:rPr>
                <w:noProof/>
                <w:webHidden/>
              </w:rPr>
              <w:fldChar w:fldCharType="separate"/>
            </w:r>
            <w:r>
              <w:rPr>
                <w:noProof/>
                <w:webHidden/>
              </w:rPr>
              <w:t>2</w:t>
            </w:r>
            <w:r>
              <w:rPr>
                <w:noProof/>
                <w:webHidden/>
              </w:rPr>
              <w:fldChar w:fldCharType="end"/>
            </w:r>
          </w:hyperlink>
        </w:p>
        <w:p w14:paraId="1198392F" w14:textId="4A273A99" w:rsidR="001C59D6" w:rsidRDefault="001C59D6">
          <w:pPr>
            <w:pStyle w:val="Inhopg2"/>
            <w:rPr>
              <w:rFonts w:eastAsiaTheme="minorEastAsia"/>
              <w:noProof/>
              <w:lang w:eastAsia="en-GB"/>
            </w:rPr>
          </w:pPr>
          <w:hyperlink w:anchor="_Toc187868774" w:history="1">
            <w:r w:rsidRPr="00E14479">
              <w:rPr>
                <w:rStyle w:val="Hyperlink"/>
                <w:noProof/>
              </w:rPr>
              <w:t>Cost Trends and Analysis</w:t>
            </w:r>
            <w:r>
              <w:rPr>
                <w:noProof/>
                <w:webHidden/>
              </w:rPr>
              <w:tab/>
            </w:r>
            <w:r>
              <w:rPr>
                <w:noProof/>
                <w:webHidden/>
              </w:rPr>
              <w:fldChar w:fldCharType="begin"/>
            </w:r>
            <w:r>
              <w:rPr>
                <w:noProof/>
                <w:webHidden/>
              </w:rPr>
              <w:instrText xml:space="preserve"> PAGEREF _Toc187868774 \h </w:instrText>
            </w:r>
            <w:r>
              <w:rPr>
                <w:noProof/>
                <w:webHidden/>
              </w:rPr>
            </w:r>
            <w:r>
              <w:rPr>
                <w:noProof/>
                <w:webHidden/>
              </w:rPr>
              <w:fldChar w:fldCharType="separate"/>
            </w:r>
            <w:r>
              <w:rPr>
                <w:noProof/>
                <w:webHidden/>
              </w:rPr>
              <w:t>2</w:t>
            </w:r>
            <w:r>
              <w:rPr>
                <w:noProof/>
                <w:webHidden/>
              </w:rPr>
              <w:fldChar w:fldCharType="end"/>
            </w:r>
          </w:hyperlink>
        </w:p>
        <w:p w14:paraId="17D6810A" w14:textId="48D72E59" w:rsidR="001C59D6" w:rsidRDefault="001C59D6">
          <w:pPr>
            <w:pStyle w:val="Inhopg2"/>
            <w:rPr>
              <w:rFonts w:eastAsiaTheme="minorEastAsia"/>
              <w:noProof/>
              <w:lang w:eastAsia="en-GB"/>
            </w:rPr>
          </w:pPr>
          <w:hyperlink w:anchor="_Toc187868775" w:history="1">
            <w:r w:rsidRPr="00E14479">
              <w:rPr>
                <w:rStyle w:val="Hyperlink"/>
                <w:noProof/>
              </w:rPr>
              <w:t>Key Observations</w:t>
            </w:r>
            <w:r>
              <w:rPr>
                <w:noProof/>
                <w:webHidden/>
              </w:rPr>
              <w:tab/>
            </w:r>
            <w:r>
              <w:rPr>
                <w:noProof/>
                <w:webHidden/>
              </w:rPr>
              <w:fldChar w:fldCharType="begin"/>
            </w:r>
            <w:r>
              <w:rPr>
                <w:noProof/>
                <w:webHidden/>
              </w:rPr>
              <w:instrText xml:space="preserve"> PAGEREF _Toc187868775 \h </w:instrText>
            </w:r>
            <w:r>
              <w:rPr>
                <w:noProof/>
                <w:webHidden/>
              </w:rPr>
            </w:r>
            <w:r>
              <w:rPr>
                <w:noProof/>
                <w:webHidden/>
              </w:rPr>
              <w:fldChar w:fldCharType="separate"/>
            </w:r>
            <w:r>
              <w:rPr>
                <w:noProof/>
                <w:webHidden/>
              </w:rPr>
              <w:t>3</w:t>
            </w:r>
            <w:r>
              <w:rPr>
                <w:noProof/>
                <w:webHidden/>
              </w:rPr>
              <w:fldChar w:fldCharType="end"/>
            </w:r>
          </w:hyperlink>
        </w:p>
        <w:p w14:paraId="1B21229E" w14:textId="069FCABD" w:rsidR="001C59D6" w:rsidRDefault="001C59D6">
          <w:pPr>
            <w:pStyle w:val="Inhopg2"/>
            <w:rPr>
              <w:rFonts w:eastAsiaTheme="minorEastAsia"/>
              <w:noProof/>
              <w:lang w:eastAsia="en-GB"/>
            </w:rPr>
          </w:pPr>
          <w:hyperlink w:anchor="_Toc187868776" w:history="1">
            <w:r w:rsidRPr="00E14479">
              <w:rPr>
                <w:rStyle w:val="Hyperlink"/>
                <w:noProof/>
              </w:rPr>
              <w:t>Recommendations</w:t>
            </w:r>
            <w:r>
              <w:rPr>
                <w:noProof/>
                <w:webHidden/>
              </w:rPr>
              <w:tab/>
            </w:r>
            <w:r>
              <w:rPr>
                <w:noProof/>
                <w:webHidden/>
              </w:rPr>
              <w:fldChar w:fldCharType="begin"/>
            </w:r>
            <w:r>
              <w:rPr>
                <w:noProof/>
                <w:webHidden/>
              </w:rPr>
              <w:instrText xml:space="preserve"> PAGEREF _Toc187868776 \h </w:instrText>
            </w:r>
            <w:r>
              <w:rPr>
                <w:noProof/>
                <w:webHidden/>
              </w:rPr>
            </w:r>
            <w:r>
              <w:rPr>
                <w:noProof/>
                <w:webHidden/>
              </w:rPr>
              <w:fldChar w:fldCharType="separate"/>
            </w:r>
            <w:r>
              <w:rPr>
                <w:noProof/>
                <w:webHidden/>
              </w:rPr>
              <w:t>4</w:t>
            </w:r>
            <w:r>
              <w:rPr>
                <w:noProof/>
                <w:webHidden/>
              </w:rPr>
              <w:fldChar w:fldCharType="end"/>
            </w:r>
          </w:hyperlink>
        </w:p>
        <w:p w14:paraId="6139D3E6" w14:textId="4BEC354B" w:rsidR="001C59D6" w:rsidRDefault="001C59D6">
          <w:pPr>
            <w:pStyle w:val="Inhopg2"/>
            <w:rPr>
              <w:rFonts w:eastAsiaTheme="minorEastAsia"/>
              <w:noProof/>
              <w:lang w:eastAsia="en-GB"/>
            </w:rPr>
          </w:pPr>
          <w:hyperlink w:anchor="_Toc187868777" w:history="1">
            <w:r w:rsidRPr="00E14479">
              <w:rPr>
                <w:rStyle w:val="Hyperlink"/>
                <w:noProof/>
              </w:rPr>
              <w:t>Additional Notes</w:t>
            </w:r>
            <w:r>
              <w:rPr>
                <w:noProof/>
                <w:webHidden/>
              </w:rPr>
              <w:tab/>
            </w:r>
            <w:r>
              <w:rPr>
                <w:noProof/>
                <w:webHidden/>
              </w:rPr>
              <w:fldChar w:fldCharType="begin"/>
            </w:r>
            <w:r>
              <w:rPr>
                <w:noProof/>
                <w:webHidden/>
              </w:rPr>
              <w:instrText xml:space="preserve"> PAGEREF _Toc187868777 \h </w:instrText>
            </w:r>
            <w:r>
              <w:rPr>
                <w:noProof/>
                <w:webHidden/>
              </w:rPr>
            </w:r>
            <w:r>
              <w:rPr>
                <w:noProof/>
                <w:webHidden/>
              </w:rPr>
              <w:fldChar w:fldCharType="separate"/>
            </w:r>
            <w:r>
              <w:rPr>
                <w:noProof/>
                <w:webHidden/>
              </w:rPr>
              <w:t>5</w:t>
            </w:r>
            <w:r>
              <w:rPr>
                <w:noProof/>
                <w:webHidden/>
              </w:rPr>
              <w:fldChar w:fldCharType="end"/>
            </w:r>
          </w:hyperlink>
        </w:p>
        <w:p w14:paraId="273B3127" w14:textId="028309DB" w:rsidR="007A6ECD" w:rsidRDefault="007A6ECD">
          <w:r>
            <w:rPr>
              <w:b/>
              <w:bCs/>
              <w:lang w:val="nl-NL"/>
            </w:rPr>
            <w:fldChar w:fldCharType="end"/>
          </w:r>
        </w:p>
      </w:sdtContent>
    </w:sdt>
    <w:p w14:paraId="70D78DA9" w14:textId="17EEE89B" w:rsidR="001C59D6" w:rsidRPr="007A6ECD" w:rsidRDefault="001C59D6" w:rsidP="001C59D6">
      <w:pPr>
        <w:pStyle w:val="Kop2"/>
      </w:pPr>
      <w:bookmarkStart w:id="0" w:name="_Toc187868771"/>
      <w:r w:rsidRPr="007A6ECD">
        <w:t xml:space="preserve">Summary </w:t>
      </w:r>
      <w:r>
        <w:t>Costs</w:t>
      </w:r>
      <w:bookmarkEnd w:id="0"/>
    </w:p>
    <w:p w14:paraId="4E9D4A3F" w14:textId="03B85D09" w:rsidR="001C59D6" w:rsidRPr="001C59D6" w:rsidRDefault="001C59D6" w:rsidP="001C59D6">
      <w:r w:rsidRPr="001C59D6">
        <w:t>This document is an AWS Cost Analysis Report that examines the usage and associated costs of AWS services over the period from July to December 2024. It presents a detailed breakdown of the expenditures for various AWS services, allowing for a deeper understanding of how costs are distributed across different categories. The report highlights key trends in spending, noting any significant spikes or fluctuations in cost, with particular attention to December 2024, which saw a substantial increase in spending.</w:t>
      </w:r>
    </w:p>
    <w:p w14:paraId="53C2DD30" w14:textId="61640E3F" w:rsidR="001C59D6" w:rsidRPr="001C59D6" w:rsidRDefault="001C59D6" w:rsidP="001C59D6">
      <w:r w:rsidRPr="001C59D6">
        <w:t>The analysis also identifies critical areas where cost optimization could be beneficial, such as reviewing specific service configurations (</w:t>
      </w:r>
      <w:r>
        <w:t>such as</w:t>
      </w:r>
      <w:r w:rsidRPr="001C59D6">
        <w:t xml:space="preserve"> VPC, Elastic Load Balancing, and Relational Database Service) for potential cost-saving opportunities. It provides a set of recommendations aimed at reducing unnecessary spending, such as investigating the December cost surge, implementing cost allocation tags, and considering reserved instances for more predictable pricing.</w:t>
      </w:r>
    </w:p>
    <w:p w14:paraId="00E68A11" w14:textId="10FA296B" w:rsidR="001C59D6" w:rsidRPr="001C59D6" w:rsidRDefault="001C59D6" w:rsidP="001C59D6">
      <w:r w:rsidRPr="001C59D6">
        <w:t xml:space="preserve">Overall, this report underscores the importance of monitoring and </w:t>
      </w:r>
      <w:r w:rsidRPr="001C59D6">
        <w:t>analysing</w:t>
      </w:r>
      <w:r w:rsidRPr="001C59D6">
        <w:t xml:space="preserve"> cloud service usage regularly, as it suggests that the infrastructure being used is moderately complex, with irregular patterns of service consumption that could lead to inefficiencies if not optimized.</w:t>
      </w:r>
    </w:p>
    <w:p w14:paraId="08337692" w14:textId="28AA81AB" w:rsidR="007A6ECD" w:rsidRPr="007A6ECD" w:rsidRDefault="007A6ECD" w:rsidP="007A6ECD">
      <w:pPr>
        <w:pStyle w:val="Kop2"/>
      </w:pPr>
      <w:bookmarkStart w:id="1" w:name="_Toc187868772"/>
      <w:r w:rsidRPr="007A6ECD">
        <w:t>Summary Metrics</w:t>
      </w:r>
      <w:bookmarkEnd w:id="1"/>
    </w:p>
    <w:p w14:paraId="39587EA7" w14:textId="77777777" w:rsidR="007A6ECD" w:rsidRPr="007A6ECD" w:rsidRDefault="007A6ECD" w:rsidP="007A6ECD">
      <w:pPr>
        <w:numPr>
          <w:ilvl w:val="0"/>
          <w:numId w:val="20"/>
        </w:numPr>
      </w:pPr>
      <w:r w:rsidRPr="007A6ECD">
        <w:rPr>
          <w:b/>
          <w:bCs/>
        </w:rPr>
        <w:t>Total Cost for the Period:</w:t>
      </w:r>
      <w:r w:rsidRPr="007A6ECD">
        <w:t xml:space="preserve"> $235.36</w:t>
      </w:r>
    </w:p>
    <w:p w14:paraId="12FFAEAD" w14:textId="77777777" w:rsidR="007A6ECD" w:rsidRPr="007A6ECD" w:rsidRDefault="007A6ECD" w:rsidP="007A6ECD">
      <w:pPr>
        <w:numPr>
          <w:ilvl w:val="0"/>
          <w:numId w:val="20"/>
        </w:numPr>
      </w:pPr>
      <w:r w:rsidRPr="007A6ECD">
        <w:rPr>
          <w:b/>
          <w:bCs/>
        </w:rPr>
        <w:t>Average Monthly Cost:</w:t>
      </w:r>
      <w:r w:rsidRPr="007A6ECD">
        <w:t xml:space="preserve"> $39.23</w:t>
      </w:r>
    </w:p>
    <w:p w14:paraId="75DCECCD" w14:textId="77777777" w:rsidR="007A6ECD" w:rsidRPr="007A6ECD" w:rsidRDefault="007A6ECD" w:rsidP="007A6ECD">
      <w:pPr>
        <w:numPr>
          <w:ilvl w:val="0"/>
          <w:numId w:val="20"/>
        </w:numPr>
      </w:pPr>
      <w:r w:rsidRPr="007A6ECD">
        <w:rPr>
          <w:b/>
          <w:bCs/>
        </w:rPr>
        <w:t>Total Number of Services Utilized:</w:t>
      </w:r>
      <w:r w:rsidRPr="007A6ECD">
        <w:t xml:space="preserve"> 34</w:t>
      </w:r>
    </w:p>
    <w:p w14:paraId="37755907" w14:textId="77777777" w:rsidR="007A6ECD" w:rsidRPr="007A6ECD" w:rsidRDefault="007A6ECD" w:rsidP="007A6ECD">
      <w:r w:rsidRPr="007A6ECD">
        <w:pict w14:anchorId="6F933422">
          <v:rect id="_x0000_i1061" style="width:0;height:1.5pt" o:hralign="center" o:hrstd="t" o:hr="t" fillcolor="#a0a0a0" stroked="f"/>
        </w:pict>
      </w:r>
    </w:p>
    <w:p w14:paraId="2BE53264" w14:textId="77777777" w:rsidR="007A6ECD" w:rsidRPr="007A6ECD" w:rsidRDefault="007A6ECD" w:rsidP="007A6ECD">
      <w:pPr>
        <w:pStyle w:val="Kop2"/>
      </w:pPr>
      <w:bookmarkStart w:id="2" w:name="_Toc187868773"/>
      <w:r w:rsidRPr="007A6ECD">
        <w:lastRenderedPageBreak/>
        <w:t>December 2024 Breakdown</w:t>
      </w:r>
      <w:bookmarkEnd w:id="2"/>
    </w:p>
    <w:p w14:paraId="12CAFFCC" w14:textId="6D8FFE61" w:rsidR="007A6ECD" w:rsidRPr="007A6ECD" w:rsidRDefault="007A6ECD" w:rsidP="007A6ECD">
      <w:r w:rsidRPr="007A6ECD">
        <w:t>In December 2024, a notable increase in costs was observed, with the total monthly expenditure amounting to $116.33. Below is the breakdown of the key services contributing to this cost, listed from highest to lowest</w:t>
      </w:r>
      <w:r w:rsidR="00C973C2">
        <w:t>.</w:t>
      </w:r>
    </w:p>
    <w:p w14:paraId="10C3E3F1" w14:textId="77777777" w:rsidR="007A6ECD" w:rsidRPr="007A6ECD" w:rsidRDefault="007A6ECD" w:rsidP="007A6ECD">
      <w:pPr>
        <w:numPr>
          <w:ilvl w:val="0"/>
          <w:numId w:val="19"/>
        </w:numPr>
      </w:pPr>
      <w:r w:rsidRPr="007A6ECD">
        <w:rPr>
          <w:b/>
          <w:bCs/>
        </w:rPr>
        <w:t>Virtual Private Cloud (VPC):</w:t>
      </w:r>
      <w:r w:rsidRPr="007A6ECD">
        <w:t xml:space="preserve"> $25.09</w:t>
      </w:r>
    </w:p>
    <w:p w14:paraId="460C5C2F" w14:textId="77777777" w:rsidR="007A6ECD" w:rsidRPr="007A6ECD" w:rsidRDefault="007A6ECD" w:rsidP="007A6ECD">
      <w:pPr>
        <w:numPr>
          <w:ilvl w:val="0"/>
          <w:numId w:val="19"/>
        </w:numPr>
      </w:pPr>
      <w:r w:rsidRPr="007A6ECD">
        <w:rPr>
          <w:b/>
          <w:bCs/>
        </w:rPr>
        <w:t>Tax:</w:t>
      </w:r>
      <w:r w:rsidRPr="007A6ECD">
        <w:t xml:space="preserve"> $20.19</w:t>
      </w:r>
    </w:p>
    <w:p w14:paraId="6339436D" w14:textId="77777777" w:rsidR="007A6ECD" w:rsidRPr="007A6ECD" w:rsidRDefault="007A6ECD" w:rsidP="007A6ECD">
      <w:pPr>
        <w:numPr>
          <w:ilvl w:val="0"/>
          <w:numId w:val="19"/>
        </w:numPr>
      </w:pPr>
      <w:r w:rsidRPr="007A6ECD">
        <w:rPr>
          <w:b/>
          <w:bCs/>
        </w:rPr>
        <w:t>Elastic Load Balancing (ELB):</w:t>
      </w:r>
      <w:r w:rsidRPr="007A6ECD">
        <w:t xml:space="preserve"> $18.83</w:t>
      </w:r>
    </w:p>
    <w:p w14:paraId="26DC89F6" w14:textId="77777777" w:rsidR="007A6ECD" w:rsidRPr="007A6ECD" w:rsidRDefault="007A6ECD" w:rsidP="007A6ECD">
      <w:pPr>
        <w:numPr>
          <w:ilvl w:val="0"/>
          <w:numId w:val="19"/>
        </w:numPr>
      </w:pPr>
      <w:r w:rsidRPr="007A6ECD">
        <w:rPr>
          <w:b/>
          <w:bCs/>
        </w:rPr>
        <w:t>Relational Database Service (RDS):</w:t>
      </w:r>
      <w:r w:rsidRPr="007A6ECD">
        <w:t xml:space="preserve"> $18.58</w:t>
      </w:r>
    </w:p>
    <w:p w14:paraId="75A56247" w14:textId="77777777" w:rsidR="007A6ECD" w:rsidRPr="007A6ECD" w:rsidRDefault="007A6ECD" w:rsidP="007A6ECD">
      <w:pPr>
        <w:numPr>
          <w:ilvl w:val="0"/>
          <w:numId w:val="19"/>
        </w:numPr>
      </w:pPr>
      <w:r w:rsidRPr="007A6ECD">
        <w:rPr>
          <w:b/>
          <w:bCs/>
        </w:rPr>
        <w:t>CloudWatch:</w:t>
      </w:r>
      <w:r w:rsidRPr="007A6ECD">
        <w:t xml:space="preserve"> $9.68</w:t>
      </w:r>
    </w:p>
    <w:p w14:paraId="64B83BAC" w14:textId="77777777" w:rsidR="007A6ECD" w:rsidRPr="007A6ECD" w:rsidRDefault="007A6ECD" w:rsidP="007A6ECD">
      <w:pPr>
        <w:numPr>
          <w:ilvl w:val="0"/>
          <w:numId w:val="19"/>
        </w:numPr>
      </w:pPr>
      <w:r w:rsidRPr="007A6ECD">
        <w:rPr>
          <w:b/>
          <w:bCs/>
        </w:rPr>
        <w:t>EC2 Instances:</w:t>
      </w:r>
      <w:r w:rsidRPr="007A6ECD">
        <w:t xml:space="preserve"> $6.89</w:t>
      </w:r>
    </w:p>
    <w:p w14:paraId="0AD61552" w14:textId="77777777" w:rsidR="007A6ECD" w:rsidRPr="007A6ECD" w:rsidRDefault="007A6ECD" w:rsidP="007A6ECD">
      <w:pPr>
        <w:numPr>
          <w:ilvl w:val="0"/>
          <w:numId w:val="19"/>
        </w:numPr>
      </w:pPr>
      <w:r w:rsidRPr="007A6ECD">
        <w:rPr>
          <w:b/>
          <w:bCs/>
        </w:rPr>
        <w:t>EC2 Other (non-instance related):</w:t>
      </w:r>
      <w:r w:rsidRPr="007A6ECD">
        <w:t xml:space="preserve"> $4.75</w:t>
      </w:r>
    </w:p>
    <w:p w14:paraId="51FCAA7A" w14:textId="77777777" w:rsidR="007A6ECD" w:rsidRPr="007A6ECD" w:rsidRDefault="007A6ECD" w:rsidP="007A6ECD">
      <w:pPr>
        <w:numPr>
          <w:ilvl w:val="0"/>
          <w:numId w:val="19"/>
        </w:numPr>
      </w:pPr>
      <w:r w:rsidRPr="007A6ECD">
        <w:rPr>
          <w:b/>
          <w:bCs/>
        </w:rPr>
        <w:t>Key Management Service (KMS):</w:t>
      </w:r>
      <w:r w:rsidRPr="007A6ECD">
        <w:t xml:space="preserve"> $4.65</w:t>
      </w:r>
    </w:p>
    <w:p w14:paraId="6524F34B" w14:textId="77777777" w:rsidR="007A6ECD" w:rsidRPr="007A6ECD" w:rsidRDefault="007A6ECD" w:rsidP="007A6ECD">
      <w:pPr>
        <w:numPr>
          <w:ilvl w:val="0"/>
          <w:numId w:val="19"/>
        </w:numPr>
      </w:pPr>
      <w:r w:rsidRPr="007A6ECD">
        <w:rPr>
          <w:b/>
          <w:bCs/>
        </w:rPr>
        <w:t>CloudTrail:</w:t>
      </w:r>
      <w:r w:rsidRPr="007A6ECD">
        <w:t xml:space="preserve"> $4.49</w:t>
      </w:r>
    </w:p>
    <w:p w14:paraId="55967071" w14:textId="77777777" w:rsidR="007A6ECD" w:rsidRPr="007A6ECD" w:rsidRDefault="007A6ECD" w:rsidP="007A6ECD">
      <w:pPr>
        <w:numPr>
          <w:ilvl w:val="0"/>
          <w:numId w:val="19"/>
        </w:numPr>
      </w:pPr>
      <w:r w:rsidRPr="007A6ECD">
        <w:rPr>
          <w:b/>
          <w:bCs/>
        </w:rPr>
        <w:t>Other Services:</w:t>
      </w:r>
      <w:r w:rsidRPr="007A6ECD">
        <w:t xml:space="preserve"> $3.20</w:t>
      </w:r>
    </w:p>
    <w:p w14:paraId="076483FC" w14:textId="77777777" w:rsidR="007A6ECD" w:rsidRPr="007A6ECD" w:rsidRDefault="007A6ECD" w:rsidP="007A6ECD">
      <w:r w:rsidRPr="007A6ECD">
        <w:pict w14:anchorId="7D43FD3A">
          <v:rect id="_x0000_i1062" style="width:0;height:1.5pt" o:hralign="center" o:hrstd="t" o:hr="t" fillcolor="#a0a0a0" stroked="f"/>
        </w:pict>
      </w:r>
    </w:p>
    <w:p w14:paraId="3628015C" w14:textId="77777777" w:rsidR="007A6ECD" w:rsidRPr="007A6ECD" w:rsidRDefault="007A6ECD" w:rsidP="007A6ECD">
      <w:pPr>
        <w:pStyle w:val="Kop2"/>
      </w:pPr>
      <w:bookmarkStart w:id="3" w:name="_Toc187868774"/>
      <w:r w:rsidRPr="007A6ECD">
        <w:t>Cost Trends and Analysis</w:t>
      </w:r>
      <w:bookmarkEnd w:id="3"/>
    </w:p>
    <w:p w14:paraId="37C903B5" w14:textId="44E547E6" w:rsidR="007A6ECD" w:rsidRPr="007A6ECD" w:rsidRDefault="007A6ECD" w:rsidP="007A6ECD">
      <w:pPr>
        <w:rPr>
          <w:b/>
          <w:bCs/>
        </w:rPr>
      </w:pPr>
      <w:r w:rsidRPr="007A6ECD">
        <w:rPr>
          <w:b/>
          <w:bCs/>
        </w:rPr>
        <w:t>Service Cost Distribution (6-Month</w:t>
      </w:r>
      <w:r>
        <w:rPr>
          <w:b/>
          <w:bCs/>
        </w:rPr>
        <w:t>s in</w:t>
      </w:r>
      <w:r w:rsidRPr="007A6ECD">
        <w:rPr>
          <w:b/>
          <w:bCs/>
        </w:rPr>
        <w:t xml:space="preserve"> Total)</w:t>
      </w:r>
    </w:p>
    <w:p w14:paraId="35A01610" w14:textId="4354572F" w:rsidR="007A6ECD" w:rsidRPr="007A6ECD" w:rsidRDefault="007A6ECD" w:rsidP="007A6ECD">
      <w:r w:rsidRPr="007A6ECD">
        <w:t>Over the six-month period, several services consistently represented the bulk of the costs. Below is the breakdown of costs across these services</w:t>
      </w:r>
      <w:r w:rsidR="00C973C2">
        <w:t>.</w:t>
      </w:r>
    </w:p>
    <w:p w14:paraId="597B3F73" w14:textId="4381E83E" w:rsidR="007A6ECD" w:rsidRPr="007A6ECD" w:rsidRDefault="007A6ECD" w:rsidP="007A6ECD">
      <w:pPr>
        <w:numPr>
          <w:ilvl w:val="0"/>
          <w:numId w:val="18"/>
        </w:numPr>
      </w:pPr>
      <w:r w:rsidRPr="007A6ECD">
        <w:rPr>
          <w:b/>
          <w:bCs/>
        </w:rPr>
        <w:t>VPC</w:t>
      </w:r>
      <w:r w:rsidR="00C973C2">
        <w:rPr>
          <w:b/>
          <w:bCs/>
        </w:rPr>
        <w:t xml:space="preserve"> -</w:t>
      </w:r>
      <w:r w:rsidRPr="007A6ECD">
        <w:t xml:space="preserve"> $46.61</w:t>
      </w:r>
    </w:p>
    <w:p w14:paraId="683DFE3C" w14:textId="68ACBCFA" w:rsidR="007A6ECD" w:rsidRPr="007A6ECD" w:rsidRDefault="007A6ECD" w:rsidP="007A6ECD">
      <w:pPr>
        <w:numPr>
          <w:ilvl w:val="0"/>
          <w:numId w:val="18"/>
        </w:numPr>
      </w:pPr>
      <w:r w:rsidRPr="007A6ECD">
        <w:rPr>
          <w:b/>
          <w:bCs/>
        </w:rPr>
        <w:t>Tax</w:t>
      </w:r>
      <w:r w:rsidR="00C973C2">
        <w:rPr>
          <w:b/>
          <w:bCs/>
        </w:rPr>
        <w:t xml:space="preserve"> -</w:t>
      </w:r>
      <w:r w:rsidRPr="007A6ECD">
        <w:t xml:space="preserve"> $40.86</w:t>
      </w:r>
    </w:p>
    <w:p w14:paraId="2D4F2D5F" w14:textId="798E5191" w:rsidR="007A6ECD" w:rsidRPr="007A6ECD" w:rsidRDefault="007A6ECD" w:rsidP="007A6ECD">
      <w:pPr>
        <w:numPr>
          <w:ilvl w:val="0"/>
          <w:numId w:val="18"/>
        </w:numPr>
      </w:pPr>
      <w:r w:rsidRPr="007A6ECD">
        <w:rPr>
          <w:b/>
          <w:bCs/>
        </w:rPr>
        <w:t>Elastic Load Balancing (ELB)</w:t>
      </w:r>
      <w:r w:rsidR="00C973C2">
        <w:rPr>
          <w:b/>
          <w:bCs/>
        </w:rPr>
        <w:t xml:space="preserve"> -</w:t>
      </w:r>
      <w:r w:rsidRPr="007A6ECD">
        <w:t xml:space="preserve"> $37.01</w:t>
      </w:r>
    </w:p>
    <w:p w14:paraId="518C6CBA" w14:textId="3871A89D" w:rsidR="007A6ECD" w:rsidRPr="007A6ECD" w:rsidRDefault="007A6ECD" w:rsidP="007A6ECD">
      <w:pPr>
        <w:numPr>
          <w:ilvl w:val="0"/>
          <w:numId w:val="18"/>
        </w:numPr>
      </w:pPr>
      <w:r w:rsidRPr="007A6ECD">
        <w:rPr>
          <w:b/>
          <w:bCs/>
        </w:rPr>
        <w:t>Relational Database Service (RDS)</w:t>
      </w:r>
      <w:r w:rsidR="00C973C2">
        <w:rPr>
          <w:b/>
          <w:bCs/>
        </w:rPr>
        <w:t xml:space="preserve"> -</w:t>
      </w:r>
      <w:r w:rsidRPr="007A6ECD">
        <w:t xml:space="preserve"> $30.17</w:t>
      </w:r>
    </w:p>
    <w:p w14:paraId="133405E6" w14:textId="2F64CBF4" w:rsidR="007A6ECD" w:rsidRPr="007A6ECD" w:rsidRDefault="007A6ECD" w:rsidP="007A6ECD">
      <w:pPr>
        <w:numPr>
          <w:ilvl w:val="0"/>
          <w:numId w:val="18"/>
        </w:numPr>
      </w:pPr>
      <w:r w:rsidRPr="007A6ECD">
        <w:rPr>
          <w:b/>
          <w:bCs/>
        </w:rPr>
        <w:t>EC2-Other (non-instance usage)</w:t>
      </w:r>
      <w:r w:rsidR="00C973C2">
        <w:rPr>
          <w:b/>
          <w:bCs/>
        </w:rPr>
        <w:t xml:space="preserve"> -</w:t>
      </w:r>
      <w:r w:rsidRPr="007A6ECD">
        <w:t xml:space="preserve"> $26.99</w:t>
      </w:r>
    </w:p>
    <w:p w14:paraId="4DD2F25D" w14:textId="34745D3F" w:rsidR="007A6ECD" w:rsidRPr="007A6ECD" w:rsidRDefault="007A6ECD" w:rsidP="007A6ECD">
      <w:pPr>
        <w:numPr>
          <w:ilvl w:val="0"/>
          <w:numId w:val="18"/>
        </w:numPr>
      </w:pPr>
      <w:r w:rsidRPr="007A6ECD">
        <w:rPr>
          <w:b/>
          <w:bCs/>
        </w:rPr>
        <w:t>CloudWatch</w:t>
      </w:r>
      <w:r w:rsidR="00C973C2">
        <w:rPr>
          <w:b/>
          <w:bCs/>
        </w:rPr>
        <w:t xml:space="preserve"> -</w:t>
      </w:r>
      <w:r w:rsidRPr="007A6ECD">
        <w:t xml:space="preserve"> $19.19</w:t>
      </w:r>
    </w:p>
    <w:p w14:paraId="30A8C143" w14:textId="7A488E01" w:rsidR="007A6ECD" w:rsidRPr="007A6ECD" w:rsidRDefault="007A6ECD" w:rsidP="007A6ECD">
      <w:pPr>
        <w:numPr>
          <w:ilvl w:val="0"/>
          <w:numId w:val="18"/>
        </w:numPr>
      </w:pPr>
      <w:r w:rsidRPr="007A6ECD">
        <w:rPr>
          <w:b/>
          <w:bCs/>
        </w:rPr>
        <w:t>EC2 Instances</w:t>
      </w:r>
      <w:r w:rsidR="00C973C2">
        <w:rPr>
          <w:b/>
          <w:bCs/>
        </w:rPr>
        <w:t xml:space="preserve"> -</w:t>
      </w:r>
      <w:r w:rsidRPr="007A6ECD">
        <w:t xml:space="preserve"> $13.69</w:t>
      </w:r>
    </w:p>
    <w:p w14:paraId="115BDC7E" w14:textId="0C268CDE" w:rsidR="007A6ECD" w:rsidRPr="007A6ECD" w:rsidRDefault="007A6ECD" w:rsidP="007A6ECD">
      <w:r w:rsidRPr="007A6ECD">
        <w:t>VPC and Tax were the highest cost contributors across the full six months, while other services like Elastic Load Balancing and RDS also represented significant portions of the total spend.</w:t>
      </w:r>
    </w:p>
    <w:p w14:paraId="2155FD9A" w14:textId="77777777" w:rsidR="007A6ECD" w:rsidRPr="007A6ECD" w:rsidRDefault="007A6ECD" w:rsidP="007A6ECD">
      <w:pPr>
        <w:rPr>
          <w:b/>
          <w:bCs/>
        </w:rPr>
      </w:pPr>
      <w:r w:rsidRPr="007A6ECD">
        <w:rPr>
          <w:b/>
          <w:bCs/>
        </w:rPr>
        <w:lastRenderedPageBreak/>
        <w:t>Monthly Spending Pattern</w:t>
      </w:r>
    </w:p>
    <w:p w14:paraId="7AEEC2A0" w14:textId="77777777" w:rsidR="007A6ECD" w:rsidRPr="007A6ECD" w:rsidRDefault="007A6ECD" w:rsidP="007A6ECD">
      <w:r w:rsidRPr="007A6ECD">
        <w:t>The spending pattern for each month showed considerable fluctuations. Here's a breakdown:</w:t>
      </w:r>
    </w:p>
    <w:p w14:paraId="34AD717B" w14:textId="33E9F300" w:rsidR="007A6ECD" w:rsidRPr="007A6ECD" w:rsidRDefault="007A6ECD" w:rsidP="007A6ECD">
      <w:pPr>
        <w:numPr>
          <w:ilvl w:val="0"/>
          <w:numId w:val="17"/>
        </w:numPr>
      </w:pPr>
      <w:r w:rsidRPr="007A6ECD">
        <w:rPr>
          <w:b/>
          <w:bCs/>
        </w:rPr>
        <w:t>July 2024</w:t>
      </w:r>
      <w:r w:rsidR="00C973C2">
        <w:rPr>
          <w:b/>
          <w:bCs/>
        </w:rPr>
        <w:t xml:space="preserve"> -</w:t>
      </w:r>
      <w:r w:rsidRPr="007A6ECD">
        <w:t xml:space="preserve"> $10.94</w:t>
      </w:r>
    </w:p>
    <w:p w14:paraId="7CE7512C" w14:textId="5FA6AB96" w:rsidR="007A6ECD" w:rsidRPr="007A6ECD" w:rsidRDefault="007A6ECD" w:rsidP="007A6ECD">
      <w:pPr>
        <w:numPr>
          <w:ilvl w:val="0"/>
          <w:numId w:val="17"/>
        </w:numPr>
      </w:pPr>
      <w:r w:rsidRPr="007A6ECD">
        <w:rPr>
          <w:b/>
          <w:bCs/>
        </w:rPr>
        <w:t>August 2024</w:t>
      </w:r>
      <w:r w:rsidR="00C973C2">
        <w:rPr>
          <w:b/>
          <w:bCs/>
        </w:rPr>
        <w:t xml:space="preserve"> - </w:t>
      </w:r>
      <w:r w:rsidRPr="007A6ECD">
        <w:t>$0.00 (No usage recorded)</w:t>
      </w:r>
    </w:p>
    <w:p w14:paraId="51220EDA" w14:textId="211E4FE1" w:rsidR="007A6ECD" w:rsidRPr="007A6ECD" w:rsidRDefault="007A6ECD" w:rsidP="007A6ECD">
      <w:pPr>
        <w:numPr>
          <w:ilvl w:val="0"/>
          <w:numId w:val="17"/>
        </w:numPr>
      </w:pPr>
      <w:r w:rsidRPr="007A6ECD">
        <w:rPr>
          <w:b/>
          <w:bCs/>
        </w:rPr>
        <w:t>September 2024</w:t>
      </w:r>
      <w:r w:rsidR="00C973C2">
        <w:rPr>
          <w:b/>
          <w:bCs/>
        </w:rPr>
        <w:t xml:space="preserve"> -</w:t>
      </w:r>
      <w:r w:rsidRPr="007A6ECD">
        <w:t xml:space="preserve"> $5.33</w:t>
      </w:r>
    </w:p>
    <w:p w14:paraId="22A0A36E" w14:textId="7D0B1B29" w:rsidR="007A6ECD" w:rsidRPr="007A6ECD" w:rsidRDefault="007A6ECD" w:rsidP="007A6ECD">
      <w:pPr>
        <w:numPr>
          <w:ilvl w:val="0"/>
          <w:numId w:val="17"/>
        </w:numPr>
      </w:pPr>
      <w:r w:rsidRPr="007A6ECD">
        <w:rPr>
          <w:b/>
          <w:bCs/>
        </w:rPr>
        <w:t>October 2024</w:t>
      </w:r>
      <w:r w:rsidR="00C973C2">
        <w:rPr>
          <w:b/>
          <w:bCs/>
        </w:rPr>
        <w:t xml:space="preserve"> -</w:t>
      </w:r>
      <w:r w:rsidRPr="007A6ECD">
        <w:t xml:space="preserve"> $3.63</w:t>
      </w:r>
    </w:p>
    <w:p w14:paraId="07AA6B76" w14:textId="077416AA" w:rsidR="007A6ECD" w:rsidRPr="007A6ECD" w:rsidRDefault="007A6ECD" w:rsidP="007A6ECD">
      <w:pPr>
        <w:numPr>
          <w:ilvl w:val="0"/>
          <w:numId w:val="17"/>
        </w:numPr>
      </w:pPr>
      <w:r w:rsidRPr="007A6ECD">
        <w:rPr>
          <w:b/>
          <w:bCs/>
        </w:rPr>
        <w:t>November 2024</w:t>
      </w:r>
      <w:r w:rsidR="00C973C2">
        <w:rPr>
          <w:b/>
          <w:bCs/>
        </w:rPr>
        <w:t xml:space="preserve"> -</w:t>
      </w:r>
      <w:r w:rsidRPr="007A6ECD">
        <w:t xml:space="preserve"> Data not available</w:t>
      </w:r>
    </w:p>
    <w:p w14:paraId="2FE93FB2" w14:textId="7D462113" w:rsidR="007A6ECD" w:rsidRPr="007A6ECD" w:rsidRDefault="007A6ECD" w:rsidP="007A6ECD">
      <w:pPr>
        <w:numPr>
          <w:ilvl w:val="0"/>
          <w:numId w:val="17"/>
        </w:numPr>
      </w:pPr>
      <w:r w:rsidRPr="007A6ECD">
        <w:rPr>
          <w:b/>
          <w:bCs/>
        </w:rPr>
        <w:t>December 2024</w:t>
      </w:r>
      <w:r w:rsidR="00C973C2">
        <w:rPr>
          <w:b/>
          <w:bCs/>
        </w:rPr>
        <w:t xml:space="preserve"> -</w:t>
      </w:r>
      <w:r w:rsidRPr="007A6ECD">
        <w:t xml:space="preserve"> $116.33</w:t>
      </w:r>
    </w:p>
    <w:p w14:paraId="223D617D" w14:textId="77777777" w:rsidR="007A6ECD" w:rsidRDefault="007A6ECD" w:rsidP="007A6ECD">
      <w:r w:rsidRPr="007A6ECD">
        <w:t>A key observation here is the drastic spike in December 2024, where costs jumped substantially to $116.33. This increase represents roughly 49% of the total spend across the entire six-month period. In contrast, August saw no costs, which could suggest inactivity or possibly credits or adjustments applied during that time.</w:t>
      </w:r>
    </w:p>
    <w:p w14:paraId="40DE652D" w14:textId="1F34F21E" w:rsidR="007A6ECD" w:rsidRPr="007A6ECD" w:rsidRDefault="007A6ECD" w:rsidP="007A6ECD">
      <w:r w:rsidRPr="007A6ECD">
        <w:drawing>
          <wp:inline distT="0" distB="0" distL="0" distR="0" wp14:anchorId="4D391DB9" wp14:editId="5F57242E">
            <wp:extent cx="5760720" cy="3538855"/>
            <wp:effectExtent l="0" t="0" r="0" b="4445"/>
            <wp:docPr id="1485313916" name="Afbeelding 1" descr="Afbeelding met tekst, schermopname, Kleurrijkheid,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13916" name="Afbeelding 1" descr="Afbeelding met tekst, schermopname, Kleurrijkheid, lijn&#10;&#10;Automatisch gegenereerde beschrijving"/>
                    <pic:cNvPicPr/>
                  </pic:nvPicPr>
                  <pic:blipFill>
                    <a:blip r:embed="rId7"/>
                    <a:stretch>
                      <a:fillRect/>
                    </a:stretch>
                  </pic:blipFill>
                  <pic:spPr>
                    <a:xfrm>
                      <a:off x="0" y="0"/>
                      <a:ext cx="5760720" cy="3538855"/>
                    </a:xfrm>
                    <a:prstGeom prst="rect">
                      <a:avLst/>
                    </a:prstGeom>
                  </pic:spPr>
                </pic:pic>
              </a:graphicData>
            </a:graphic>
          </wp:inline>
        </w:drawing>
      </w:r>
    </w:p>
    <w:p w14:paraId="27D1B960" w14:textId="77777777" w:rsidR="007A6ECD" w:rsidRPr="007A6ECD" w:rsidRDefault="007A6ECD" w:rsidP="007A6ECD">
      <w:r w:rsidRPr="007A6ECD">
        <w:pict w14:anchorId="34568418">
          <v:rect id="_x0000_i1063" style="width:0;height:1.5pt" o:hralign="center" o:hrstd="t" o:hr="t" fillcolor="#a0a0a0" stroked="f"/>
        </w:pict>
      </w:r>
    </w:p>
    <w:p w14:paraId="33C15DDC" w14:textId="77777777" w:rsidR="007A6ECD" w:rsidRPr="007A6ECD" w:rsidRDefault="007A6ECD" w:rsidP="007A6ECD">
      <w:pPr>
        <w:pStyle w:val="Kop2"/>
      </w:pPr>
      <w:bookmarkStart w:id="4" w:name="_Toc187868775"/>
      <w:r w:rsidRPr="007A6ECD">
        <w:t>Key Observations</w:t>
      </w:r>
      <w:bookmarkEnd w:id="4"/>
    </w:p>
    <w:p w14:paraId="1C3A8D6D" w14:textId="78B3F450" w:rsidR="007A6ECD" w:rsidRPr="007A6ECD" w:rsidRDefault="007A6ECD" w:rsidP="007A6ECD">
      <w:pPr>
        <w:numPr>
          <w:ilvl w:val="0"/>
          <w:numId w:val="15"/>
        </w:numPr>
      </w:pPr>
      <w:r w:rsidRPr="007A6ECD">
        <w:rPr>
          <w:b/>
          <w:bCs/>
        </w:rPr>
        <w:t>Significant Cost Spike in December 2024</w:t>
      </w:r>
      <w:r w:rsidR="00C973C2">
        <w:rPr>
          <w:b/>
          <w:bCs/>
        </w:rPr>
        <w:t xml:space="preserve"> -</w:t>
      </w:r>
      <w:r w:rsidRPr="007A6ECD">
        <w:t xml:space="preserve"> December accounted for a substantial increase in costs, contributing almost half of the total expenditure for the six months. It is critical to investigate what drove this surge in spending and whether it can be optimized.</w:t>
      </w:r>
    </w:p>
    <w:p w14:paraId="0D505389" w14:textId="34A6F268" w:rsidR="007A6ECD" w:rsidRPr="007A6ECD" w:rsidRDefault="007A6ECD" w:rsidP="007A6ECD">
      <w:pPr>
        <w:numPr>
          <w:ilvl w:val="0"/>
          <w:numId w:val="15"/>
        </w:numPr>
      </w:pPr>
      <w:r w:rsidRPr="007A6ECD">
        <w:rPr>
          <w:b/>
          <w:bCs/>
        </w:rPr>
        <w:lastRenderedPageBreak/>
        <w:t>Consistent High Costs in VPC and Tax</w:t>
      </w:r>
      <w:r w:rsidR="00C973C2">
        <w:rPr>
          <w:b/>
          <w:bCs/>
        </w:rPr>
        <w:t xml:space="preserve"> -</w:t>
      </w:r>
      <w:r w:rsidRPr="007A6ECD">
        <w:t xml:space="preserve"> Both VPC and Tax have consistently been among the highest cost categories throughout the six months. Optimizing these services or reviewing their configurations could potentially reduce expenses.</w:t>
      </w:r>
    </w:p>
    <w:p w14:paraId="5DA16671" w14:textId="1DE94916" w:rsidR="007A6ECD" w:rsidRPr="007A6ECD" w:rsidRDefault="007A6ECD" w:rsidP="007A6ECD">
      <w:pPr>
        <w:numPr>
          <w:ilvl w:val="0"/>
          <w:numId w:val="15"/>
        </w:numPr>
      </w:pPr>
      <w:r w:rsidRPr="007A6ECD">
        <w:rPr>
          <w:b/>
          <w:bCs/>
        </w:rPr>
        <w:t>Minimal Activity in August 2024</w:t>
      </w:r>
      <w:r w:rsidR="00C973C2">
        <w:rPr>
          <w:b/>
          <w:bCs/>
        </w:rPr>
        <w:t xml:space="preserve"> -</w:t>
      </w:r>
      <w:r w:rsidRPr="007A6ECD">
        <w:t xml:space="preserve"> There was a notable dip in usage in August 2024, with zero costs recorded for that month. This could indicate that services were paused or that billing credits were applied.</w:t>
      </w:r>
    </w:p>
    <w:p w14:paraId="13E3D552" w14:textId="2F1C82EF" w:rsidR="007A6ECD" w:rsidRDefault="007A6ECD" w:rsidP="007A6ECD">
      <w:pPr>
        <w:numPr>
          <w:ilvl w:val="0"/>
          <w:numId w:val="15"/>
        </w:numPr>
      </w:pPr>
      <w:r w:rsidRPr="007A6ECD">
        <w:rPr>
          <w:b/>
          <w:bCs/>
        </w:rPr>
        <w:t>Irregular Usage Patterns</w:t>
      </w:r>
      <w:r w:rsidR="00C973C2">
        <w:rPr>
          <w:b/>
          <w:bCs/>
        </w:rPr>
        <w:t xml:space="preserve"> -</w:t>
      </w:r>
      <w:r w:rsidRPr="007A6ECD">
        <w:t xml:space="preserve"> Most services, especially Elastic Load Balancing, EC2 instances, and RDS, show irregular usage with peaks occurring sporadically, which might indicate inefficiencies or fluctuating workloads.</w:t>
      </w:r>
    </w:p>
    <w:p w14:paraId="701073E5" w14:textId="3E828D7B" w:rsidR="007A6ECD" w:rsidRPr="007A6ECD" w:rsidRDefault="007A6ECD" w:rsidP="007A6ECD">
      <w:pPr>
        <w:numPr>
          <w:ilvl w:val="0"/>
          <w:numId w:val="12"/>
        </w:numPr>
      </w:pPr>
      <w:r w:rsidRPr="007A6ECD">
        <w:drawing>
          <wp:inline distT="0" distB="0" distL="0" distR="0" wp14:anchorId="317A6BA5" wp14:editId="38F9613B">
            <wp:extent cx="5760720" cy="1508125"/>
            <wp:effectExtent l="0" t="0" r="0" b="0"/>
            <wp:docPr id="2025238279"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38279" name="Afbeelding 1" descr="Afbeelding met tekst, Lettertype, schermopname&#10;&#10;Automatisch gegenereerde beschrijving"/>
                    <pic:cNvPicPr/>
                  </pic:nvPicPr>
                  <pic:blipFill>
                    <a:blip r:embed="rId8"/>
                    <a:stretch>
                      <a:fillRect/>
                    </a:stretch>
                  </pic:blipFill>
                  <pic:spPr>
                    <a:xfrm>
                      <a:off x="0" y="0"/>
                      <a:ext cx="5760720" cy="1508125"/>
                    </a:xfrm>
                    <a:prstGeom prst="rect">
                      <a:avLst/>
                    </a:prstGeom>
                  </pic:spPr>
                </pic:pic>
              </a:graphicData>
            </a:graphic>
          </wp:inline>
        </w:drawing>
      </w:r>
    </w:p>
    <w:p w14:paraId="267B5D38" w14:textId="77777777" w:rsidR="007A6ECD" w:rsidRPr="007A6ECD" w:rsidRDefault="007A6ECD" w:rsidP="007A6ECD">
      <w:r w:rsidRPr="007A6ECD">
        <w:pict w14:anchorId="76166774">
          <v:rect id="_x0000_i1064" style="width:0;height:1.5pt" o:hralign="center" o:hrstd="t" o:hr="t" fillcolor="#a0a0a0" stroked="f"/>
        </w:pict>
      </w:r>
    </w:p>
    <w:p w14:paraId="65B3EA2F" w14:textId="77777777" w:rsidR="007A6ECD" w:rsidRPr="007A6ECD" w:rsidRDefault="007A6ECD" w:rsidP="007A6ECD">
      <w:pPr>
        <w:pStyle w:val="Kop2"/>
      </w:pPr>
      <w:bookmarkStart w:id="5" w:name="_Toc187868776"/>
      <w:r w:rsidRPr="007A6ECD">
        <w:t>Recommendations</w:t>
      </w:r>
      <w:bookmarkEnd w:id="5"/>
    </w:p>
    <w:p w14:paraId="422BF9CC" w14:textId="614B66D1" w:rsidR="007A6ECD" w:rsidRPr="007A6ECD" w:rsidRDefault="007A6ECD" w:rsidP="007A6ECD">
      <w:pPr>
        <w:numPr>
          <w:ilvl w:val="0"/>
          <w:numId w:val="16"/>
        </w:numPr>
      </w:pPr>
      <w:r w:rsidRPr="007A6ECD">
        <w:rPr>
          <w:b/>
          <w:bCs/>
        </w:rPr>
        <w:t>Investigate December's Cost Surge</w:t>
      </w:r>
      <w:r w:rsidR="00C973C2">
        <w:rPr>
          <w:b/>
          <w:bCs/>
        </w:rPr>
        <w:t xml:space="preserve"> -</w:t>
      </w:r>
      <w:r w:rsidRPr="007A6ECD">
        <w:t xml:space="preserve"> The sharp increase in December 2024 warrants a thorough investigation to determine its cause. It is important to check for unexpected service scaling or usage spikes, and to identify any potential inefficiencies.</w:t>
      </w:r>
    </w:p>
    <w:p w14:paraId="2C1AD017" w14:textId="797431D1" w:rsidR="007A6ECD" w:rsidRPr="007A6ECD" w:rsidRDefault="007A6ECD" w:rsidP="007A6ECD">
      <w:pPr>
        <w:numPr>
          <w:ilvl w:val="0"/>
          <w:numId w:val="16"/>
        </w:numPr>
      </w:pPr>
      <w:r w:rsidRPr="007A6ECD">
        <w:rPr>
          <w:b/>
          <w:bCs/>
        </w:rPr>
        <w:t>Optimize VPC Configuration</w:t>
      </w:r>
      <w:r w:rsidR="00C973C2">
        <w:rPr>
          <w:b/>
          <w:bCs/>
        </w:rPr>
        <w:t xml:space="preserve"> -</w:t>
      </w:r>
      <w:r w:rsidRPr="007A6ECD">
        <w:t xml:space="preserve"> Since VPC has been a significant cost driver, it would be worthwhile to review its current configuration. Consider using cost-saving strategies like reserved instances or right-sizing the VPC architecture to better match usage.</w:t>
      </w:r>
    </w:p>
    <w:p w14:paraId="1BADD90D" w14:textId="0AE5EFC6" w:rsidR="007A6ECD" w:rsidRPr="007A6ECD" w:rsidRDefault="00C973C2" w:rsidP="007A6ECD">
      <w:pPr>
        <w:numPr>
          <w:ilvl w:val="0"/>
          <w:numId w:val="16"/>
        </w:numPr>
      </w:pPr>
      <w:r w:rsidRPr="007A6ECD">
        <w:rPr>
          <w:b/>
          <w:bCs/>
        </w:rPr>
        <w:t>Analyse</w:t>
      </w:r>
      <w:r w:rsidR="007A6ECD" w:rsidRPr="007A6ECD">
        <w:rPr>
          <w:b/>
          <w:bCs/>
        </w:rPr>
        <w:t xml:space="preserve"> Elastic Load Balancing Efficiency</w:t>
      </w:r>
      <w:r>
        <w:rPr>
          <w:b/>
          <w:bCs/>
        </w:rPr>
        <w:t xml:space="preserve"> -</w:t>
      </w:r>
      <w:r w:rsidR="007A6ECD" w:rsidRPr="007A6ECD">
        <w:t xml:space="preserve"> ELB usage has been a consistent cost factor. Reviewing how traffic is distributed across load balancers and scaling them efficiently could help reduce unnecessary spending.</w:t>
      </w:r>
    </w:p>
    <w:p w14:paraId="776C8144" w14:textId="322C2FA2" w:rsidR="007A6ECD" w:rsidRPr="007A6ECD" w:rsidRDefault="007A6ECD" w:rsidP="007A6ECD">
      <w:pPr>
        <w:numPr>
          <w:ilvl w:val="0"/>
          <w:numId w:val="16"/>
        </w:numPr>
      </w:pPr>
      <w:r w:rsidRPr="007A6ECD">
        <w:rPr>
          <w:b/>
          <w:bCs/>
        </w:rPr>
        <w:t>Implement Cost Allocation Tags</w:t>
      </w:r>
      <w:r w:rsidR="00C973C2">
        <w:rPr>
          <w:b/>
          <w:bCs/>
        </w:rPr>
        <w:t xml:space="preserve"> -</w:t>
      </w:r>
      <w:r w:rsidRPr="007A6ECD">
        <w:t xml:space="preserve"> To gain better insight into cost distribution, implementing cost allocation tags across AWS resources is recommended. This will enable more granular tracking and help identify areas for further cost reduction.</w:t>
      </w:r>
    </w:p>
    <w:p w14:paraId="18A7FABA" w14:textId="793353BF" w:rsidR="007A6ECD" w:rsidRPr="007A6ECD" w:rsidRDefault="007A6ECD" w:rsidP="007A6ECD">
      <w:pPr>
        <w:numPr>
          <w:ilvl w:val="0"/>
          <w:numId w:val="16"/>
        </w:numPr>
      </w:pPr>
      <w:r w:rsidRPr="007A6ECD">
        <w:rPr>
          <w:b/>
          <w:bCs/>
        </w:rPr>
        <w:t>Monitor RDS Usage and Evaluate Reserved Instances</w:t>
      </w:r>
      <w:r w:rsidR="00C973C2">
        <w:rPr>
          <w:b/>
          <w:bCs/>
        </w:rPr>
        <w:t xml:space="preserve"> -</w:t>
      </w:r>
      <w:r w:rsidRPr="007A6ECD">
        <w:t xml:space="preserve"> Since RDS costs have been notable, if its usage pattern remains consistent, it might be worth </w:t>
      </w:r>
      <w:r w:rsidRPr="007A6ECD">
        <w:lastRenderedPageBreak/>
        <w:t>considering reserved instances to benefit from cost savings over on-demand pricing.</w:t>
      </w:r>
    </w:p>
    <w:p w14:paraId="7F4A7022" w14:textId="77777777" w:rsidR="007A6ECD" w:rsidRPr="007A6ECD" w:rsidRDefault="007A6ECD" w:rsidP="007A6ECD">
      <w:r w:rsidRPr="007A6ECD">
        <w:pict w14:anchorId="548BCC11">
          <v:rect id="_x0000_i1065" style="width:0;height:1.5pt" o:hralign="center" o:hrstd="t" o:hr="t" fillcolor="#a0a0a0" stroked="f"/>
        </w:pict>
      </w:r>
    </w:p>
    <w:p w14:paraId="65BCBBE4" w14:textId="77777777" w:rsidR="007A6ECD" w:rsidRPr="007A6ECD" w:rsidRDefault="007A6ECD" w:rsidP="007A6ECD">
      <w:pPr>
        <w:pStyle w:val="Kop2"/>
      </w:pPr>
      <w:bookmarkStart w:id="6" w:name="_Toc187868777"/>
      <w:r w:rsidRPr="007A6ECD">
        <w:t>Additional Notes</w:t>
      </w:r>
      <w:bookmarkEnd w:id="6"/>
    </w:p>
    <w:p w14:paraId="1480F744" w14:textId="5F19014F" w:rsidR="007A6ECD" w:rsidRPr="007A6ECD" w:rsidRDefault="007A6ECD" w:rsidP="007A6ECD">
      <w:pPr>
        <w:numPr>
          <w:ilvl w:val="0"/>
          <w:numId w:val="14"/>
        </w:numPr>
      </w:pPr>
      <w:r w:rsidRPr="007A6ECD">
        <w:rPr>
          <w:b/>
          <w:bCs/>
        </w:rPr>
        <w:t>Zero or Negative Costs in Certain Months</w:t>
      </w:r>
      <w:r w:rsidR="00C973C2">
        <w:rPr>
          <w:b/>
          <w:bCs/>
        </w:rPr>
        <w:t xml:space="preserve"> -</w:t>
      </w:r>
      <w:r w:rsidRPr="007A6ECD">
        <w:t xml:space="preserve"> Some months show zero or negative costs, which may indicate that billing adjustments, credits, or refunds were applied. This is worth confirming with AWS billing support for clarification.</w:t>
      </w:r>
    </w:p>
    <w:p w14:paraId="329AB296" w14:textId="54BF53A4" w:rsidR="007A6ECD" w:rsidRPr="007A6ECD" w:rsidRDefault="007A6ECD" w:rsidP="007A6ECD">
      <w:pPr>
        <w:numPr>
          <w:ilvl w:val="0"/>
          <w:numId w:val="14"/>
        </w:numPr>
      </w:pPr>
      <w:r w:rsidRPr="007A6ECD">
        <w:rPr>
          <w:b/>
          <w:bCs/>
        </w:rPr>
        <w:t>Complex Infrastructure</w:t>
      </w:r>
      <w:r w:rsidR="00C973C2">
        <w:rPr>
          <w:b/>
          <w:bCs/>
        </w:rPr>
        <w:t xml:space="preserve"> -</w:t>
      </w:r>
      <w:r w:rsidRPr="007A6ECD">
        <w:t xml:space="preserve"> The usage of a wide range of AWS services (34 total) suggests a moderately complex infrastructure. This could lead to both opportunities and challenges in cost optimization. Continuous monitoring and adjustments will be necessary to ensure the infrastructure remains cost-effective.</w:t>
      </w:r>
    </w:p>
    <w:p w14:paraId="73C1F7E2" w14:textId="77777777" w:rsidR="007A6ECD" w:rsidRPr="007A6ECD" w:rsidRDefault="007A6ECD" w:rsidP="007A6ECD">
      <w:r w:rsidRPr="007A6ECD">
        <w:pict w14:anchorId="12209CFE">
          <v:rect id="_x0000_i1066" style="width:0;height:1.5pt" o:hralign="center" o:hrstd="t" o:hr="t" fillcolor="#a0a0a0" stroked="f"/>
        </w:pict>
      </w:r>
    </w:p>
    <w:p w14:paraId="734F9FAC" w14:textId="77777777" w:rsidR="007A6ECD" w:rsidRPr="007A6ECD" w:rsidRDefault="007A6ECD" w:rsidP="007A6ECD">
      <w:r w:rsidRPr="007A6ECD">
        <w:t>By implementing the recommendations above, the organization can potentially reduce unnecessary spending, improve the efficiency of AWS resources, and optimize overall cloud costs.</w:t>
      </w:r>
    </w:p>
    <w:p w14:paraId="3F4FB9B9" w14:textId="77777777" w:rsidR="007A6ECD" w:rsidRPr="007A6ECD" w:rsidRDefault="007A6ECD"/>
    <w:sectPr w:rsidR="007A6ECD" w:rsidRPr="007A6ECD" w:rsidSect="007A6E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B3EB"/>
      </v:shape>
    </w:pict>
  </w:numPicBullet>
  <w:abstractNum w:abstractNumId="0" w15:restartNumberingAfterBreak="0">
    <w:nsid w:val="0C676CD0"/>
    <w:multiLevelType w:val="multilevel"/>
    <w:tmpl w:val="5D1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79EF"/>
    <w:multiLevelType w:val="multilevel"/>
    <w:tmpl w:val="70DADD5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04104"/>
    <w:multiLevelType w:val="multilevel"/>
    <w:tmpl w:val="F7BA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B36B4"/>
    <w:multiLevelType w:val="multilevel"/>
    <w:tmpl w:val="BA22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B5060"/>
    <w:multiLevelType w:val="multilevel"/>
    <w:tmpl w:val="DAE4FBF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D4C40"/>
    <w:multiLevelType w:val="multilevel"/>
    <w:tmpl w:val="041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77076"/>
    <w:multiLevelType w:val="multilevel"/>
    <w:tmpl w:val="B24CAC4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35904"/>
    <w:multiLevelType w:val="multilevel"/>
    <w:tmpl w:val="93EE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B7D68"/>
    <w:multiLevelType w:val="multilevel"/>
    <w:tmpl w:val="9C8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66078"/>
    <w:multiLevelType w:val="multilevel"/>
    <w:tmpl w:val="32B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C2BD3"/>
    <w:multiLevelType w:val="multilevel"/>
    <w:tmpl w:val="D4C4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6349F"/>
    <w:multiLevelType w:val="multilevel"/>
    <w:tmpl w:val="F692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5594F"/>
    <w:multiLevelType w:val="multilevel"/>
    <w:tmpl w:val="EFEA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28033D"/>
    <w:multiLevelType w:val="multilevel"/>
    <w:tmpl w:val="4D9854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240AF"/>
    <w:multiLevelType w:val="multilevel"/>
    <w:tmpl w:val="90D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737CB"/>
    <w:multiLevelType w:val="multilevel"/>
    <w:tmpl w:val="5158FF1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0005C"/>
    <w:multiLevelType w:val="multilevel"/>
    <w:tmpl w:val="D24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35EAF"/>
    <w:multiLevelType w:val="multilevel"/>
    <w:tmpl w:val="48B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C55C0"/>
    <w:multiLevelType w:val="multilevel"/>
    <w:tmpl w:val="1952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14837"/>
    <w:multiLevelType w:val="multilevel"/>
    <w:tmpl w:val="5FB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306327">
    <w:abstractNumId w:val="0"/>
  </w:num>
  <w:num w:numId="2" w16cid:durableId="1696034038">
    <w:abstractNumId w:val="11"/>
  </w:num>
  <w:num w:numId="3" w16cid:durableId="1423067373">
    <w:abstractNumId w:val="16"/>
  </w:num>
  <w:num w:numId="4" w16cid:durableId="620452550">
    <w:abstractNumId w:val="19"/>
  </w:num>
  <w:num w:numId="5" w16cid:durableId="124541098">
    <w:abstractNumId w:val="3"/>
  </w:num>
  <w:num w:numId="6" w16cid:durableId="337273678">
    <w:abstractNumId w:val="7"/>
  </w:num>
  <w:num w:numId="7" w16cid:durableId="1866555531">
    <w:abstractNumId w:val="14"/>
  </w:num>
  <w:num w:numId="8" w16cid:durableId="1017997340">
    <w:abstractNumId w:val="5"/>
  </w:num>
  <w:num w:numId="9" w16cid:durableId="242374602">
    <w:abstractNumId w:val="9"/>
  </w:num>
  <w:num w:numId="10" w16cid:durableId="1322154324">
    <w:abstractNumId w:val="2"/>
  </w:num>
  <w:num w:numId="11" w16cid:durableId="488638286">
    <w:abstractNumId w:val="10"/>
  </w:num>
  <w:num w:numId="12" w16cid:durableId="1380594816">
    <w:abstractNumId w:val="17"/>
  </w:num>
  <w:num w:numId="13" w16cid:durableId="920217054">
    <w:abstractNumId w:val="12"/>
  </w:num>
  <w:num w:numId="14" w16cid:durableId="1360931570">
    <w:abstractNumId w:val="8"/>
  </w:num>
  <w:num w:numId="15" w16cid:durableId="704529103">
    <w:abstractNumId w:val="1"/>
  </w:num>
  <w:num w:numId="16" w16cid:durableId="1755786005">
    <w:abstractNumId w:val="18"/>
  </w:num>
  <w:num w:numId="17" w16cid:durableId="588583610">
    <w:abstractNumId w:val="15"/>
  </w:num>
  <w:num w:numId="18" w16cid:durableId="2028945426">
    <w:abstractNumId w:val="13"/>
  </w:num>
  <w:num w:numId="19" w16cid:durableId="938413522">
    <w:abstractNumId w:val="6"/>
  </w:num>
  <w:num w:numId="20" w16cid:durableId="770125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CD"/>
    <w:rsid w:val="001C59D6"/>
    <w:rsid w:val="007A6ECD"/>
    <w:rsid w:val="00C973C2"/>
    <w:rsid w:val="00D35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7B7C"/>
  <w15:chartTrackingRefBased/>
  <w15:docId w15:val="{A16F53B5-3429-42CA-BB2E-1F628AD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6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A6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A6EC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A6EC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A6EC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A6EC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6EC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6EC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6EC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6EC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A6EC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A6EC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A6EC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A6EC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A6EC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A6EC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A6EC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A6ECD"/>
    <w:rPr>
      <w:rFonts w:eastAsiaTheme="majorEastAsia" w:cstheme="majorBidi"/>
      <w:color w:val="272727" w:themeColor="text1" w:themeTint="D8"/>
    </w:rPr>
  </w:style>
  <w:style w:type="paragraph" w:styleId="Titel">
    <w:name w:val="Title"/>
    <w:basedOn w:val="Standaard"/>
    <w:next w:val="Standaard"/>
    <w:link w:val="TitelChar"/>
    <w:uiPriority w:val="10"/>
    <w:qFormat/>
    <w:rsid w:val="007A6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6EC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6EC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6EC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A6EC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A6ECD"/>
    <w:rPr>
      <w:i/>
      <w:iCs/>
      <w:color w:val="404040" w:themeColor="text1" w:themeTint="BF"/>
    </w:rPr>
  </w:style>
  <w:style w:type="paragraph" w:styleId="Lijstalinea">
    <w:name w:val="List Paragraph"/>
    <w:basedOn w:val="Standaard"/>
    <w:uiPriority w:val="34"/>
    <w:qFormat/>
    <w:rsid w:val="007A6ECD"/>
    <w:pPr>
      <w:ind w:left="720"/>
      <w:contextualSpacing/>
    </w:pPr>
  </w:style>
  <w:style w:type="character" w:styleId="Intensievebenadrukking">
    <w:name w:val="Intense Emphasis"/>
    <w:basedOn w:val="Standaardalinea-lettertype"/>
    <w:uiPriority w:val="21"/>
    <w:qFormat/>
    <w:rsid w:val="007A6ECD"/>
    <w:rPr>
      <w:i/>
      <w:iCs/>
      <w:color w:val="0F4761" w:themeColor="accent1" w:themeShade="BF"/>
    </w:rPr>
  </w:style>
  <w:style w:type="paragraph" w:styleId="Duidelijkcitaat">
    <w:name w:val="Intense Quote"/>
    <w:basedOn w:val="Standaard"/>
    <w:next w:val="Standaard"/>
    <w:link w:val="DuidelijkcitaatChar"/>
    <w:uiPriority w:val="30"/>
    <w:qFormat/>
    <w:rsid w:val="007A6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A6ECD"/>
    <w:rPr>
      <w:i/>
      <w:iCs/>
      <w:color w:val="0F4761" w:themeColor="accent1" w:themeShade="BF"/>
    </w:rPr>
  </w:style>
  <w:style w:type="character" w:styleId="Intensieveverwijzing">
    <w:name w:val="Intense Reference"/>
    <w:basedOn w:val="Standaardalinea-lettertype"/>
    <w:uiPriority w:val="32"/>
    <w:qFormat/>
    <w:rsid w:val="007A6ECD"/>
    <w:rPr>
      <w:b/>
      <w:bCs/>
      <w:smallCaps/>
      <w:color w:val="0F4761" w:themeColor="accent1" w:themeShade="BF"/>
      <w:spacing w:val="5"/>
    </w:rPr>
  </w:style>
  <w:style w:type="paragraph" w:styleId="Geenafstand">
    <w:name w:val="No Spacing"/>
    <w:link w:val="GeenafstandChar"/>
    <w:uiPriority w:val="1"/>
    <w:qFormat/>
    <w:rsid w:val="007A6ECD"/>
    <w:pPr>
      <w:spacing w:after="0" w:line="240" w:lineRule="auto"/>
    </w:pPr>
    <w:rPr>
      <w:rFonts w:eastAsiaTheme="minorEastAsia"/>
      <w:kern w:val="0"/>
      <w:sz w:val="22"/>
      <w:szCs w:val="22"/>
      <w:lang w:eastAsia="en-GB"/>
      <w14:ligatures w14:val="none"/>
    </w:rPr>
  </w:style>
  <w:style w:type="character" w:customStyle="1" w:styleId="GeenafstandChar">
    <w:name w:val="Geen afstand Char"/>
    <w:basedOn w:val="Standaardalinea-lettertype"/>
    <w:link w:val="Geenafstand"/>
    <w:uiPriority w:val="1"/>
    <w:rsid w:val="007A6ECD"/>
    <w:rPr>
      <w:rFonts w:eastAsiaTheme="minorEastAsia"/>
      <w:kern w:val="0"/>
      <w:sz w:val="22"/>
      <w:szCs w:val="22"/>
      <w:lang w:eastAsia="en-GB"/>
      <w14:ligatures w14:val="none"/>
    </w:rPr>
  </w:style>
  <w:style w:type="paragraph" w:styleId="Kopvaninhoudsopgave">
    <w:name w:val="TOC Heading"/>
    <w:basedOn w:val="Kop1"/>
    <w:next w:val="Standaard"/>
    <w:uiPriority w:val="39"/>
    <w:unhideWhenUsed/>
    <w:qFormat/>
    <w:rsid w:val="007A6ECD"/>
    <w:pPr>
      <w:spacing w:before="240" w:after="0" w:line="259" w:lineRule="auto"/>
      <w:outlineLvl w:val="9"/>
    </w:pPr>
    <w:rPr>
      <w:kern w:val="0"/>
      <w:sz w:val="32"/>
      <w:szCs w:val="32"/>
      <w:lang w:eastAsia="en-GB"/>
      <w14:ligatures w14:val="none"/>
    </w:rPr>
  </w:style>
  <w:style w:type="paragraph" w:styleId="Inhopg2">
    <w:name w:val="toc 2"/>
    <w:basedOn w:val="Standaard"/>
    <w:next w:val="Standaard"/>
    <w:autoRedefine/>
    <w:uiPriority w:val="39"/>
    <w:unhideWhenUsed/>
    <w:rsid w:val="007A6ECD"/>
    <w:pPr>
      <w:tabs>
        <w:tab w:val="right" w:leader="dot" w:pos="9062"/>
      </w:tabs>
      <w:spacing w:after="100"/>
      <w:ind w:left="240"/>
    </w:pPr>
  </w:style>
  <w:style w:type="character" w:styleId="Hyperlink">
    <w:name w:val="Hyperlink"/>
    <w:basedOn w:val="Standaardalinea-lettertype"/>
    <w:uiPriority w:val="99"/>
    <w:unhideWhenUsed/>
    <w:rsid w:val="007A6E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357268">
      <w:bodyDiv w:val="1"/>
      <w:marLeft w:val="0"/>
      <w:marRight w:val="0"/>
      <w:marTop w:val="0"/>
      <w:marBottom w:val="0"/>
      <w:divBdr>
        <w:top w:val="none" w:sz="0" w:space="0" w:color="auto"/>
        <w:left w:val="none" w:sz="0" w:space="0" w:color="auto"/>
        <w:bottom w:val="none" w:sz="0" w:space="0" w:color="auto"/>
        <w:right w:val="none" w:sz="0" w:space="0" w:color="auto"/>
      </w:divBdr>
    </w:div>
    <w:div w:id="1132942304">
      <w:bodyDiv w:val="1"/>
      <w:marLeft w:val="0"/>
      <w:marRight w:val="0"/>
      <w:marTop w:val="0"/>
      <w:marBottom w:val="0"/>
      <w:divBdr>
        <w:top w:val="none" w:sz="0" w:space="0" w:color="auto"/>
        <w:left w:val="none" w:sz="0" w:space="0" w:color="auto"/>
        <w:bottom w:val="none" w:sz="0" w:space="0" w:color="auto"/>
        <w:right w:val="none" w:sz="0" w:space="0" w:color="auto"/>
      </w:divBdr>
    </w:div>
    <w:div w:id="1220478528">
      <w:bodyDiv w:val="1"/>
      <w:marLeft w:val="0"/>
      <w:marRight w:val="0"/>
      <w:marTop w:val="0"/>
      <w:marBottom w:val="0"/>
      <w:divBdr>
        <w:top w:val="none" w:sz="0" w:space="0" w:color="auto"/>
        <w:left w:val="none" w:sz="0" w:space="0" w:color="auto"/>
        <w:bottom w:val="none" w:sz="0" w:space="0" w:color="auto"/>
        <w:right w:val="none" w:sz="0" w:space="0" w:color="auto"/>
      </w:divBdr>
    </w:div>
    <w:div w:id="1373726405">
      <w:bodyDiv w:val="1"/>
      <w:marLeft w:val="0"/>
      <w:marRight w:val="0"/>
      <w:marTop w:val="0"/>
      <w:marBottom w:val="0"/>
      <w:divBdr>
        <w:top w:val="none" w:sz="0" w:space="0" w:color="auto"/>
        <w:left w:val="none" w:sz="0" w:space="0" w:color="auto"/>
        <w:bottom w:val="none" w:sz="0" w:space="0" w:color="auto"/>
        <w:right w:val="none" w:sz="0" w:space="0" w:color="auto"/>
      </w:divBdr>
    </w:div>
    <w:div w:id="1980768343">
      <w:bodyDiv w:val="1"/>
      <w:marLeft w:val="0"/>
      <w:marRight w:val="0"/>
      <w:marTop w:val="0"/>
      <w:marBottom w:val="0"/>
      <w:divBdr>
        <w:top w:val="none" w:sz="0" w:space="0" w:color="auto"/>
        <w:left w:val="none" w:sz="0" w:space="0" w:color="auto"/>
        <w:bottom w:val="none" w:sz="0" w:space="0" w:color="auto"/>
        <w:right w:val="none" w:sz="0" w:space="0" w:color="auto"/>
      </w:divBdr>
    </w:div>
    <w:div w:id="206309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SEM3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F3C218-DB32-40DC-878E-4174EBA6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995</Words>
  <Characters>5673</Characters>
  <Application>Microsoft Office Word</Application>
  <DocSecurity>0</DocSecurity>
  <Lines>47</Lines>
  <Paragraphs>13</Paragraphs>
  <ScaleCrop>false</ScaleCrop>
  <Company>FONTYS</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Operation</dc:title>
  <dc:subject/>
  <dc:creator>SCRUM 5</dc:creator>
  <cp:keywords/>
  <dc:description/>
  <cp:lastModifiedBy>isabelle gruijs</cp:lastModifiedBy>
  <cp:revision>3</cp:revision>
  <dcterms:created xsi:type="dcterms:W3CDTF">2025-01-15T20:11:00Z</dcterms:created>
  <dcterms:modified xsi:type="dcterms:W3CDTF">2025-01-15T20:26:00Z</dcterms:modified>
</cp:coreProperties>
</file>