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B2A4A"/>
          <w:sz w:val="46"/>
          <w:szCs w:val="46"/>
        </w:rPr>
        <w:t xml:space="preserve">Wisdom, Intuition, Knowledge, and Judgment</w:t>
      </w:r>
    </w:p>
    <w:p>
      <w:pPr>
        <w:spacing w:after="200"/>
        <w:jc w:val="center"/>
      </w:pPr>
      <w:r>
        <w:rPr>
          <w:rFonts w:ascii="Calibri" w:cs="Calibri" w:eastAsia="Calibri" w:hAnsi="Calibri"/>
          <w:color w:val="1A5E63"/>
          <w:sz w:val="30"/>
          <w:szCs w:val="30"/>
        </w:rPr>
        <w:t xml:space="preserve">A Multidisciplinary Map for Prompt Design</w:t>
      </w:r>
    </w:p>
    <w:p>
      <w:pPr>
        <w:pBdr>
          <w:top w:val="single" w:color="8B2500" w:sz="4" w:space="10"/>
          <w:bottom w:val="single" w:color="8B2500" w:sz="4" w:space="10"/>
        </w:pBdr>
        <w:spacing w:after="40"/>
        <w:jc w:val="center"/>
      </w:pPr>
      <w:r>
        <w:rPr>
          <w:rFonts w:ascii="Calibri" w:cs="Calibri" w:eastAsia="Calibri" w:hAnsi="Calibri"/>
          <w:b/>
          <w:bCs/>
          <w:color w:val="8B2500"/>
          <w:sz w:val="24"/>
          <w:szCs w:val="24"/>
        </w:rPr>
        <w:t xml:space="preserve">Version 3.1 — fully sourced, re-verified</w:t>
      </w:r>
    </w:p>
    <w:p>
      <w:pPr>
        <w:spacing w:after="40" w:before="320"/>
        <w:jc w:val="center"/>
      </w:pPr>
      <w:r>
        <w:rPr>
          <w:rFonts w:ascii="Calibri" w:cs="Calibri" w:eastAsia="Calibri" w:hAnsi="Calibri"/>
          <w:color w:val="555555"/>
          <w:sz w:val="20"/>
          <w:szCs w:val="20"/>
        </w:rPr>
        <w:t xml:space="preserve">Author of record: Martin Montero / AOS</w:t>
      </w:r>
    </w:p>
    <w:p>
      <w:pPr>
        <w:spacing w:after="40"/>
        <w:jc w:val="center"/>
      </w:pPr>
      <w:r>
        <w:rPr>
          <w:rFonts w:ascii="Calibri" w:cs="Calibri" w:eastAsia="Calibri" w:hAnsi="Calibri"/>
          <w:color w:val="555555"/>
          <w:sz w:val="20"/>
          <w:szCs w:val="20"/>
        </w:rPr>
        <w:t xml:space="preserve">Epistemic Canon companion document — the Non-Dev Builder OS</w:t>
      </w:r>
    </w:p>
    <w:p>
      <w:pPr>
        <w:spacing w:after="40"/>
        <w:jc w:val="center"/>
      </w:pPr>
      <w:r>
        <w:rPr>
          <w:rFonts w:ascii="Calibri" w:cs="Calibri" w:eastAsia="Calibri" w:hAnsi="Calibri"/>
          <w:color w:val="555555"/>
          <w:sz w:val="20"/>
          <w:szCs w:val="20"/>
        </w:rPr>
        <w:t xml:space="preserve">Rebuilt 13 July 2026</w:t>
      </w:r>
    </w:p>
    <w:p>
      <w:r>
        <w:br w:type="page"/>
      </w:r>
    </w:p>
    <w:p>
      <w:pPr>
        <w:pStyle w:val="Heading1"/>
        <w:spacing w:after="140" w:before="300"/>
      </w:pPr>
      <w:r>
        <w:rPr>
          <w:rFonts w:ascii="Calibri" w:cs="Calibri" w:eastAsia="Calibri" w:hAnsi="Calibri"/>
          <w:b/>
          <w:bCs/>
          <w:color w:val="1B2A4A"/>
          <w:sz w:val="30"/>
          <w:szCs w:val="30"/>
        </w:rPr>
        <w:t xml:space="preserve">About this version</w:t>
      </w:r>
    </w:p>
    <w:p>
      <w:pPr>
        <w:pBdr>
          <w:left w:val="single" w:color="1A5E63" w:sz="18" w:space="14"/>
        </w:pBdr>
        <w:shd w:fill="F4F6F8" w:val="clear"/>
        <w:spacing w:after="120" w:before="120" w:line="276"/>
        <w:ind w:left="120" w:right="120"/>
      </w:pPr>
      <w:r>
        <w:rPr>
          <w:rFonts w:ascii="Calibri" w:cs="Calibri" w:eastAsia="Calibri" w:hAnsi="Calibri"/>
          <w:b/>
          <w:bCs/>
          <w:sz w:val="21"/>
          <w:szCs w:val="21"/>
        </w:rPr>
        <w:t xml:space="preserve">What v3.1 is. </w:t>
      </w:r>
      <w:r>
        <w:rPr>
          <w:rFonts w:ascii="Calibri" w:cs="Calibri" w:eastAsia="Calibri" w:hAnsi="Calibri"/>
          <w:sz w:val="21"/>
          <w:szCs w:val="21"/>
        </w:rPr>
        <w:t xml:space="preserve">A faithful rebuild of the v3 map after its original output files were lost. v3.1 takes the ratified v2 body (recovered verbatim from </w:t>
      </w:r>
      <w:r>
        <w:rPr>
          <w:rFonts w:ascii="Calibri" w:cs="Calibri" w:eastAsia="Calibri" w:hAnsi="Calibri"/>
          <w:i/>
          <w:iCs/>
          <w:sz w:val="21"/>
          <w:szCs w:val="21"/>
        </w:rPr>
        <w:t xml:space="preserve">github.com/MartinMontero/holmes</w:t>
      </w:r>
      <w:r>
        <w:rPr>
          <w:rFonts w:ascii="Calibri" w:cs="Calibri" w:eastAsia="Calibri" w:hAnsi="Calibri"/>
          <w:sz w:val="21"/>
          <w:szCs w:val="21"/>
        </w:rPr>
        <w:t xml:space="preserve">, docs/research/wisdom-intuition-knowledge-judgment-v2.md) as its structural base, then re-applies the three v3 upgrades — each re-verified against primary sources in this build rather than carried over on trust. Every primary-source check run during the rebuild is logged in the Re-Verification Appendix.</w:t>
      </w:r>
    </w:p>
    <w:p>
      <w:pPr>
        <w:spacing w:after="140" w:line="276"/>
      </w:pPr>
      <w:r>
        <w:rPr>
          <w:rFonts w:ascii="Calibri" w:cs="Calibri" w:eastAsia="Calibri" w:hAnsi="Calibri"/>
          <w:b/>
          <w:bCs/>
          <w:sz w:val="21"/>
          <w:szCs w:val="21"/>
        </w:rPr>
        <w:t xml:space="preserve">Why the version number moved to 3.1 rather than reissuing 3.0. </w:t>
      </w:r>
      <w:r>
        <w:rPr>
          <w:rFonts w:ascii="Calibri" w:cs="Calibri" w:eastAsia="Calibri" w:hAnsi="Calibri"/>
          <w:sz w:val="21"/>
          <w:szCs w:val="21"/>
        </w:rPr>
        <w:t xml:space="preserve">The lost v3.0 cannot be byte-reproduced, so anything that cites "v3.0" by hash would mismatch. v3.1 is the honest label: it supersedes v3.0 in substance and re-verifies its claims, but is a distinct artifact. Documents that reference the map by name (e.g. the Founder's Quest repo's docs/epistemology/ dependency) should be re-pointed at v3.1.</w:t>
      </w:r>
    </w:p>
    <w:p>
      <w:pPr>
        <w:spacing w:after="140" w:line="276"/>
      </w:pPr>
      <w:r>
        <w:rPr>
          <w:rFonts w:ascii="Calibri" w:cs="Calibri" w:eastAsia="Calibri" w:hAnsi="Calibri"/>
          <w:b/>
          <w:bCs/>
          <w:sz w:val="21"/>
          <w:szCs w:val="21"/>
        </w:rPr>
        <w:t xml:space="preserve">The three upgrades v3 folded in beyond v2, all re-verified here: </w:t>
      </w:r>
      <w:r>
        <w:rPr>
          <w:rFonts w:ascii="Calibri" w:cs="Calibri" w:eastAsia="Calibri" w:hAnsi="Calibri"/>
          <w:sz w:val="21"/>
          <w:szCs w:val="21"/>
        </w:rPr>
        <w:t xml:space="preserve">(1) the Indigenous Knowledge Systems section moves from "under-sourced" to fully cited (Bartlett/Marshall/Marshall 2012; Cajete 2000; Kimmerer 2013; Tuhiwai Smith; the CARE Principles, Carroll et al. 2020); (2) the two Craig interoception citations are locked as verified primary sources; and (3) the Ardelt/psychometric picture is sourced to the open-access full text of Glück et al. 2013 — including the corrected detail that the .26 self-deception figure belongs to the SAWS, not the 3D-WS.</w:t>
      </w:r>
    </w:p>
    <w:p>
      <w:pPr>
        <w:pBdr>
          <w:bottom w:val="single" w:color="C9D2DC" w:sz="6" w:space="4"/>
        </w:pBdr>
        <w:spacing w:after="160" w:before="60"/>
      </w:pPr>
      <w:r>
        <w:rPr>
          <w:rFonts w:ascii="Calibri" w:cs="Calibri" w:eastAsia="Calibri" w:hAnsi="Calibri"/>
          <w:sz w:val="21"/>
          <w:szCs w:val="21"/>
        </w:rPr>
        <w:t xml:space="preserve"/>
      </w:r>
    </w:p>
    <w:p>
      <w:pPr>
        <w:pStyle w:val="Heading1"/>
        <w:spacing w:after="140" w:before="300"/>
      </w:pPr>
      <w:r>
        <w:rPr>
          <w:rFonts w:ascii="Calibri" w:cs="Calibri" w:eastAsia="Calibri" w:hAnsi="Calibri"/>
          <w:b/>
          <w:bCs/>
          <w:color w:val="1B2A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B2A4A"/>
          <w:sz w:val="30"/>
          <w:szCs w:val="30"/>
        </w:rPr>
        <w:t xml:space="preserve">Executive Summary</w:t>
      </w:r>
    </w:p>
    <w:p>
      <w:pPr>
        <w:spacing w:after="140" w:line="276"/>
      </w:pPr>
      <w:r>
        <w:rPr>
          <w:rFonts w:ascii="Calibri" w:cs="Calibri" w:eastAsia="Calibri" w:hAnsi="Calibri"/>
          <w:sz w:val="21"/>
          <w:szCs w:val="21"/>
        </w:rPr>
        <w:t xml:space="preserve">Two claims are under examination:</w:t>
      </w:r>
    </w:p>
    <w:p>
      <w:pPr>
        <w:pStyle w:val="ListParagraph"/>
        <w:numPr>
          <w:ilvl w:val="0"/>
          <w:numId w:val="2"/>
        </w:numPr>
        <w:spacing w:after="80" w:line="268"/>
      </w:pPr>
      <w:r>
        <w:rPr>
          <w:rFonts w:ascii="Calibri" w:cs="Calibri" w:eastAsia="Calibri" w:hAnsi="Calibri"/>
          <w:i/>
          <w:iCs/>
          <w:sz w:val="21"/>
          <w:szCs w:val="21"/>
        </w:rPr>
        <w:t xml:space="preserve">“Wisdom and intuition are different from knowledge and judgment.”</w:t>
      </w:r>
    </w:p>
    <w:p>
      <w:pPr>
        <w:pStyle w:val="ListParagraph"/>
        <w:numPr>
          <w:ilvl w:val="0"/>
          <w:numId w:val="2"/>
        </w:numPr>
        <w:spacing w:after="80" w:line="268"/>
      </w:pPr>
      <w:r>
        <w:rPr>
          <w:rFonts w:ascii="Calibri" w:cs="Calibri" w:eastAsia="Calibri" w:hAnsi="Calibri"/>
          <w:i/>
          <w:iCs/>
          <w:sz w:val="21"/>
          <w:szCs w:val="21"/>
        </w:rPr>
        <w:t xml:space="preserve">“Wisdom is the application of acquired knowledge through the lens of personal experience and the use of intuition to guide your actions and strategy.”</w:t>
      </w:r>
    </w:p>
    <w:p>
      <w:pPr>
        <w:spacing w:after="140" w:line="276"/>
      </w:pPr>
      <w:r>
        <w:rPr>
          <w:rFonts w:ascii="Calibri" w:cs="Calibri" w:eastAsia="Calibri" w:hAnsi="Calibri"/>
          <w:sz w:val="21"/>
          <w:szCs w:val="21"/>
        </w:rPr>
        <w:t xml:space="preserve">Both are </w:t>
      </w:r>
      <w:r>
        <w:rPr>
          <w:rFonts w:ascii="Calibri" w:cs="Calibri" w:eastAsia="Calibri" w:hAnsi="Calibri"/>
          <w:b/>
          <w:bCs/>
          <w:sz w:val="21"/>
          <w:szCs w:val="21"/>
        </w:rPr>
        <w:t xml:space="preserve">broadly defensible and well-aligned with scholarship</w:t>
      </w:r>
      <w:r>
        <w:rPr>
          <w:rFonts w:ascii="Calibri" w:cs="Calibri" w:eastAsia="Calibri" w:hAnsi="Calibri"/>
          <w:sz w:val="21"/>
          <w:szCs w:val="21"/>
        </w:rPr>
        <w:t xml:space="preserve"> across philosophy, psychology, neuroscience, Eastern contemplative traditions, Indigenous epistemology, and decision science. Across these traditions, wisdom and intuition are repeatedly distinguished from propositional knowledge and analytic judgment — but the dominant scholarly view treats these four as </w:t>
      </w:r>
      <w:r>
        <w:rPr>
          <w:rFonts w:ascii="Calibri" w:cs="Calibri" w:eastAsia="Calibri" w:hAnsi="Calibri"/>
          <w:i/>
          <w:iCs/>
          <w:sz w:val="21"/>
          <w:szCs w:val="21"/>
        </w:rPr>
        <w:t xml:space="preserve">interdependent and overlapping</w:t>
      </w:r>
      <w:r>
        <w:rPr>
          <w:rFonts w:ascii="Calibri" w:cs="Calibri" w:eastAsia="Calibri" w:hAnsi="Calibri"/>
          <w:sz w:val="21"/>
          <w:szCs w:val="21"/>
        </w:rPr>
        <w:t xml:space="preserve">, not cleanly separable. The strongest analytical prompt will frame them as a system of mutually constituting capacities rather than four bins.</w:t>
      </w:r>
    </w:p>
    <w:p>
      <w:pPr>
        <w:spacing w:after="140" w:line="276"/>
      </w:pPr>
      <w:r>
        <w:rPr>
          <w:rFonts w:ascii="Calibri" w:cs="Calibri" w:eastAsia="Calibri" w:hAnsi="Calibri"/>
          <w:sz w:val="21"/>
          <w:szCs w:val="21"/>
        </w:rPr>
        <w:t xml:space="preserve">The most important refinements to the formulation: it maps closely (though not exactly) onto </w:t>
      </w:r>
      <w:r>
        <w:rPr>
          <w:rFonts w:ascii="Calibri" w:cs="Calibri" w:eastAsia="Calibri" w:hAnsi="Calibri"/>
          <w:b/>
          <w:bCs/>
          <w:sz w:val="21"/>
          <w:szCs w:val="21"/>
        </w:rPr>
        <w:t xml:space="preserve">Aristotle's phronesis</w:t>
      </w:r>
      <w:r>
        <w:rPr>
          <w:rFonts w:ascii="Calibri" w:cs="Calibri" w:eastAsia="Calibri" w:hAnsi="Calibri"/>
          <w:sz w:val="21"/>
          <w:szCs w:val="21"/>
        </w:rPr>
        <w:t xml:space="preserve"> and the modern </w:t>
      </w:r>
      <w:r>
        <w:rPr>
          <w:rFonts w:ascii="Calibri" w:cs="Calibri" w:eastAsia="Calibri" w:hAnsi="Calibri"/>
          <w:b/>
          <w:bCs/>
          <w:sz w:val="21"/>
          <w:szCs w:val="21"/>
        </w:rPr>
        <w:t xml:space="preserve">Common Wisdom Model</w:t>
      </w:r>
      <w:r>
        <w:rPr>
          <w:rFonts w:ascii="Calibri" w:cs="Calibri" w:eastAsia="Calibri" w:hAnsi="Calibri"/>
          <w:sz w:val="21"/>
          <w:szCs w:val="21"/>
        </w:rPr>
        <w:t xml:space="preserve"> (Grossmann et al., 2020), but it under-weights two features nearly every contemporary framework treats as central: </w:t>
      </w:r>
      <w:r>
        <w:rPr>
          <w:rFonts w:ascii="Calibri" w:cs="Calibri" w:eastAsia="Calibri" w:hAnsi="Calibri"/>
          <w:b/>
          <w:bCs/>
          <w:sz w:val="21"/>
          <w:szCs w:val="21"/>
        </w:rPr>
        <w:t xml:space="preserve">moral grounding</w:t>
      </w:r>
      <w:r>
        <w:rPr>
          <w:rFonts w:ascii="Calibri" w:cs="Calibri" w:eastAsia="Calibri" w:hAnsi="Calibri"/>
          <w:sz w:val="21"/>
          <w:szCs w:val="21"/>
        </w:rPr>
        <w:t xml:space="preserve"> (orientation toward a shared good — though this requirement is itself a substantive position, not a universal; see §5.C) and </w:t>
      </w:r>
      <w:r>
        <w:rPr>
          <w:rFonts w:ascii="Calibri" w:cs="Calibri" w:eastAsia="Calibri" w:hAnsi="Calibri"/>
          <w:b/>
          <w:bCs/>
          <w:sz w:val="21"/>
          <w:szCs w:val="21"/>
        </w:rPr>
        <w:t xml:space="preserve">metacognitive humility</w:t>
      </w:r>
      <w:r>
        <w:rPr>
          <w:rFonts w:ascii="Calibri" w:cs="Calibri" w:eastAsia="Calibri" w:hAnsi="Calibri"/>
          <w:sz w:val="21"/>
          <w:szCs w:val="21"/>
        </w:rPr>
        <w:t xml:space="preserve"> (knowing the limits of one's knowledge and managing uncertainty). It also leaves the reliability of intuition unconditional, when the strongest empirical result in the field (Kahneman &amp; Klein, 2009) establishes that skilled intuition is </w:t>
      </w:r>
      <w:r>
        <w:rPr>
          <w:rFonts w:ascii="Calibri" w:cs="Calibri" w:eastAsia="Calibri" w:hAnsi="Calibri"/>
          <w:i/>
          <w:iCs/>
          <w:sz w:val="21"/>
          <w:szCs w:val="21"/>
        </w:rPr>
        <w:t xml:space="preserve">conditionally</w:t>
      </w:r>
      <w:r>
        <w:rPr>
          <w:rFonts w:ascii="Calibri" w:cs="Calibri" w:eastAsia="Calibri" w:hAnsi="Calibri"/>
          <w:sz w:val="21"/>
          <w:szCs w:val="21"/>
        </w:rPr>
        <w:t xml:space="preserve"> reliable — dependent on environment and feedback structure.</w:t>
      </w:r>
    </w:p>
    <w:p>
      <w:pPr>
        <w:pStyle w:val="Heading3"/>
        <w:spacing w:after="80" w:before="160"/>
      </w:pPr>
      <w:r>
        <w:rPr>
          <w:rFonts w:ascii="Calibri" w:cs="Calibri" w:eastAsia="Calibri" w:hAnsi="Calibri"/>
          <w:b/>
          <w:bCs/>
          <w:color w:val="8B2500"/>
          <w:sz w:val="22"/>
          <w:szCs w:val="22"/>
        </w:rPr>
        <w:t xml:space="preserve">Methodological Note</w:t>
      </w:r>
    </w:p>
    <w:p>
      <w:pPr>
        <w:spacing w:after="140" w:line="276"/>
      </w:pPr>
      <w:r>
        <w:rPr>
          <w:rFonts w:ascii="Calibri" w:cs="Calibri" w:eastAsia="Calibri" w:hAnsi="Calibri"/>
          <w:sz w:val="21"/>
          <w:szCs w:val="21"/>
        </w:rPr>
        <w:t xml:space="preserve">This report organizes its material along an explicit/propositional vs. tacit/holistic axis. This is a useful heuristic, but it imports a Western dual-process frame (System 1 / System 2) that is itself contested within current cognitive science. Bago &amp; De Neys (2019, 2020) blur the boundary with their “competing intuitions” model, and Mega, Gigerenzer &amp; Volz (2015) present neural evidence that contradicts a “clear-cut dichotomy of the processing systems” and supports “rather a unified model.” Applied to Buddhist </w:t>
      </w:r>
      <w:r>
        <w:rPr>
          <w:rFonts w:ascii="Calibri" w:cs="Calibri" w:eastAsia="Calibri" w:hAnsi="Calibri"/>
          <w:i/>
          <w:iCs/>
          <w:sz w:val="21"/>
          <w:szCs w:val="21"/>
        </w:rPr>
        <w:t xml:space="preserve">prajñā</w:t>
      </w:r>
      <w:r>
        <w:rPr>
          <w:rFonts w:ascii="Calibri" w:cs="Calibri" w:eastAsia="Calibri" w:hAnsi="Calibri"/>
          <w:sz w:val="21"/>
          <w:szCs w:val="21"/>
        </w:rPr>
        <w:t xml:space="preserve"> (a soteriological, transconceptual insight) or Daoist </w:t>
      </w:r>
      <w:r>
        <w:rPr>
          <w:rFonts w:ascii="Calibri" w:cs="Calibri" w:eastAsia="Calibri" w:hAnsi="Calibri"/>
          <w:i/>
          <w:iCs/>
          <w:sz w:val="21"/>
          <w:szCs w:val="21"/>
        </w:rPr>
        <w:t xml:space="preserve">wu-wei</w:t>
      </w:r>
      <w:r>
        <w:rPr>
          <w:rFonts w:ascii="Calibri" w:cs="Calibri" w:eastAsia="Calibri" w:hAnsi="Calibri"/>
          <w:sz w:val="21"/>
          <w:szCs w:val="21"/>
        </w:rPr>
        <w:t xml:space="preserve">, this axis flattens what those traditions take to be sui generis modes of knowing. The two-families structure is presented here as a Western-derived organizing lens, not a neutral universal.</w:t>
      </w:r>
    </w:p>
    <w:p>
      <w:r>
        <w:br w:type="page"/>
      </w:r>
    </w:p>
    <w:p>
      <w:pPr>
        <w:pStyle w:val="Heading1"/>
        <w:spacing w:after="140" w:before="300"/>
      </w:pPr>
      <w:r>
        <w:rPr>
          <w:rFonts w:ascii="Calibri" w:cs="Calibri" w:eastAsia="Calibri" w:hAnsi="Calibri"/>
          <w:b/>
          <w:bCs/>
          <w:color w:val="1B2A4A"/>
          <w:sz w:val="30"/>
          <w:szCs w:val="30"/>
        </w:rPr>
        <w:t xml:space="preserve">1. Philosophy / Epistemology</w:t>
      </w:r>
    </w:p>
    <w:p>
      <w:pPr>
        <w:pStyle w:val="Heading2"/>
        <w:spacing w:after="100" w:before="220"/>
      </w:pPr>
      <w:r>
        <w:rPr>
          <w:rFonts w:ascii="Calibri" w:cs="Calibri" w:eastAsia="Calibri" w:hAnsi="Calibri"/>
          <w:b/>
          <w:bCs/>
          <w:color w:val="1A5E63"/>
          <w:sz w:val="25"/>
          <w:szCs w:val="25"/>
        </w:rPr>
        <w:t xml:space="preserve">1.1 Aristotle's Five Intellectual Virtues</w:t>
      </w:r>
    </w:p>
    <w:p>
      <w:pPr>
        <w:spacing w:after="140" w:line="276"/>
      </w:pPr>
      <w:r>
        <w:rPr>
          <w:rFonts w:ascii="Calibri" w:cs="Calibri" w:eastAsia="Calibri" w:hAnsi="Calibri"/>
          <w:sz w:val="21"/>
          <w:szCs w:val="21"/>
        </w:rPr>
        <w:t xml:space="preserve">The taxonomy in Nicomachean Ethics, Book VI, maps almost directly onto the four concepts:</w:t>
      </w:r>
    </w:p>
    <w:p>
      <w:pPr>
        <w:spacing w:after="140" w:line="276"/>
      </w:pPr>
      <w:r>
        <w:rPr>
          <w:rFonts w:ascii="Calibri" w:cs="Calibri" w:eastAsia="Calibri" w:hAnsi="Calibri"/>
          <w:b/>
          <w:bCs/>
          <w:sz w:val="21"/>
          <w:szCs w:val="21"/>
        </w:rPr>
        <w:t xml:space="preserve">Epistēmē — </w:t>
      </w:r>
      <w:r>
        <w:rPr>
          <w:rFonts w:ascii="Calibri" w:cs="Calibri" w:eastAsia="Calibri" w:hAnsi="Calibri"/>
          <w:sz w:val="21"/>
          <w:szCs w:val="21"/>
        </w:rPr>
        <w:t xml:space="preserve">scientific knowledge of necessary, universal truths (“that which could not be otherwise”). This is “knowledge” in its paradigmatic propositional form.</w:t>
      </w:r>
    </w:p>
    <w:p>
      <w:pPr>
        <w:spacing w:after="140" w:line="276"/>
      </w:pPr>
      <w:r>
        <w:rPr>
          <w:rFonts w:ascii="Calibri" w:cs="Calibri" w:eastAsia="Calibri" w:hAnsi="Calibri"/>
          <w:b/>
          <w:bCs/>
          <w:sz w:val="21"/>
          <w:szCs w:val="21"/>
        </w:rPr>
        <w:t xml:space="preserve">Technē — </w:t>
      </w:r>
      <w:r>
        <w:rPr>
          <w:rFonts w:ascii="Calibri" w:cs="Calibri" w:eastAsia="Calibri" w:hAnsi="Calibri"/>
          <w:sz w:val="21"/>
          <w:szCs w:val="21"/>
        </w:rPr>
        <w:t xml:space="preserve">craft/art; productive reason aimed at making something (a product external to the activity). Knowing-how in the productive register.</w:t>
      </w:r>
    </w:p>
    <w:p>
      <w:pPr>
        <w:spacing w:after="140" w:line="276"/>
      </w:pPr>
      <w:r>
        <w:rPr>
          <w:rFonts w:ascii="Calibri" w:cs="Calibri" w:eastAsia="Calibri" w:hAnsi="Calibri"/>
          <w:b/>
          <w:bCs/>
          <w:sz w:val="21"/>
          <w:szCs w:val="21"/>
        </w:rPr>
        <w:t xml:space="preserve">Phronēsis — </w:t>
      </w:r>
      <w:r>
        <w:rPr>
          <w:rFonts w:ascii="Calibri" w:cs="Calibri" w:eastAsia="Calibri" w:hAnsi="Calibri"/>
          <w:sz w:val="21"/>
          <w:szCs w:val="21"/>
        </w:rPr>
        <w:t xml:space="preserve">practical wisdom; the intellectual virtue of deliberating well about how to act and live well in contingent, particular situations. The closest match to “wisdom,” with important qualifications (see (a)–(c) below).</w:t>
      </w:r>
    </w:p>
    <w:p>
      <w:pPr>
        <w:spacing w:after="140" w:line="276"/>
      </w:pPr>
      <w:r>
        <w:rPr>
          <w:rFonts w:ascii="Calibri" w:cs="Calibri" w:eastAsia="Calibri" w:hAnsi="Calibri"/>
          <w:b/>
          <w:bCs/>
          <w:sz w:val="21"/>
          <w:szCs w:val="21"/>
        </w:rPr>
        <w:t xml:space="preserve">Nous — </w:t>
      </w:r>
      <w:r>
        <w:rPr>
          <w:rFonts w:ascii="Calibri" w:cs="Calibri" w:eastAsia="Calibri" w:hAnsi="Calibri"/>
          <w:sz w:val="21"/>
          <w:szCs w:val="21"/>
        </w:rPr>
        <w:t xml:space="preserve">intuitive intellect; the direct, non-inferential grasp of first principles. The classical philosophical seat of “intuition,” though not identical to the modern cognitive-science sense.</w:t>
      </w:r>
    </w:p>
    <w:p>
      <w:pPr>
        <w:spacing w:after="140" w:line="276"/>
      </w:pPr>
      <w:r>
        <w:rPr>
          <w:rFonts w:ascii="Calibri" w:cs="Calibri" w:eastAsia="Calibri" w:hAnsi="Calibri"/>
          <w:b/>
          <w:bCs/>
          <w:sz w:val="21"/>
          <w:szCs w:val="21"/>
        </w:rPr>
        <w:t xml:space="preserve">Sophia — </w:t>
      </w:r>
      <w:r>
        <w:rPr>
          <w:rFonts w:ascii="Calibri" w:cs="Calibri" w:eastAsia="Calibri" w:hAnsi="Calibri"/>
          <w:sz w:val="21"/>
          <w:szCs w:val="21"/>
        </w:rPr>
        <w:t xml:space="preserve">theoretical wisdom; Aristotle defines it as the combination of nous + epistēmē (intuitive grasp of principles plus demonstrative knowledge), oriented toward the highest and most universal objects of contemplation.</w:t>
      </w:r>
    </w:p>
    <w:p>
      <w:pPr>
        <w:spacing w:after="140" w:line="276"/>
      </w:pPr>
      <w:r>
        <w:rPr>
          <w:rFonts w:ascii="Calibri" w:cs="Calibri" w:eastAsia="Calibri" w:hAnsi="Calibri"/>
          <w:b/>
          <w:bCs/>
          <w:sz w:val="21"/>
          <w:szCs w:val="21"/>
        </w:rPr>
        <w:t xml:space="preserve">Three contested sub-claims, flagged as live debates:</w:t>
      </w:r>
    </w:p>
    <w:p>
      <w:pPr>
        <w:spacing w:after="140" w:line="276"/>
      </w:pPr>
      <w:r>
        <w:rPr>
          <w:rFonts w:ascii="Calibri" w:cs="Calibri" w:eastAsia="Calibri" w:hAnsi="Calibri"/>
          <w:b/>
          <w:bCs/>
          <w:sz w:val="21"/>
          <w:szCs w:val="21"/>
        </w:rPr>
        <w:t xml:space="preserve">(a) Does phronesis determine good ends, or only means to ends set by moral virtue? </w:t>
      </w:r>
      <w:r>
        <w:rPr>
          <w:rFonts w:ascii="Calibri" w:cs="Calibri" w:eastAsia="Calibri" w:hAnsi="Calibri"/>
          <w:sz w:val="21"/>
          <w:szCs w:val="21"/>
        </w:rPr>
        <w:t xml:space="preserve">This is one of the most actively disputed questions in Aristotle scholarship. The textual evidence cuts both ways. Aristotle says “we deliberate not about ends but about what contributes to ends” (NE 1112b12), supporting the means-only reading. But he also says phronesis involves “true apprehension of the end” (1142b35) and that deliberating well about living well “requires grasping both the proper means and ends” (1145a4–6). The mainstream reading holds that moral virtue (</w:t>
      </w:r>
      <w:r>
        <w:rPr>
          <w:rFonts w:ascii="Calibri" w:cs="Calibri" w:eastAsia="Calibri" w:hAnsi="Calibri"/>
          <w:i/>
          <w:iCs/>
          <w:sz w:val="21"/>
          <w:szCs w:val="21"/>
        </w:rPr>
        <w:t xml:space="preserve">aretē</w:t>
      </w:r>
      <w:r>
        <w:rPr>
          <w:rFonts w:ascii="Calibri" w:cs="Calibri" w:eastAsia="Calibri" w:hAnsi="Calibri"/>
          <w:sz w:val="21"/>
          <w:szCs w:val="21"/>
        </w:rPr>
        <w:t xml:space="preserve">) sets the right ends and phronesis finds the means; a substantial competing line holds phronesis also apprehends and specifies ends in particular situations. This report presents both readings without taking a side. Note: Aristotle would call effective skill at bad ends </w:t>
      </w:r>
      <w:r>
        <w:rPr>
          <w:rFonts w:ascii="Calibri" w:cs="Calibri" w:eastAsia="Calibri" w:hAnsi="Calibri"/>
          <w:i/>
          <w:iCs/>
          <w:sz w:val="21"/>
          <w:szCs w:val="21"/>
        </w:rPr>
        <w:t xml:space="preserve">deinōtēs</w:t>
      </w:r>
      <w:r>
        <w:rPr>
          <w:rFonts w:ascii="Calibri" w:cs="Calibri" w:eastAsia="Calibri" w:hAnsi="Calibri"/>
          <w:sz w:val="21"/>
          <w:szCs w:val="21"/>
        </w:rPr>
        <w:t xml:space="preserve"> (cleverness), explicitly not phronesis — the “James Bond villain” cannot have phronesis on any reading.</w:t>
      </w:r>
    </w:p>
    <w:p>
      <w:pPr>
        <w:spacing w:after="140" w:line="276"/>
      </w:pPr>
      <w:r>
        <w:rPr>
          <w:rFonts w:ascii="Calibri" w:cs="Calibri" w:eastAsia="Calibri" w:hAnsi="Calibri"/>
          <w:b/>
          <w:bCs/>
          <w:sz w:val="21"/>
          <w:szCs w:val="21"/>
        </w:rPr>
        <w:t xml:space="preserve">(b) Does Aristotle rank technē/phronesis below epistēmē/sophia? </w:t>
      </w:r>
      <w:r>
        <w:rPr>
          <w:rFonts w:ascii="Calibri" w:cs="Calibri" w:eastAsia="Calibri" w:hAnsi="Calibri"/>
          <w:sz w:val="21"/>
          <w:szCs w:val="21"/>
        </w:rPr>
        <w:t xml:space="preserve">Yes. Sophia is “higher and more serious” because it concerns unchanging, universal truths; phronesis and technē concern the contingent (“what can be otherwise”). But Aristotle holds that human flourishing requires phronesis, and that phronesis creates the conditions for the pursuit of sophia.</w:t>
      </w:r>
    </w:p>
    <w:p>
      <w:pPr>
        <w:spacing w:after="140" w:line="276"/>
      </w:pPr>
      <w:r>
        <w:rPr>
          <w:rFonts w:ascii="Calibri" w:cs="Calibri" w:eastAsia="Calibri" w:hAnsi="Calibri"/>
          <w:b/>
          <w:bCs/>
          <w:sz w:val="21"/>
          <w:szCs w:val="21"/>
        </w:rPr>
        <w:t xml:space="preserve">(c) The phronesis-intuition tension. </w:t>
      </w:r>
      <w:r>
        <w:rPr>
          <w:rFonts w:ascii="Calibri" w:cs="Calibri" w:eastAsia="Calibri" w:hAnsi="Calibri"/>
          <w:sz w:val="21"/>
          <w:szCs w:val="21"/>
        </w:rPr>
        <w:t xml:space="preserve">The definition under review emphasizes intuition; Aristotle's phronesis essentially involves </w:t>
      </w:r>
      <w:r>
        <w:rPr>
          <w:rFonts w:ascii="Calibri" w:cs="Calibri" w:eastAsia="Calibri" w:hAnsi="Calibri"/>
          <w:i/>
          <w:iCs/>
          <w:sz w:val="21"/>
          <w:szCs w:val="21"/>
        </w:rPr>
        <w:t xml:space="preserve">bouleusis</w:t>
      </w:r>
      <w:r>
        <w:rPr>
          <w:rFonts w:ascii="Calibri" w:cs="Calibri" w:eastAsia="Calibri" w:hAnsi="Calibri"/>
          <w:sz w:val="21"/>
          <w:szCs w:val="21"/>
        </w:rPr>
        <w:t xml:space="preserve"> (deliberation) — a reasoned, reflective capacity. A strictly orthodox reading would resist calling phronesis “intuitive.” However, Aristotle also grants phronesis a perceptual grasp of particulars — a kind of nous of the particular (1142a) — which some scholars (notably the Dreyfusian reading) interpret as quasi-intuitive expert perception. This bridging move is real but contested: it downplays the deliberation Aristotle stresses. The mapping between the definition and phronesis is therefore close but partial, and depends on how much weight one gives the perceptual vs. deliberative elements.</w:t>
      </w:r>
    </w:p>
    <w:p>
      <w:pPr>
        <w:pStyle w:val="Heading2"/>
        <w:spacing w:after="100" w:before="220"/>
      </w:pPr>
      <w:r>
        <w:rPr>
          <w:rFonts w:ascii="Calibri" w:cs="Calibri" w:eastAsia="Calibri" w:hAnsi="Calibri"/>
          <w:b/>
          <w:bCs/>
          <w:color w:val="1A5E63"/>
          <w:sz w:val="25"/>
          <w:szCs w:val="25"/>
        </w:rPr>
        <w:t xml:space="preserve">1.2 Knowing-That vs. Knowing-How (Ryle)</w:t>
      </w:r>
    </w:p>
    <w:p>
      <w:pPr>
        <w:spacing w:after="140" w:line="276"/>
      </w:pPr>
      <w:r>
        <w:rPr>
          <w:rFonts w:ascii="Calibri" w:cs="Calibri" w:eastAsia="Calibri" w:hAnsi="Calibri"/>
          <w:sz w:val="21"/>
          <w:szCs w:val="21"/>
        </w:rPr>
        <w:t xml:space="preserve">Gilbert Ryle (“Knowing How and Knowing That,” </w:t>
      </w:r>
      <w:r>
        <w:rPr>
          <w:rFonts w:ascii="Calibri" w:cs="Calibri" w:eastAsia="Calibri" w:hAnsi="Calibri"/>
          <w:i/>
          <w:iCs/>
          <w:sz w:val="21"/>
          <w:szCs w:val="21"/>
        </w:rPr>
        <w:t xml:space="preserve">Proceedings of the Aristotelian Society</w:t>
      </w:r>
      <w:r>
        <w:rPr>
          <w:rFonts w:ascii="Calibri" w:cs="Calibri" w:eastAsia="Calibri" w:hAnsi="Calibri"/>
          <w:sz w:val="21"/>
          <w:szCs w:val="21"/>
        </w:rPr>
        <w:t xml:space="preserve">, 1945; </w:t>
      </w:r>
      <w:r>
        <w:rPr>
          <w:rFonts w:ascii="Calibri" w:cs="Calibri" w:eastAsia="Calibri" w:hAnsi="Calibri"/>
          <w:i/>
          <w:iCs/>
          <w:sz w:val="21"/>
          <w:szCs w:val="21"/>
        </w:rPr>
        <w:t xml:space="preserve">The Concept of Mind</w:t>
      </w:r>
      <w:r>
        <w:rPr>
          <w:rFonts w:ascii="Calibri" w:cs="Calibri" w:eastAsia="Calibri" w:hAnsi="Calibri"/>
          <w:sz w:val="21"/>
          <w:szCs w:val="21"/>
        </w:rPr>
        <w:t xml:space="preserve">, 1949) argued that “knowing how” (practical ability/skill) is not reducible to “knowing that” (propositional/factual knowledge). His regress argument: if every intelligent act required first contemplating a proposition (a rule), then contemplating that proposition would itself be an act requiring a prior rule, ad infinitum. Therefore intelligence is exhibited in skilled action, not in a prior internal act of theorizing. This is a cornerstone for distinguishing wisdom/intuition (knowing-how, knowing-how-to-live) from knowledge (knowing-that).</w:t>
      </w:r>
    </w:p>
    <w:p>
      <w:pPr>
        <w:spacing w:after="140" w:line="276"/>
      </w:pPr>
      <w:r>
        <w:rPr>
          <w:rFonts w:ascii="Calibri" w:cs="Calibri" w:eastAsia="Calibri" w:hAnsi="Calibri"/>
          <w:b/>
          <w:bCs/>
          <w:sz w:val="21"/>
          <w:szCs w:val="21"/>
        </w:rPr>
        <w:t xml:space="preserve">Live debate: </w:t>
      </w:r>
      <w:r>
        <w:rPr>
          <w:rFonts w:ascii="Calibri" w:cs="Calibri" w:eastAsia="Calibri" w:hAnsi="Calibri"/>
          <w:sz w:val="21"/>
          <w:szCs w:val="21"/>
        </w:rPr>
        <w:t xml:space="preserve">Jason Stanley and Timothy Williamson (“Knowing How,” </w:t>
      </w:r>
      <w:r>
        <w:rPr>
          <w:rFonts w:ascii="Calibri" w:cs="Calibri" w:eastAsia="Calibri" w:hAnsi="Calibri"/>
          <w:i/>
          <w:iCs/>
          <w:sz w:val="21"/>
          <w:szCs w:val="21"/>
        </w:rPr>
        <w:t xml:space="preserve">Journal of Philosophy</w:t>
      </w:r>
      <w:r>
        <w:rPr>
          <w:rFonts w:ascii="Calibri" w:cs="Calibri" w:eastAsia="Calibri" w:hAnsi="Calibri"/>
          <w:sz w:val="21"/>
          <w:szCs w:val="21"/>
        </w:rPr>
        <w:t xml:space="preserve"> 98: 411–444, 2001) contest Ryle's anti-intellectualism, arguing that knowing-how is in fact a species of propositional knowledge — specifically, knowing, of some way w, that w is a way to do it. The debate remains active.</w:t>
      </w:r>
    </w:p>
    <w:p>
      <w:pPr>
        <w:pStyle w:val="Heading2"/>
        <w:spacing w:after="100" w:before="220"/>
      </w:pPr>
      <w:r>
        <w:rPr>
          <w:rFonts w:ascii="Calibri" w:cs="Calibri" w:eastAsia="Calibri" w:hAnsi="Calibri"/>
          <w:b/>
          <w:bCs/>
          <w:color w:val="1A5E63"/>
          <w:sz w:val="25"/>
          <w:szCs w:val="25"/>
        </w:rPr>
        <w:t xml:space="preserve">1.3 Kant: Intuition and Judgment</w:t>
      </w:r>
    </w:p>
    <w:p>
      <w:pPr>
        <w:spacing w:after="140" w:line="276"/>
      </w:pPr>
      <w:r>
        <w:rPr>
          <w:rFonts w:ascii="Calibri" w:cs="Calibri" w:eastAsia="Calibri" w:hAnsi="Calibri"/>
          <w:b/>
          <w:bCs/>
          <w:sz w:val="21"/>
          <w:szCs w:val="21"/>
        </w:rPr>
        <w:t xml:space="preserve">Kant's Anschauung</w:t>
      </w:r>
      <w:r>
        <w:rPr>
          <w:rFonts w:ascii="Calibri" w:cs="Calibri" w:eastAsia="Calibri" w:hAnsi="Calibri"/>
          <w:sz w:val="21"/>
          <w:szCs w:val="21"/>
        </w:rPr>
        <w:t xml:space="preserve"> (intuition) is a technical term largely unrelated to the colloquial “gut feeling.” For Kant, intuition is the immediate, singular mode by which objects are given to the mind through sensibility (vs. concepts, by which objects are thought through the understanding): “intuitions without concepts are blind, concepts without intuitions are empty.” Kant denies humans have intellectual intuition (direct access to things-in-themselves); we have only sensible intuition structured by space and time. This is “intuition” as the receptive ground of knowledge, not a wisdom faculty.</w:t>
      </w:r>
    </w:p>
    <w:p>
      <w:pPr>
        <w:spacing w:after="140" w:line="276"/>
      </w:pPr>
      <w:r>
        <w:rPr>
          <w:rFonts w:ascii="Calibri" w:cs="Calibri" w:eastAsia="Calibri" w:hAnsi="Calibri"/>
          <w:b/>
          <w:bCs/>
          <w:sz w:val="21"/>
          <w:szCs w:val="21"/>
        </w:rPr>
        <w:t xml:space="preserve">Kant's Urteilskraft</w:t>
      </w:r>
      <w:r>
        <w:rPr>
          <w:rFonts w:ascii="Calibri" w:cs="Calibri" w:eastAsia="Calibri" w:hAnsi="Calibri"/>
          <w:sz w:val="21"/>
          <w:szCs w:val="21"/>
        </w:rPr>
        <w:t xml:space="preserve"> (power of judgment) is the faculty of subsuming particulars under universals (rules/concepts). He distinguishes determinative judgment (the rule is given; apply it to a particular) from reflective judgment (only the particular is given; find the universal). Crucially, there can be no rule for applying rules — else a regress of rules-for-applying-rules follows. Kant: “Deficiency in judgement is properly that which is called stupidity, and for such a failing there is no remedy” (Critique of Pure Reason, Analytic of Principles). Judgment is a “peculiar talent which can be practised only, and cannot be taught.”</w:t>
      </w:r>
    </w:p>
    <w:p>
      <w:pPr>
        <w:pBdr>
          <w:left w:val="single" w:color="1A5E63" w:sz="18" w:space="14"/>
        </w:pBdr>
        <w:shd w:fill="F4F6F8" w:val="clear"/>
        <w:spacing w:after="120" w:before="120" w:line="276"/>
        <w:ind w:left="120" w:right="120"/>
      </w:pPr>
      <w:r>
        <w:rPr>
          <w:rFonts w:ascii="Calibri" w:cs="Calibri" w:eastAsia="Calibri" w:hAnsi="Calibri"/>
          <w:b/>
          <w:bCs/>
          <w:sz w:val="21"/>
          <w:szCs w:val="21"/>
        </w:rPr>
        <w:t xml:space="preserve">This is the key bridge: </w:t>
      </w:r>
      <w:r>
        <w:rPr>
          <w:rFonts w:ascii="Calibri" w:cs="Calibri" w:eastAsia="Calibri" w:hAnsi="Calibri"/>
          <w:sz w:val="21"/>
          <w:szCs w:val="21"/>
        </w:rPr>
        <w:t xml:space="preserve">judgment is where knowledge meets the particular case, and it ultimately bottoms out in something trained and quasi-intuitive rather than fully propositional — exactly the gap that phronesis/wisdom fills.</w:t>
      </w:r>
    </w:p>
    <w:p>
      <w:pPr>
        <w:pStyle w:val="Heading2"/>
        <w:spacing w:after="100" w:before="220"/>
      </w:pPr>
      <w:r>
        <w:rPr>
          <w:rFonts w:ascii="Calibri" w:cs="Calibri" w:eastAsia="Calibri" w:hAnsi="Calibri"/>
          <w:b/>
          <w:bCs/>
          <w:color w:val="1A5E63"/>
          <w:sz w:val="25"/>
          <w:szCs w:val="25"/>
        </w:rPr>
        <w:t xml:space="preserve">1.4 Bergson: Intuition as Metaphysical Method</w:t>
      </w:r>
    </w:p>
    <w:p>
      <w:pPr>
        <w:spacing w:after="140" w:line="276"/>
      </w:pPr>
      <w:r>
        <w:rPr>
          <w:rFonts w:ascii="Calibri" w:cs="Calibri" w:eastAsia="Calibri" w:hAnsi="Calibri"/>
          <w:sz w:val="21"/>
          <w:szCs w:val="21"/>
        </w:rPr>
        <w:t xml:space="preserve">Henri Bergson (An Introduction to Metaphysics, 1903) defines intuition as “the kind of intellectual sympathy by which one places oneself within an object in order to coincide with what is unique in it and consequently inexpressible” — this is Bergson's own phrase in the T. E. Hulme translation. He contrasts this with analysis (which only ever circles an object from outside via concepts and symbols). Bergson rehabilitates intuition as a route to absolute knowledge that Kant had foreclosed.</w:t>
      </w:r>
    </w:p>
    <w:p>
      <w:pPr>
        <w:spacing w:after="140" w:line="276"/>
      </w:pPr>
      <w:r>
        <w:rPr>
          <w:rFonts w:ascii="Calibri" w:cs="Calibri" w:eastAsia="Calibri" w:hAnsi="Calibri"/>
          <w:sz w:val="21"/>
          <w:szCs w:val="21"/>
        </w:rPr>
        <w:t xml:space="preserve">Importantly, for Bergson this is a rigorous metaphysical method for grasping </w:t>
      </w:r>
      <w:r>
        <w:rPr>
          <w:rFonts w:ascii="Calibri" w:cs="Calibri" w:eastAsia="Calibri" w:hAnsi="Calibri"/>
          <w:i/>
          <w:iCs/>
          <w:sz w:val="21"/>
          <w:szCs w:val="21"/>
        </w:rPr>
        <w:t xml:space="preserve">durée</w:t>
      </w:r>
      <w:r>
        <w:rPr>
          <w:rFonts w:ascii="Calibri" w:cs="Calibri" w:eastAsia="Calibri" w:hAnsi="Calibri"/>
          <w:sz w:val="21"/>
          <w:szCs w:val="21"/>
        </w:rPr>
        <w:t xml:space="preserve"> (lived time), not a hunch — a point on which Bergson was widely misread (famously by Russell). This is much closer to the sense of intuition as a guiding faculty cultivated through experience.</w:t>
      </w:r>
    </w:p>
    <w:p>
      <w:r>
        <w:br w:type="page"/>
      </w:r>
    </w:p>
    <w:p>
      <w:pPr>
        <w:pStyle w:val="Heading1"/>
        <w:spacing w:after="140" w:before="300"/>
      </w:pPr>
      <w:r>
        <w:rPr>
          <w:rFonts w:ascii="Calibri" w:cs="Calibri" w:eastAsia="Calibri" w:hAnsi="Calibri"/>
          <w:b/>
          <w:bCs/>
          <w:color w:val="1B2A4A"/>
          <w:sz w:val="30"/>
          <w:szCs w:val="30"/>
        </w:rPr>
        <w:t xml:space="preserve">2. Cognitive Science / Psychology</w:t>
      </w:r>
    </w:p>
    <w:p>
      <w:pPr>
        <w:pStyle w:val="Heading2"/>
        <w:spacing w:after="100" w:before="220"/>
      </w:pPr>
      <w:r>
        <w:rPr>
          <w:rFonts w:ascii="Calibri" w:cs="Calibri" w:eastAsia="Calibri" w:hAnsi="Calibri"/>
          <w:b/>
          <w:bCs/>
          <w:color w:val="1A5E63"/>
          <w:sz w:val="25"/>
          <w:szCs w:val="25"/>
        </w:rPr>
        <w:t xml:space="preserve">2.1 Dual-Process Theory (Kahneman)</w:t>
      </w:r>
    </w:p>
    <w:p>
      <w:pPr>
        <w:spacing w:after="140" w:line="276"/>
      </w:pPr>
      <w:r>
        <w:rPr>
          <w:rFonts w:ascii="Calibri" w:cs="Calibri" w:eastAsia="Calibri" w:hAnsi="Calibri"/>
          <w:sz w:val="21"/>
          <w:szCs w:val="21"/>
        </w:rPr>
        <w:t xml:space="preserve">Daniel Kahneman's framework (Thinking, Fast and Slow, 2011): System 1 is fast, automatic, effortless, associative, intuitive; System 2 is slow, effortful, deliberate, analytic. This maps the intuition/knowledge axis onto cognitive architecture — with a critical warning: System 1 is the source of both expert intuition and systematic bias.</w:t>
      </w:r>
    </w:p>
    <w:p>
      <w:pPr>
        <w:spacing w:after="140" w:line="276"/>
      </w:pPr>
      <w:r>
        <w:rPr>
          <w:rFonts w:ascii="Calibri" w:cs="Calibri" w:eastAsia="Calibri" w:hAnsi="Calibri"/>
          <w:b/>
          <w:bCs/>
          <w:sz w:val="21"/>
          <w:szCs w:val="21"/>
        </w:rPr>
        <w:t xml:space="preserve">Attribution correction: </w:t>
      </w:r>
      <w:r>
        <w:rPr>
          <w:rFonts w:ascii="Calibri" w:cs="Calibri" w:eastAsia="Calibri" w:hAnsi="Calibri"/>
          <w:sz w:val="21"/>
          <w:szCs w:val="21"/>
        </w:rPr>
        <w:t xml:space="preserve">The best short characterization of expert intuition — “intuition is nothing more and nothing less than recognition” — is Herbert Simon's formulation, quoted approvingly by Kahneman in Thinking, Fast and Slow. Simon's full framing: “The situation has provided a cue; this cue has given the expert access to information stored in memory, and the information provides the answer.”</w:t>
      </w:r>
    </w:p>
    <w:p>
      <w:pPr>
        <w:spacing w:after="140" w:line="276"/>
      </w:pPr>
      <w:r>
        <w:rPr>
          <w:rFonts w:ascii="Calibri" w:cs="Calibri" w:eastAsia="Calibri" w:hAnsi="Calibri"/>
          <w:b/>
          <w:bCs/>
          <w:sz w:val="21"/>
          <w:szCs w:val="21"/>
        </w:rPr>
        <w:t xml:space="preserve">Challenge to the clean dual-process split: </w:t>
      </w:r>
      <w:r>
        <w:rPr>
          <w:rFonts w:ascii="Calibri" w:cs="Calibri" w:eastAsia="Calibri" w:hAnsi="Calibri"/>
          <w:sz w:val="21"/>
          <w:szCs w:val="21"/>
        </w:rPr>
        <w:t xml:space="preserve">Bago &amp; De Neys (2017, 2019, 2020) challenge the strict “default-interventionist” model (System 2 corrects System 1). Their “smart System 1” / logical-intuition account holds that people often generate a correct response intuitively — the mechanism is competition between two intuitions (heuristic and logical) whose relative strength determines the output. This means the boundary between “intuitive” and “analytical” processing is blurrier than the canonical model suggests.</w:t>
      </w:r>
    </w:p>
    <w:p>
      <w:pPr>
        <w:pStyle w:val="Heading2"/>
        <w:spacing w:after="100" w:before="220"/>
      </w:pPr>
      <w:r>
        <w:rPr>
          <w:rFonts w:ascii="Calibri" w:cs="Calibri" w:eastAsia="Calibri" w:hAnsi="Calibri"/>
          <w:b/>
          <w:bCs/>
          <w:color w:val="1A5E63"/>
          <w:sz w:val="25"/>
          <w:szCs w:val="25"/>
        </w:rPr>
        <w:t xml:space="preserve">2.2 The Kahneman–Klein Détente: When to Trust Intuition</w:t>
      </w:r>
    </w:p>
    <w:p>
      <w:pPr>
        <w:spacing w:after="140" w:line="276"/>
      </w:pPr>
      <w:r>
        <w:rPr>
          <w:rFonts w:ascii="Calibri" w:cs="Calibri" w:eastAsia="Calibri" w:hAnsi="Calibri"/>
          <w:b/>
          <w:bCs/>
          <w:sz w:val="21"/>
          <w:szCs w:val="21"/>
        </w:rPr>
        <w:t xml:space="preserve">This is the single most important empirical boundary condition for the claims under review.</w:t>
      </w:r>
    </w:p>
    <w:p>
      <w:pPr>
        <w:spacing w:after="140" w:line="276"/>
      </w:pPr>
      <w:r>
        <w:rPr>
          <w:rFonts w:ascii="Calibri" w:cs="Calibri" w:eastAsia="Calibri" w:hAnsi="Calibri"/>
          <w:sz w:val="21"/>
          <w:szCs w:val="21"/>
        </w:rPr>
        <w:t xml:space="preserve">Kahneman (heuristics-and-biases tradition, skeptical of intuition) and Gary Klein (naturalistic decision-making, champion of expert intuition) co-authored “Conditions for Intuitive Expertise: A Failure to Disagree” (American Psychologist 64(6): 515–526, 2009). Their agreed conclusion: </w:t>
      </w:r>
      <w:r>
        <w:rPr>
          <w:rFonts w:ascii="Calibri" w:cs="Calibri" w:eastAsia="Calibri" w:hAnsi="Calibri"/>
          <w:b/>
          <w:bCs/>
          <w:sz w:val="21"/>
          <w:szCs w:val="21"/>
        </w:rPr>
        <w:t xml:space="preserve">skilled intuitions require (1) a “high-validity” environment (one with stable, learnable regularities) and (2) adequate opportunities for learning — prolonged practice with feedback that is both rapid and unequivocal.</w:t>
      </w:r>
      <w:r>
        <w:rPr>
          <w:rFonts w:ascii="Calibri" w:cs="Calibri" w:eastAsia="Calibri" w:hAnsi="Calibri"/>
          <w:sz w:val="21"/>
          <w:szCs w:val="21"/>
        </w:rPr>
        <w:t xml:space="preserve"> Where these conditions fail (stock picking, long-range political forecasting, clinical judgment without outcome data), confident intuition becomes systematic error.</w:t>
      </w:r>
    </w:p>
    <w:p>
      <w:pPr>
        <w:spacing w:after="140" w:line="276"/>
      </w:pPr>
      <w:r>
        <w:rPr>
          <w:rFonts w:ascii="Calibri" w:cs="Calibri" w:eastAsia="Calibri" w:hAnsi="Calibri"/>
          <w:b/>
          <w:bCs/>
          <w:sz w:val="21"/>
          <w:szCs w:val="21"/>
        </w:rPr>
        <w:t xml:space="preserve">Critically, subjective confidence is not a valid cue to accuracy. </w:t>
      </w:r>
      <w:r>
        <w:rPr>
          <w:rFonts w:ascii="Calibri" w:cs="Calibri" w:eastAsia="Calibri" w:hAnsi="Calibri"/>
          <w:sz w:val="21"/>
          <w:szCs w:val="21"/>
        </w:rPr>
        <w:t xml:space="preserve">Kahneman calls this the “illusion of validity” — a term he coined from his Israeli Army officer-selection experience and elaborated in Thinking, Fast and Slow (2011, Ch. 20): “The dismal truth about the quality of our predictions had no effect whatsoever on how we evaluated new candidates and very little effect on the confidence we had in our judgments and predictions.”</w:t>
      </w:r>
    </w:p>
    <w:p>
      <w:pPr>
        <w:pStyle w:val="Heading2"/>
        <w:spacing w:after="100" w:before="220"/>
      </w:pPr>
      <w:r>
        <w:rPr>
          <w:rFonts w:ascii="Calibri" w:cs="Calibri" w:eastAsia="Calibri" w:hAnsi="Calibri"/>
          <w:b/>
          <w:bCs/>
          <w:color w:val="1A5E63"/>
          <w:sz w:val="25"/>
          <w:szCs w:val="25"/>
        </w:rPr>
        <w:t xml:space="preserve">2.3 Klein's Recognition-Primed Decision (RPD) Model</w:t>
      </w:r>
    </w:p>
    <w:p>
      <w:pPr>
        <w:spacing w:after="140" w:line="276"/>
      </w:pPr>
      <w:r>
        <w:rPr>
          <w:rFonts w:ascii="Calibri" w:cs="Calibri" w:eastAsia="Calibri" w:hAnsi="Calibri"/>
          <w:sz w:val="21"/>
          <w:szCs w:val="21"/>
        </w:rPr>
        <w:t xml:space="preserve">From field studies of firefighters, ER nurses, and military commanders: experts don't compare options. They (1) recognize a situation as a familiar prototype, which primes (2) a single plausible course of action, which they (3) mentally simulate, and act if it passes. Serial pattern-matching plus simulation, not parallel option comparison. This operationalizes “expert intuition” as recognition — and directly supports the emphasis on experience as the transforming lens.</w:t>
      </w:r>
    </w:p>
    <w:p>
      <w:pPr>
        <w:pStyle w:val="Heading2"/>
        <w:spacing w:after="100" w:before="220"/>
      </w:pPr>
      <w:r>
        <w:rPr>
          <w:rFonts w:ascii="Calibri" w:cs="Calibri" w:eastAsia="Calibri" w:hAnsi="Calibri"/>
          <w:b/>
          <w:bCs/>
          <w:color w:val="1A5E63"/>
          <w:sz w:val="25"/>
          <w:szCs w:val="25"/>
        </w:rPr>
        <w:t xml:space="preserve">2.4 The Dreyfus Model of Skill Acquisition</w:t>
      </w:r>
    </w:p>
    <w:p>
      <w:pPr>
        <w:spacing w:after="140" w:line="276"/>
      </w:pPr>
      <w:r>
        <w:rPr>
          <w:rFonts w:ascii="Calibri" w:cs="Calibri" w:eastAsia="Calibri" w:hAnsi="Calibri"/>
          <w:sz w:val="21"/>
          <w:szCs w:val="21"/>
        </w:rPr>
        <w:t xml:space="preserve">Hubert L. Dreyfus and Stuart E. Dreyfus (Mind over Machine, 1986) proposed five stages of skill acquisition — Novice → Advanced Beginner → Competent → Proficient → Expert — with a sixth stage, </w:t>
      </w:r>
      <w:r>
        <w:rPr>
          <w:rFonts w:ascii="Calibri" w:cs="Calibri" w:eastAsia="Calibri" w:hAnsi="Calibri"/>
          <w:b/>
          <w:bCs/>
          <w:sz w:val="21"/>
          <w:szCs w:val="21"/>
        </w:rPr>
        <w:t xml:space="preserve">Mastery</w:t>
      </w:r>
      <w:r>
        <w:rPr>
          <w:rFonts w:ascii="Calibri" w:cs="Calibri" w:eastAsia="Calibri" w:hAnsi="Calibri"/>
          <w:sz w:val="21"/>
          <w:szCs w:val="21"/>
        </w:rPr>
        <w:t xml:space="preserve">, added later (formally restated in Rousse &amp; Dreyfus, 2021). The arc is precisely a movement from explicit rule-following toward intuitive, holistic, non-deliberative response. Novices follow context-free rules slowly and consciously; experts perceive what a situation calls for directly and act fluidly without decomposing it into rules. This directly supports the “lens of personal experience” claim.</w:t>
      </w:r>
    </w:p>
    <w:p>
      <w:pPr>
        <w:pStyle w:val="Heading2"/>
        <w:spacing w:after="100" w:before="220"/>
      </w:pPr>
      <w:r>
        <w:rPr>
          <w:rFonts w:ascii="Calibri" w:cs="Calibri" w:eastAsia="Calibri" w:hAnsi="Calibri"/>
          <w:b/>
          <w:bCs/>
          <w:color w:val="1A5E63"/>
          <w:sz w:val="25"/>
          <w:szCs w:val="25"/>
        </w:rPr>
        <w:t xml:space="preserve">2.5 The Psychology of Wisdom: Three Flagship Models</w:t>
      </w:r>
    </w:p>
    <w:p>
      <w:pPr>
        <w:spacing w:after="140" w:line="276"/>
      </w:pPr>
      <w:r>
        <w:rPr>
          <w:rFonts w:ascii="Calibri" w:cs="Calibri" w:eastAsia="Calibri" w:hAnsi="Calibri"/>
          <w:b/>
          <w:bCs/>
          <w:sz w:val="21"/>
          <w:szCs w:val="21"/>
        </w:rPr>
        <w:t xml:space="preserve">Berlin Wisdom Paradigm (Baltes &amp; Staudinger, 2000). </w:t>
      </w:r>
      <w:r>
        <w:rPr>
          <w:rFonts w:ascii="Calibri" w:cs="Calibri" w:eastAsia="Calibri" w:hAnsi="Calibri"/>
          <w:sz w:val="21"/>
          <w:szCs w:val="21"/>
        </w:rPr>
        <w:t xml:space="preserve">Baltes &amp; Staudinger (American Psychologist 55(1): 122–136) define wisdom as “an expert knowledge system concerning the fundamental pragmatics of life that permits exceptional insight, judgment, and advice about complex and uncertain matters.” Assessed via think-aloud responses to ill-defined life dilemmas, scored on five criteria: (1) rich factual knowledge about life, (2) rich procedural knowledge (strategies), (3) lifespan contextualism, (4) relativism of values and life priorities, (5) recognition and management of uncertainty. This is a strongly cognitive/knowledge-based model. Ardelt critiqued it precisely for treating wisdom as a body of knowledge that could exist “independently of its manifestation within people” (the Berlin group's own explicit framing) and for omitting the personal/affective dimension.</w:t>
      </w:r>
    </w:p>
    <w:p>
      <w:pPr>
        <w:spacing w:after="140" w:line="276"/>
      </w:pPr>
      <w:r>
        <w:rPr>
          <w:rFonts w:ascii="Calibri" w:cs="Calibri" w:eastAsia="Calibri" w:hAnsi="Calibri"/>
          <w:b/>
          <w:bCs/>
          <w:sz w:val="21"/>
          <w:szCs w:val="21"/>
        </w:rPr>
        <w:t xml:space="preserve">Ardelt's Three-Dimensional Wisdom Model (3D-WM, 2003). </w:t>
      </w:r>
      <w:r>
        <w:rPr>
          <w:rFonts w:ascii="Calibri" w:cs="Calibri" w:eastAsia="Calibri" w:hAnsi="Calibri"/>
          <w:sz w:val="21"/>
          <w:szCs w:val="21"/>
        </w:rPr>
        <w:t xml:space="preserve">Wisdom = integration of three dimensions: cognitive (deep understanding of life, including its limits and uncertainties), reflective (self-examination, perspective-taking, absence of projection/blame), and affective/compassionate (empathy, care for others). Measured via a 39-item self-report scale (3D-WS: 14 cognitive, 12 reflective, 13 affective items), published in Research on Aging 25(3): 275–324. Positive associations with well-being, purpose in life, and self-mastery; negative associations with depression and death anxiety.</w:t>
      </w:r>
    </w:p>
    <w:p>
      <w:pPr>
        <w:pBdr>
          <w:left w:val="single" w:color="1A5E63" w:sz="18" w:space="14"/>
        </w:pBdr>
        <w:shd w:fill="F4F6F8" w:val="clear"/>
        <w:spacing w:after="120" w:before="120" w:line="276"/>
        <w:ind w:left="120" w:right="120"/>
      </w:pPr>
      <w:r>
        <w:rPr>
          <w:rFonts w:ascii="Calibri" w:cs="Calibri" w:eastAsia="Calibri" w:hAnsi="Calibri"/>
          <w:b/>
          <w:bCs/>
          <w:sz w:val="21"/>
          <w:szCs w:val="21"/>
        </w:rPr>
        <w:t xml:space="preserve">Psychometric correction (v3, re-verified in v3.1). </w:t>
      </w:r>
      <w:r>
        <w:rPr>
          <w:rFonts w:ascii="Calibri" w:cs="Calibri" w:eastAsia="Calibri" w:hAnsi="Calibri"/>
          <w:sz w:val="21"/>
          <w:szCs w:val="21"/>
        </w:rPr>
        <w:t xml:space="preserve">The clearest independent audit of these scales is Glück, König, Naschenweng, Redzanowski, Dorner, Straßer &amp; Wiedermann (2013), “How to measure wisdom: content, reliability, and validity of five measures,” </w:t>
      </w:r>
      <w:r>
        <w:rPr>
          <w:rFonts w:ascii="Calibri" w:cs="Calibri" w:eastAsia="Calibri" w:hAnsi="Calibri"/>
          <w:i/>
          <w:iCs/>
          <w:sz w:val="21"/>
          <w:szCs w:val="21"/>
        </w:rPr>
        <w:t xml:space="preserve">Frontiers in Psychology</w:t>
      </w:r>
      <w:r>
        <w:rPr>
          <w:rFonts w:ascii="Calibri" w:cs="Calibri" w:eastAsia="Calibri" w:hAnsi="Calibri"/>
          <w:sz w:val="21"/>
          <w:szCs w:val="21"/>
        </w:rPr>
        <w:t xml:space="preserve"> 4:405 (open access; DOI 10.3389/fpsyg.2013.00405). A detail frequently mis-cited: the 0.26 correlation to positive self-deception belongs to the </w:t>
      </w:r>
      <w:r>
        <w:rPr>
          <w:rFonts w:ascii="Calibri" w:cs="Calibri" w:eastAsia="Calibri" w:hAnsi="Calibri"/>
          <w:b/>
          <w:bCs/>
          <w:sz w:val="21"/>
          <w:szCs w:val="21"/>
        </w:rPr>
        <w:t xml:space="preserve">SAWS</w:t>
      </w:r>
      <w:r>
        <w:rPr>
          <w:rFonts w:ascii="Calibri" w:cs="Calibri" w:eastAsia="Calibri" w:hAnsi="Calibri"/>
          <w:sz w:val="21"/>
          <w:szCs w:val="21"/>
        </w:rPr>
        <w:t xml:space="preserve"> (Self-Assessed Wisdom Scale, Webster), not the 3D-WS — Glück et al. attribute it to Taylor et al. (2011). The 3D-WS, by contrast, contains many reverse-coded items specifically to reduce self-presentation bias. Glück et al. also flag the general vulnerability of all self-report wisdom scales: truly wise persons are unlikely to declare themselves wise, so they may score lower, and competency items are susceptible to self-illusion.</w:t>
      </w:r>
    </w:p>
    <w:p>
      <w:pPr>
        <w:spacing w:after="140" w:line="276"/>
      </w:pPr>
      <w:r>
        <w:rPr>
          <w:rFonts w:ascii="Calibri" w:cs="Calibri" w:eastAsia="Calibri" w:hAnsi="Calibri"/>
          <w:b/>
          <w:bCs/>
          <w:sz w:val="21"/>
          <w:szCs w:val="21"/>
        </w:rPr>
        <w:t xml:space="preserve">Grossmann's Common Wisdom Model (2020). </w:t>
      </w:r>
      <w:r>
        <w:rPr>
          <w:rFonts w:ascii="Calibri" w:cs="Calibri" w:eastAsia="Calibri" w:hAnsi="Calibri"/>
          <w:sz w:val="21"/>
          <w:szCs w:val="21"/>
        </w:rPr>
        <w:t xml:space="preserve">The current center of gravity in wisdom science. Grossmann, Weststrate, Ardelt, Brienza, Dong, Ferrari, Fournier, Hu, Nusbaum &amp; Vervaeke (Psychological Inquiry 31(2), “The Science of Wisdom in a Polarized World”), p. 108, define wisdom as </w:t>
      </w:r>
      <w:r>
        <w:rPr>
          <w:rFonts w:ascii="Calibri" w:cs="Calibri" w:eastAsia="Calibri" w:hAnsi="Calibri"/>
          <w:b/>
          <w:bCs/>
          <w:sz w:val="21"/>
          <w:szCs w:val="21"/>
        </w:rPr>
        <w:t xml:space="preserve">“morally grounded excellence in certain aspects of meta-cognition”</w:t>
      </w:r>
      <w:r>
        <w:rPr>
          <w:rFonts w:ascii="Calibri" w:cs="Calibri" w:eastAsia="Calibri" w:hAnsi="Calibri"/>
          <w:sz w:val="21"/>
          <w:szCs w:val="21"/>
        </w:rPr>
        <w:t xml:space="preserve"> — specifically perspectival metacognition: recognition of the limits of knowledge, awareness of context and change, perspective-taking, and integration of different viewpoints/interests. The “moral grounding” component involves prosocial orientation toward shared humanity, avoidance of excessive self-interest, and the pursuit of truth. Grossmann's empirical signature finding: wise reasoning is situation-dependent (varies within persons across contexts) and can be boosted by self-distancing (ego-decentering). Glück &amp; Weststrate (2022, “The Wisdom Researchers and the Elephant”) argue the Common Model captures wise reasoning but under-weights emotional components needed for wise behavior.</w:t>
      </w:r>
    </w:p>
    <w:p>
      <w:pPr>
        <w:spacing w:after="140" w:line="276"/>
      </w:pPr>
      <w:r>
        <w:rPr>
          <w:rFonts w:ascii="Calibri" w:cs="Calibri" w:eastAsia="Calibri" w:hAnsi="Calibri"/>
          <w:b/>
          <w:bCs/>
          <w:sz w:val="21"/>
          <w:szCs w:val="21"/>
        </w:rPr>
        <w:t xml:space="preserve">Note on the moral-grounding requirement (see §5.C): </w:t>
      </w:r>
      <w:r>
        <w:rPr>
          <w:rFonts w:ascii="Calibri" w:cs="Calibri" w:eastAsia="Calibri" w:hAnsi="Calibri"/>
          <w:sz w:val="21"/>
          <w:szCs w:val="21"/>
        </w:rPr>
        <w:t xml:space="preserve">The Common Model deliberately builds in moral grounding, but this is a substantive position, not a consensus universal. There are robust morally-neutral conceptions of strategic competence — Aristotle's own deinōtēs (cleverness), Machiavellian prudence, strategic wisdom in realist IR theory — that look like “wisdom” in the definitional sense but deliberately omit moral orientation. A definition lacking moral grounding is not self-evidently deficient; it may track deinōtēs / strategic prudence rather than full Aristotelian/Grossmannian wisdom.</w:t>
      </w:r>
    </w:p>
    <w:p>
      <w:pPr>
        <w:spacing w:after="140" w:line="276"/>
      </w:pPr>
      <w:r>
        <w:rPr>
          <w:rFonts w:ascii="Calibri" w:cs="Calibri" w:eastAsia="Calibri" w:hAnsi="Calibri"/>
          <w:b/>
          <w:bCs/>
          <w:sz w:val="21"/>
          <w:szCs w:val="21"/>
        </w:rPr>
        <w:t xml:space="preserve">Grossmann (2025). </w:t>
      </w:r>
      <w:r>
        <w:rPr>
          <w:rFonts w:ascii="Calibri" w:cs="Calibri" w:eastAsia="Calibri" w:hAnsi="Calibri"/>
          <w:sz w:val="21"/>
          <w:szCs w:val="21"/>
        </w:rPr>
        <w:t xml:space="preserve">A paper in Journal of Experimental Psychology: General (“Wisdom reconsidered: A dynamic network account of metacognition and complex thought”) argues perspectival metacognition integrates deliberate reflective thought and automatic emotion-driven responses — a direct refinement of any simple System 1 / System 2 split.</w:t>
      </w:r>
    </w:p>
    <w:p>
      <w:pPr>
        <w:spacing w:after="140" w:line="276"/>
      </w:pPr>
      <w:r>
        <w:rPr>
          <w:rFonts w:ascii="Calibri" w:cs="Calibri" w:eastAsia="Calibri" w:hAnsi="Calibri"/>
          <w:b/>
          <w:bCs/>
          <w:sz w:val="21"/>
          <w:szCs w:val="21"/>
        </w:rPr>
        <w:t xml:space="preserve">Wisdom and AI. </w:t>
      </w:r>
      <w:r>
        <w:rPr>
          <w:rFonts w:ascii="Calibri" w:cs="Calibri" w:eastAsia="Calibri" w:hAnsi="Calibri"/>
          <w:sz w:val="21"/>
          <w:szCs w:val="21"/>
        </w:rPr>
        <w:t xml:space="preserve">Johnson, Karimi, Bengio, Chater, Gerstenberg, Larson, Levine, Mitchell, Rahwan, Schölkopf &amp; Grossmann, “Imagining and building wise machines: the centrality of AI metacognition,” Trends in Cognitive Sciences (Cell Press, 2026) argue wisdom = object-level strategies + metacognitive strategies (intellectual humility, perspective-taking, context-adaptability), and that wisdom is context-sensitive and about reasoning process, not just outcomes.</w:t>
      </w:r>
    </w:p>
    <w:p>
      <w:pPr>
        <w:pStyle w:val="Heading2"/>
        <w:spacing w:after="100" w:before="220"/>
      </w:pPr>
      <w:r>
        <w:rPr>
          <w:rFonts w:ascii="Calibri" w:cs="Calibri" w:eastAsia="Calibri" w:hAnsi="Calibri"/>
          <w:b/>
          <w:bCs/>
          <w:color w:val="1A5E63"/>
          <w:sz w:val="25"/>
          <w:szCs w:val="25"/>
        </w:rPr>
        <w:t xml:space="preserve">2.6 Gigerenzer: Ecological Rationality and Gut Feelings</w:t>
      </w:r>
    </w:p>
    <w:p>
      <w:pPr>
        <w:spacing w:after="140" w:line="276"/>
      </w:pPr>
      <w:r>
        <w:rPr>
          <w:rFonts w:ascii="Calibri" w:cs="Calibri" w:eastAsia="Calibri" w:hAnsi="Calibri"/>
          <w:sz w:val="21"/>
          <w:szCs w:val="21"/>
        </w:rPr>
        <w:t xml:space="preserve">Gerd Gigerenzer (building on Herbert Simon's bounded rationality/satisficing and Egon Brunswik's lens model) argues that fast-and-frugal heuristics — simple rules like “take-the-best,” 1/N, the recognition heuristic — are not defective shortcuts but can outperform complex optimization, especially under uncertainty with limited data. The key concept is </w:t>
      </w:r>
      <w:r>
        <w:rPr>
          <w:rFonts w:ascii="Calibri" w:cs="Calibri" w:eastAsia="Calibri" w:hAnsi="Calibri"/>
          <w:b/>
          <w:bCs/>
          <w:sz w:val="21"/>
          <w:szCs w:val="21"/>
        </w:rPr>
        <w:t xml:space="preserve">ecological rationality</w:t>
      </w:r>
      <w:r>
        <w:rPr>
          <w:rFonts w:ascii="Calibri" w:cs="Calibri" w:eastAsia="Calibri" w:hAnsi="Calibri"/>
          <w:sz w:val="21"/>
          <w:szCs w:val="21"/>
        </w:rPr>
        <w:t xml:space="preserve">: a heuristic is “rational” when matched to the structure of its environment.</w:t>
      </w:r>
    </w:p>
    <w:p>
      <w:pPr>
        <w:spacing w:after="140" w:line="276"/>
      </w:pPr>
      <w:r>
        <w:rPr>
          <w:rFonts w:ascii="Calibri" w:cs="Calibri" w:eastAsia="Calibri" w:hAnsi="Calibri"/>
          <w:b/>
          <w:bCs/>
          <w:sz w:val="21"/>
          <w:szCs w:val="21"/>
        </w:rPr>
        <w:t xml:space="preserve">Attribution note: </w:t>
      </w:r>
      <w:r>
        <w:rPr>
          <w:rFonts w:ascii="Calibri" w:cs="Calibri" w:eastAsia="Calibri" w:hAnsi="Calibri"/>
          <w:sz w:val="21"/>
          <w:szCs w:val="21"/>
        </w:rPr>
        <w:t xml:space="preserve">“Ecological rationality” as a modern research program has two independent founders — Gigerenzer (psychology) and Vernon L. Smith (experimental economics; 2002 Nobel), with deeper roots in Simon and Brunswik. Smith's sense emphasizes emergent institutional/cultural rationality; Gigerenzer's emphasizes individual-level heuristic-environment fit. Both lineages matter for a full picture.</w:t>
      </w:r>
    </w:p>
    <w:p>
      <w:pPr>
        <w:spacing w:after="140" w:line="276"/>
      </w:pPr>
      <w:r>
        <w:rPr>
          <w:rFonts w:ascii="Calibri" w:cs="Calibri" w:eastAsia="Calibri" w:hAnsi="Calibri"/>
          <w:sz w:val="21"/>
          <w:szCs w:val="21"/>
        </w:rPr>
        <w:t xml:space="preserve">Gigerenzer's reframing rehabilitates intuition as intelligent — not irrational — providing a counterweight to the biases-and-heuristics literature: gut feelings are “developed intuitions,” unconscious applications of heuristics that exploit evolved capacities.</w:t>
      </w:r>
    </w:p>
    <w:p>
      <w:r>
        <w:br w:type="page"/>
      </w:r>
    </w:p>
    <w:p>
      <w:pPr>
        <w:pStyle w:val="Heading1"/>
        <w:spacing w:after="140" w:before="300"/>
      </w:pPr>
      <w:r>
        <w:rPr>
          <w:rFonts w:ascii="Calibri" w:cs="Calibri" w:eastAsia="Calibri" w:hAnsi="Calibri"/>
          <w:b/>
          <w:bCs/>
          <w:color w:val="1B2A4A"/>
          <w:sz w:val="30"/>
          <w:szCs w:val="30"/>
        </w:rPr>
        <w:t xml:space="preserve">3. Neuroscience</w:t>
      </w:r>
    </w:p>
    <w:p>
      <w:pPr>
        <w:pStyle w:val="Heading3"/>
        <w:spacing w:after="80" w:before="160"/>
      </w:pPr>
      <w:r>
        <w:rPr>
          <w:rFonts w:ascii="Calibri" w:cs="Calibri" w:eastAsia="Calibri" w:hAnsi="Calibri"/>
          <w:b/>
          <w:bCs/>
          <w:color w:val="8B2500"/>
          <w:sz w:val="22"/>
          <w:szCs w:val="22"/>
        </w:rPr>
        <w:t xml:space="preserve">Prefatory Note</w:t>
      </w:r>
    </w:p>
    <w:p>
      <w:pPr>
        <w:spacing w:after="140" w:line="276"/>
      </w:pPr>
      <w:r>
        <w:rPr>
          <w:rFonts w:ascii="Calibri" w:cs="Calibri" w:eastAsia="Calibri" w:hAnsi="Calibri"/>
          <w:sz w:val="21"/>
          <w:szCs w:val="21"/>
        </w:rPr>
        <w:t xml:space="preserve">The neural evidence here is largely correlational (fMRI), lesion-based, or patient-study-derived, not causal-manipulation-based. Neuroscience does not support a clean “two brain regions” split, but it consistently shows that intuitive/experiential processing recruits a distributed, partly subcortical, affect- and body-linked network (basal ganglia, vmPFC/OFC, insula, amygdala, dACC) partly distinct from the lateral-prefrontal/parietal network of effortful deliberation — a neural echo of the wisdom/intuition vs. knowledge/judgment distinction. Treat localization claims as suggestive, not settled.</w:t>
      </w:r>
    </w:p>
    <w:p>
      <w:pPr>
        <w:pStyle w:val="Heading2"/>
        <w:spacing w:after="100" w:before="220"/>
      </w:pPr>
      <w:r>
        <w:rPr>
          <w:rFonts w:ascii="Calibri" w:cs="Calibri" w:eastAsia="Calibri" w:hAnsi="Calibri"/>
          <w:b/>
          <w:bCs/>
          <w:color w:val="1A5E63"/>
          <w:sz w:val="25"/>
          <w:szCs w:val="25"/>
        </w:rPr>
        <w:t xml:space="preserve">3.1 Damasio's Somatic Marker Hypothesis (SMH)</w:t>
      </w:r>
    </w:p>
    <w:p>
      <w:pPr>
        <w:spacing w:after="140" w:line="276"/>
      </w:pPr>
      <w:r>
        <w:rPr>
          <w:rFonts w:ascii="Calibri" w:cs="Calibri" w:eastAsia="Calibri" w:hAnsi="Calibri"/>
          <w:sz w:val="21"/>
          <w:szCs w:val="21"/>
        </w:rPr>
        <w:t xml:space="preserve">Decisions under uncertainty are biased by “somatic markers” — bodily/emotional signals (gut feelings, skin-conductance responses) that tag options with affective value based on prior experience. These are processed especially in the ventromedial prefrontal cortex (vmPFC) and amygdala. The classic empirical anchor is the Iowa Gambling Task (Bechara, Damasio, Tranel &amp; Damasio, “Deciding Advantageously Before Knowing the Advantageous Strategy,” Science 275(5304): 1293–1295, 1997): “Normals began to choose advantageously before they realized which strategy worked best, whereas prefrontal patients continued to choose disadvantageously even after they knew the correct strategy.” Healthy participants developed anticipatory skin-conductance responses to risky decks before they could consciously articulate which were bad; vmPFC-lesion patients never developed these signals. This gives intuition/wisdom a neurobiological substrate: experience is stored as embodied value signals guiding action pre-consciously.</w:t>
      </w:r>
    </w:p>
    <w:p>
      <w:pPr>
        <w:spacing w:after="140" w:line="276"/>
      </w:pPr>
      <w:r>
        <w:rPr>
          <w:rFonts w:ascii="Calibri" w:cs="Calibri" w:eastAsia="Calibri" w:hAnsi="Calibri"/>
          <w:b/>
          <w:bCs/>
          <w:sz w:val="21"/>
          <w:szCs w:val="21"/>
        </w:rPr>
        <w:t xml:space="preserve">Critical review: </w:t>
      </w:r>
      <w:r>
        <w:rPr>
          <w:rFonts w:ascii="Calibri" w:cs="Calibri" w:eastAsia="Calibri" w:hAnsi="Calibri"/>
          <w:sz w:val="21"/>
          <w:szCs w:val="21"/>
        </w:rPr>
        <w:t xml:space="preserve">Dunn, Dalgleish &amp; Lawrence (“The somatic marker hypothesis: A critical evaluation,” Neuroscience &amp; Biobehavioral Reviews 30(2): 239–271, 2006) conclude the SMH is “underspecified” and lacks decisive empirical support — compounded by Maia &amp; McClelland's challenge that Iowa Gambling Task participants have more explicit knowledge than the SMH assumes. The SMH is influential but not settled.</w:t>
      </w:r>
    </w:p>
    <w:p>
      <w:pPr>
        <w:pStyle w:val="Heading2"/>
        <w:spacing w:after="100" w:before="220"/>
      </w:pPr>
      <w:r>
        <w:rPr>
          <w:rFonts w:ascii="Calibri" w:cs="Calibri" w:eastAsia="Calibri" w:hAnsi="Calibri"/>
          <w:b/>
          <w:bCs/>
          <w:color w:val="1A5E63"/>
          <w:sz w:val="25"/>
          <w:szCs w:val="25"/>
        </w:rPr>
        <w:t xml:space="preserve">3.2 Lieberman's X-System vs. C-System</w:t>
      </w:r>
    </w:p>
    <w:p>
      <w:pPr>
        <w:spacing w:after="140" w:line="276"/>
      </w:pPr>
      <w:r>
        <w:rPr>
          <w:rFonts w:ascii="Calibri" w:cs="Calibri" w:eastAsia="Calibri" w:hAnsi="Calibri"/>
          <w:sz w:val="21"/>
          <w:szCs w:val="21"/>
        </w:rPr>
        <w:t xml:space="preserve">Matthew Lieberman (“Intuition: A Social Cognitive Neuroscience Approach,” Psychological Bulletin 126(1): 109–137, 2000; Annual Review of Psychology 58: 259–289, 2007) maps dual-process cognition onto two neural systems. The X-system (reflexive/automatic/intuitive): amygdala, basal ganglia, vmPFC, lateral temporal cortex, dorsal anterior cingulate cortex. The C-system (reflective/controlled/deliberative): lateral and medial PFC, lateral/medial parietal cortex, medial temporal lobe (hippocampus), rostral ACC. Lieberman's signature claim: “the caudate and putamen, in the basal ganglia, are central components of both intuition and implicit learning.” These are hypothesized correlates synthesized from imaging and lesion data, not single causal experiments.</w:t>
      </w:r>
    </w:p>
    <w:p>
      <w:pPr>
        <w:pStyle w:val="Heading2"/>
        <w:spacing w:after="100" w:before="220"/>
      </w:pPr>
      <w:r>
        <w:rPr>
          <w:rFonts w:ascii="Calibri" w:cs="Calibri" w:eastAsia="Calibri" w:hAnsi="Calibri"/>
          <w:b/>
          <w:bCs/>
          <w:color w:val="1A5E63"/>
          <w:sz w:val="25"/>
          <w:szCs w:val="25"/>
        </w:rPr>
        <w:t xml:space="preserve">3.3 Volz &amp; von Cramon: The Orbitofrontal “Gist Detector”</w:t>
      </w:r>
    </w:p>
    <w:p>
      <w:pPr>
        <w:spacing w:after="140" w:line="276"/>
      </w:pPr>
      <w:r>
        <w:rPr>
          <w:rFonts w:ascii="Calibri" w:cs="Calibri" w:eastAsia="Calibri" w:hAnsi="Calibri"/>
          <w:sz w:val="21"/>
          <w:szCs w:val="21"/>
        </w:rPr>
        <w:t xml:space="preserve">Kirsten Volz and D. Yves von Cramon (“What neuroscience can tell about intuitive processes in the context of perceptual discovery,” Journal of Cognitive Neuroscience 18(12): 2077–2087, 2006) studied intuitive “coherence judgments” (sensing a fragmented image is meaningful before identifying it). The orbitofrontal cortex / vmPFC acts as a fast “gist” detector — left-OFC activation scaled with the probability of a preliminary perception of coherence, experienced subjectively as a hunch before explicit recognition. The anterior cingulate cortex is implicated in monitoring conflict/uncertainty. A later MEG study (Horr, Braun &amp; Volz, 2014, Cognitive, Affective, &amp; Behavioral Neuroscience) refined the OFC timing.</w:t>
      </w:r>
    </w:p>
    <w:p>
      <w:pPr>
        <w:pStyle w:val="Heading2"/>
        <w:spacing w:after="100" w:before="220"/>
      </w:pPr>
      <w:r>
        <w:rPr>
          <w:rFonts w:ascii="Calibri" w:cs="Calibri" w:eastAsia="Calibri" w:hAnsi="Calibri"/>
          <w:b/>
          <w:bCs/>
          <w:color w:val="1A5E63"/>
          <w:sz w:val="25"/>
          <w:szCs w:val="25"/>
        </w:rPr>
        <w:t xml:space="preserve">3.4 The Insula and Interoception (Craig)</w:t>
      </w:r>
    </w:p>
    <w:p>
      <w:pPr>
        <w:pBdr>
          <w:left w:val="single" w:color="1A5E63" w:sz="18" w:space="14"/>
        </w:pBdr>
        <w:shd w:fill="F4F6F8" w:val="clear"/>
        <w:spacing w:after="120" w:before="120" w:line="276"/>
        <w:ind w:left="120" w:right="120"/>
      </w:pPr>
      <w:r>
        <w:rPr>
          <w:rFonts w:ascii="Calibri" w:cs="Calibri" w:eastAsia="Calibri" w:hAnsi="Calibri"/>
          <w:b/>
          <w:bCs/>
          <w:sz w:val="21"/>
          <w:szCs w:val="21"/>
        </w:rPr>
        <w:t xml:space="preserve">Citations locked (v3, re-verified in v3.1). </w:t>
      </w:r>
      <w:r>
        <w:rPr>
          <w:rFonts w:ascii="Calibri" w:cs="Calibri" w:eastAsia="Calibri" w:hAnsi="Calibri"/>
          <w:sz w:val="21"/>
          <w:szCs w:val="21"/>
        </w:rPr>
        <w:t xml:space="preserve">A. D. “Bud” Craig, “How do you feel? Interoception: the sense of the physiological condition of the body,” </w:t>
      </w:r>
      <w:r>
        <w:rPr>
          <w:rFonts w:ascii="Calibri" w:cs="Calibri" w:eastAsia="Calibri" w:hAnsi="Calibri"/>
          <w:i/>
          <w:iCs/>
          <w:sz w:val="21"/>
          <w:szCs w:val="21"/>
        </w:rPr>
        <w:t xml:space="preserve">Nature Reviews Neuroscience</w:t>
      </w:r>
      <w:r>
        <w:rPr>
          <w:rFonts w:ascii="Calibri" w:cs="Calibri" w:eastAsia="Calibri" w:hAnsi="Calibri"/>
          <w:sz w:val="21"/>
          <w:szCs w:val="21"/>
        </w:rPr>
        <w:t xml:space="preserve"> 3: 655–666, 2002; and “How do you feel — now? The anterior insula and human awareness,” </w:t>
      </w:r>
      <w:r>
        <w:rPr>
          <w:rFonts w:ascii="Calibri" w:cs="Calibri" w:eastAsia="Calibri" w:hAnsi="Calibri"/>
          <w:i/>
          <w:iCs/>
          <w:sz w:val="21"/>
          <w:szCs w:val="21"/>
        </w:rPr>
        <w:t xml:space="preserve">Nature Reviews Neuroscience</w:t>
      </w:r>
      <w:r>
        <w:rPr>
          <w:rFonts w:ascii="Calibri" w:cs="Calibri" w:eastAsia="Calibri" w:hAnsi="Calibri"/>
          <w:sz w:val="21"/>
          <w:szCs w:val="21"/>
        </w:rPr>
        <w:t xml:space="preserve"> 10: 59–70, 2009.</w:t>
      </w:r>
    </w:p>
    <w:p>
      <w:pPr>
        <w:spacing w:after="140" w:line="276"/>
      </w:pPr>
      <w:r>
        <w:rPr>
          <w:rFonts w:ascii="Calibri" w:cs="Calibri" w:eastAsia="Calibri" w:hAnsi="Calibri"/>
          <w:sz w:val="21"/>
          <w:szCs w:val="21"/>
        </w:rPr>
        <w:t xml:space="preserve">Craig showed the posterior insula receives primary interoceptive signals (the physiological state of the body) and the anterior insular cortex (AIC) re-represents and integrates them into conscious subjective feelings. Craig explicitly links the AIC to “decision making and sudden insight.” This is the neural machinery by which bodily experience becomes the “felt sense” of intuition — though the insula→intuition link rests heavily on somatic-marker theory and is more inferential than the procedural-memory story. Craig's 2009 AIC awareness framing is explicitly a Perspective article, not settled consensus.</w:t>
      </w:r>
    </w:p>
    <w:p>
      <w:pPr>
        <w:pStyle w:val="Heading2"/>
        <w:spacing w:after="100" w:before="220"/>
      </w:pPr>
      <w:r>
        <w:rPr>
          <w:rFonts w:ascii="Calibri" w:cs="Calibri" w:eastAsia="Calibri" w:hAnsi="Calibri"/>
          <w:b/>
          <w:bCs/>
          <w:color w:val="1A5E63"/>
          <w:sz w:val="25"/>
          <w:szCs w:val="25"/>
        </w:rPr>
        <w:t xml:space="preserve">3.5 Basal Ganglia and Skill-Based Intuition (Graybiel)</w:t>
      </w:r>
    </w:p>
    <w:p>
      <w:pPr>
        <w:spacing w:after="140" w:line="276"/>
      </w:pPr>
      <w:r>
        <w:rPr>
          <w:rFonts w:ascii="Calibri" w:cs="Calibri" w:eastAsia="Calibri" w:hAnsi="Calibri"/>
          <w:sz w:val="21"/>
          <w:szCs w:val="21"/>
        </w:rPr>
        <w:t xml:space="preserve">Ann Graybiel (“The basal ganglia and chunking of action repertoires,” Neurobiology of Learning and Memory 70(1–2): 119–136, 1998; Graybiel &amp; Grafton, “The Striatum: Where Skills and Habits Meet,” Cold Spring Harbor Perspectives in Biology 7(8): a021691, 2015) showed the striatum chunks motor and cognitive action sequences into automatic “performance units” acquired slowly and without conscious awareness. These mechanisms “generalize to other domains, including cognitive skills and emotion-related patterns of action” (2015, abstract). There is an anterior→posterior striatal shift as sequences become well-learned (effortful → automatic). This is the most mechanistically robust neural account of how Dreyfus-style expertise/intuition is built.</w:t>
      </w:r>
    </w:p>
    <w:p>
      <w:r>
        <w:br w:type="page"/>
      </w:r>
    </w:p>
    <w:p>
      <w:pPr>
        <w:pStyle w:val="Heading1"/>
        <w:spacing w:after="140" w:before="300"/>
      </w:pPr>
      <w:r>
        <w:rPr>
          <w:rFonts w:ascii="Calibri" w:cs="Calibri" w:eastAsia="Calibri" w:hAnsi="Calibri"/>
          <w:b/>
          <w:bCs/>
          <w:color w:val="1B2A4A"/>
          <w:sz w:val="30"/>
          <w:szCs w:val="30"/>
        </w:rPr>
        <w:t xml:space="preserve">4. Eastern Philosophy and Contemplative Traditions</w:t>
      </w:r>
    </w:p>
    <w:p>
      <w:pPr>
        <w:pStyle w:val="Heading2"/>
        <w:spacing w:after="100" w:before="220"/>
      </w:pPr>
      <w:r>
        <w:rPr>
          <w:rFonts w:ascii="Calibri" w:cs="Calibri" w:eastAsia="Calibri" w:hAnsi="Calibri"/>
          <w:b/>
          <w:bCs/>
          <w:color w:val="1A5E63"/>
          <w:sz w:val="25"/>
          <w:szCs w:val="25"/>
        </w:rPr>
        <w:t xml:space="preserve">4.1 Buddhist Prajñā vs. Vijñāna</w:t>
      </w:r>
    </w:p>
    <w:p>
      <w:pPr>
        <w:spacing w:after="140" w:line="276"/>
      </w:pPr>
      <w:r>
        <w:rPr>
          <w:rFonts w:ascii="Calibri" w:cs="Calibri" w:eastAsia="Calibri" w:hAnsi="Calibri"/>
          <w:i/>
          <w:iCs/>
          <w:sz w:val="21"/>
          <w:szCs w:val="21"/>
        </w:rPr>
        <w:t xml:space="preserve">Vijñāna</w:t>
      </w:r>
      <w:r>
        <w:rPr>
          <w:rFonts w:ascii="Calibri" w:cs="Calibri" w:eastAsia="Calibri" w:hAnsi="Calibri"/>
          <w:sz w:val="21"/>
          <w:szCs w:val="21"/>
        </w:rPr>
        <w:t xml:space="preserve"> (Pali: viññāṇa) is “discriminative consciousness” — the Sanskrit prefix vi- connotes discrimination/division/separation. It is ordinary object-focused knowing (the six sense-consciousnesses), knowing “about” things. </w:t>
      </w:r>
      <w:r>
        <w:rPr>
          <w:rFonts w:ascii="Calibri" w:cs="Calibri" w:eastAsia="Calibri" w:hAnsi="Calibri"/>
          <w:i/>
          <w:iCs/>
          <w:sz w:val="21"/>
          <w:szCs w:val="21"/>
        </w:rPr>
        <w:t xml:space="preserve">Prajñā</w:t>
      </w:r>
      <w:r>
        <w:rPr>
          <w:rFonts w:ascii="Calibri" w:cs="Calibri" w:eastAsia="Calibri" w:hAnsi="Calibri"/>
          <w:sz w:val="21"/>
          <w:szCs w:val="21"/>
        </w:rPr>
        <w:t xml:space="preserve"> (Pali: paññā) — the prefix pra- connotes intensification and forward/before — is wisdom/insight that goes beyond mere knowing-about to apprehend the true nature of phenomena (impermanence, non-self, emptiness). Translators note prajñā is closer to “insight,” “discriminating knowledge,” or “intuitive apprehension” than to “knowledge” (see Damien Keown, A Dictionary of Buddhism, Oxford). A near-exact Eastern parallel to the wisdom/knowledge distinction: prajñā ≈ wisdom/intuitive insight; vijñāna ≈ discriminative knowledge/judgment. Crucially, prajñā must be experientially realized, not merely conceptually understood — directly supporting the “lens of personal experience” claim.</w:t>
      </w:r>
    </w:p>
    <w:p>
      <w:pPr>
        <w:spacing w:after="140" w:line="276"/>
      </w:pPr>
      <w:r>
        <w:rPr>
          <w:rFonts w:ascii="Calibri" w:cs="Calibri" w:eastAsia="Calibri" w:hAnsi="Calibri"/>
          <w:b/>
          <w:bCs/>
          <w:sz w:val="21"/>
          <w:szCs w:val="21"/>
        </w:rPr>
        <w:t xml:space="preserve">Caveat: </w:t>
      </w:r>
      <w:r>
        <w:rPr>
          <w:rFonts w:ascii="Calibri" w:cs="Calibri" w:eastAsia="Calibri" w:hAnsi="Calibri"/>
          <w:sz w:val="21"/>
          <w:szCs w:val="21"/>
        </w:rPr>
        <w:t xml:space="preserve">Prajñā is embedded in a soteriological framework (the path to liberation/nirvāṇa) that has no direct equivalent in Aristotle or cognitive science. The parallel is a family resemblance, not an identity.</w:t>
      </w:r>
    </w:p>
    <w:p>
      <w:pPr>
        <w:pStyle w:val="Heading2"/>
        <w:spacing w:after="100" w:before="220"/>
      </w:pPr>
      <w:r>
        <w:rPr>
          <w:rFonts w:ascii="Calibri" w:cs="Calibri" w:eastAsia="Calibri" w:hAnsi="Calibri"/>
          <w:b/>
          <w:bCs/>
          <w:color w:val="1A5E63"/>
          <w:sz w:val="25"/>
          <w:szCs w:val="25"/>
        </w:rPr>
        <w:t xml:space="preserve">4.2 Daoist Wu-Wei and Cook Ding</w:t>
      </w:r>
    </w:p>
    <w:p>
      <w:pPr>
        <w:spacing w:after="140" w:line="276"/>
      </w:pPr>
      <w:r>
        <w:rPr>
          <w:rFonts w:ascii="Calibri" w:cs="Calibri" w:eastAsia="Calibri" w:hAnsi="Calibri"/>
          <w:sz w:val="21"/>
          <w:szCs w:val="21"/>
        </w:rPr>
        <w:t xml:space="preserve">“Effortless action” or “non-forcing” — acting in spontaneous accord with the natural order (Dao). The paradigm is Zhuangzi's Cook Ding, who has kept the same blade keen for nineteen years while cutting thousands of oxen, because he “follows the natural lines,” moving through the spaces in the joints rather than hacking. Cook Ding says what he cares about is “the Way [Dao], which goes beyond mere skill” (Burton Watson translation) — explicitly elevating intuitive, attuned mastery above technical skill (technē). This is intuition-as-cultivated-spontaneity: skilled, non-deliberative, responsive action that emerges only after long experience.</w:t>
      </w:r>
    </w:p>
    <w:p>
      <w:pPr>
        <w:spacing w:after="140" w:line="276"/>
      </w:pPr>
      <w:r>
        <w:rPr>
          <w:rFonts w:ascii="Calibri" w:cs="Calibri" w:eastAsia="Calibri" w:hAnsi="Calibri"/>
          <w:b/>
          <w:bCs/>
          <w:sz w:val="21"/>
          <w:szCs w:val="21"/>
        </w:rPr>
        <w:t xml:space="preserve">Scholarly counterpoint: </w:t>
      </w:r>
      <w:r>
        <w:rPr>
          <w:rFonts w:ascii="Calibri" w:cs="Calibri" w:eastAsia="Calibri" w:hAnsi="Calibri"/>
          <w:sz w:val="21"/>
          <w:szCs w:val="21"/>
        </w:rPr>
        <w:t xml:space="preserve">Eric Schwitzgebel (“The Unskilled Zhuangzi”) and others argue the Inner Chapters do not straightforwardly celebrate skill mastery — skill is criticized at least as often as praised, and the Cook Ding passage can be read as much about the knife's passivity / nourishing life as about expertise. Using Cook Ding as a clean emblem of “skilled non-deliberative mastery” is one reading, not the only one.</w:t>
      </w:r>
    </w:p>
    <w:p>
      <w:pPr>
        <w:pStyle w:val="Heading2"/>
        <w:spacing w:after="100" w:before="220"/>
      </w:pPr>
      <w:r>
        <w:rPr>
          <w:rFonts w:ascii="Calibri" w:cs="Calibri" w:eastAsia="Calibri" w:hAnsi="Calibri"/>
          <w:b/>
          <w:bCs/>
          <w:color w:val="1A5E63"/>
          <w:sz w:val="25"/>
          <w:szCs w:val="25"/>
        </w:rPr>
        <w:t xml:space="preserve">4.3 Cross-Traditional Equivalence: A Family Resemblance, Not an Identity</w:t>
      </w:r>
    </w:p>
    <w:p>
      <w:pPr>
        <w:spacing w:after="140" w:line="276"/>
      </w:pPr>
      <w:r>
        <w:rPr>
          <w:rFonts w:ascii="Calibri" w:cs="Calibri" w:eastAsia="Calibri" w:hAnsi="Calibri"/>
          <w:sz w:val="21"/>
          <w:szCs w:val="21"/>
        </w:rPr>
        <w:t xml:space="preserve">The report's organizing observation — that phronesis, prajñā, and wu-wei converge on “non-propositional, experience-cultivated, value-laden knowing-in-action” — is real and striking but must be held as a loose family resemblance, not an equivalence. The three concepts have radically different aims: phronesis targets eudaimonia and right action in the polis (and, on orthodox reading, is deliberative); prajñā targets liberation through insight into emptiness/no-self; wu-wei targets alignment with the Dao. Comparative philosophers caution against collapsing them. They share a structural property — non-propositional, experience-cultivated, value-laden action — but differ in metaphysics, soteriology, and practical orientation. The convergence is presented here as resonance, not identity.</w:t>
      </w:r>
    </w:p>
    <w:p>
      <w:pPr>
        <w:pStyle w:val="Heading2"/>
        <w:spacing w:after="100" w:before="220"/>
      </w:pPr>
      <w:r>
        <w:rPr>
          <w:rFonts w:ascii="Calibri" w:cs="Calibri" w:eastAsia="Calibri" w:hAnsi="Calibri"/>
          <w:b/>
          <w:bCs/>
          <w:color w:val="1A5E63"/>
          <w:sz w:val="25"/>
          <w:szCs w:val="25"/>
        </w:rPr>
        <w:t xml:space="preserve">4.4 Indigenous Knowledge Systems</w:t>
      </w:r>
    </w:p>
    <w:p>
      <w:pPr>
        <w:pBdr>
          <w:left w:val="single" w:color="1A5E63" w:sz="18" w:space="14"/>
        </w:pBdr>
        <w:shd w:fill="F4F6F8" w:val="clear"/>
        <w:spacing w:after="120" w:before="120" w:line="276"/>
        <w:ind w:left="120" w:right="120"/>
      </w:pPr>
      <w:r>
        <w:rPr>
          <w:rFonts w:ascii="Calibri" w:cs="Calibri" w:eastAsia="Calibri" w:hAnsi="Calibri"/>
          <w:b/>
          <w:bCs/>
          <w:sz w:val="21"/>
          <w:szCs w:val="21"/>
        </w:rPr>
        <w:t xml:space="preserve">Fully sourced in v3 (re-verified in v3.1). </w:t>
      </w:r>
      <w:r>
        <w:rPr>
          <w:rFonts w:ascii="Calibri" w:cs="Calibri" w:eastAsia="Calibri" w:hAnsi="Calibri"/>
          <w:sz w:val="21"/>
          <w:szCs w:val="21"/>
        </w:rPr>
        <w:t xml:space="preserve">This section was flagged “under-sourced” in v2. It is now grounded in named scholars and specific frameworks, each verified against primary publication in this build.</w:t>
      </w:r>
    </w:p>
    <w:p>
      <w:pPr>
        <w:spacing w:after="140" w:line="276"/>
      </w:pPr>
      <w:r>
        <w:rPr>
          <w:rFonts w:ascii="Calibri" w:cs="Calibri" w:eastAsia="Calibri" w:hAnsi="Calibri"/>
          <w:sz w:val="21"/>
          <w:szCs w:val="21"/>
        </w:rPr>
        <w:t xml:space="preserve">Indigenous and oral traditions characteristically transmit wisdom through lived experience, story, apprenticeship, ceremony, and relationship to land and community rather than through decontextualized propositional statements — knowledge as relational, place-based, and embodied, integrating the practical, ethical, and spiritual. This resonates strongly with the tacit/phronetic conception of wisdom, while remaining a distinct tradition with its own metaphysics and governance protocols, not a variant of the Western picture.</w:t>
      </w:r>
    </w:p>
    <w:p>
      <w:pPr>
        <w:spacing w:after="140" w:line="276"/>
      </w:pPr>
      <w:r>
        <w:rPr>
          <w:rFonts w:ascii="Calibri" w:cs="Calibri" w:eastAsia="Calibri" w:hAnsi="Calibri"/>
          <w:b/>
          <w:bCs/>
          <w:sz w:val="21"/>
          <w:szCs w:val="21"/>
        </w:rPr>
        <w:t xml:space="preserve">Two-Eyed Seeing / Etuaptmumk. </w:t>
      </w:r>
      <w:r>
        <w:rPr>
          <w:rFonts w:ascii="Calibri" w:cs="Calibri" w:eastAsia="Calibri" w:hAnsi="Calibri"/>
          <w:sz w:val="21"/>
          <w:szCs w:val="21"/>
        </w:rPr>
        <w:t xml:space="preserve">Mi'kmaw Elder Albert Marshall introduced the term Etuaptmumk (“Two-Eyed Seeing”) in 2004: “learning to see from one eye with the strengths of Indigenous ways of knowing, and from the other eye with the strengths of Western ways of knowing, and to use both of these eyes together.” The canonical scholarly statement is Bartlett, Marshall &amp; Marshall (2012), “Two-Eyed Seeing and other lessons learned within a co-learning journey of bringing together indigenous and mainstream knowledges and ways of knowing,” </w:t>
      </w:r>
      <w:r>
        <w:rPr>
          <w:rFonts w:ascii="Calibri" w:cs="Calibri" w:eastAsia="Calibri" w:hAnsi="Calibri"/>
          <w:i/>
          <w:iCs/>
          <w:sz w:val="21"/>
          <w:szCs w:val="21"/>
        </w:rPr>
        <w:t xml:space="preserve">Journal of Environmental Studies and Sciences</w:t>
      </w:r>
      <w:r>
        <w:rPr>
          <w:rFonts w:ascii="Calibri" w:cs="Calibri" w:eastAsia="Calibri" w:hAnsi="Calibri"/>
          <w:sz w:val="21"/>
          <w:szCs w:val="21"/>
        </w:rPr>
        <w:t xml:space="preserve"> 2(4): 331–340 (DOI 10.1007/s13412-012-0086-8), definition at p. 335. Two-Eyed Seeing insists on holding both knowledge systems together without assimilating one into the other — a direct model for how a wisdom account can be genuinely plural rather than Western-analytic monoculture.</w:t>
      </w:r>
    </w:p>
    <w:p>
      <w:pPr>
        <w:spacing w:after="140" w:line="276"/>
      </w:pPr>
      <w:r>
        <w:rPr>
          <w:rFonts w:ascii="Calibri" w:cs="Calibri" w:eastAsia="Calibri" w:hAnsi="Calibri"/>
          <w:b/>
          <w:bCs/>
          <w:sz w:val="21"/>
          <w:szCs w:val="21"/>
        </w:rPr>
        <w:t xml:space="preserve">Native Science (Cajete). </w:t>
      </w:r>
      <w:r>
        <w:rPr>
          <w:rFonts w:ascii="Calibri" w:cs="Calibri" w:eastAsia="Calibri" w:hAnsi="Calibri"/>
          <w:sz w:val="21"/>
          <w:szCs w:val="21"/>
        </w:rPr>
        <w:t xml:space="preserve">Gregory Cajete (Tewa), Native Science: Natural Laws of Interdependence (Clear Light Publishers, 2000), frames Indigenous knowing as participatory and relational — understanding acquired through direct, embodied engagement with a living world, not detached observation of inert objects. This aligns closely with the tacit/experiential pole of the map while grounding it in a distinct epistemology of interdependence.</w:t>
      </w:r>
    </w:p>
    <w:p>
      <w:pPr>
        <w:spacing w:after="140" w:line="276"/>
      </w:pPr>
      <w:r>
        <w:rPr>
          <w:rFonts w:ascii="Calibri" w:cs="Calibri" w:eastAsia="Calibri" w:hAnsi="Calibri"/>
          <w:b/>
          <w:bCs/>
          <w:sz w:val="21"/>
          <w:szCs w:val="21"/>
        </w:rPr>
        <w:t xml:space="preserve">Traditional Ecological Knowledge (Kimmerer). </w:t>
      </w:r>
      <w:r>
        <w:rPr>
          <w:rFonts w:ascii="Calibri" w:cs="Calibri" w:eastAsia="Calibri" w:hAnsi="Calibri"/>
          <w:sz w:val="21"/>
          <w:szCs w:val="21"/>
        </w:rPr>
        <w:t xml:space="preserve">Robin Wall Kimmerer (Potawatomi), Braiding Sweetgrass (Milkweed Editions, 2013), articulates knowledge as reciprocal relationship between people and the more-than-human world — braiding scientific and Indigenous ways of knowing. Her work is a widely cited bridge between empirical ecology and relational, place-based wisdom.</w:t>
      </w:r>
    </w:p>
    <w:p>
      <w:pPr>
        <w:spacing w:after="140" w:line="276"/>
      </w:pPr>
      <w:r>
        <w:rPr>
          <w:rFonts w:ascii="Calibri" w:cs="Calibri" w:eastAsia="Calibri" w:hAnsi="Calibri"/>
          <w:b/>
          <w:bCs/>
          <w:sz w:val="21"/>
          <w:szCs w:val="21"/>
        </w:rPr>
        <w:t xml:space="preserve">Decolonizing methodologies (Tuhiwai Smith). </w:t>
      </w:r>
      <w:r>
        <w:rPr>
          <w:rFonts w:ascii="Calibri" w:cs="Calibri" w:eastAsia="Calibri" w:hAnsi="Calibri"/>
          <w:sz w:val="21"/>
          <w:szCs w:val="21"/>
        </w:rPr>
        <w:t xml:space="preserve">Linda Tuhiwai Smith (Māori), Decolonizing Methodologies: Research and Indigenous Peoples (Zed Books, 1999; 2nd ed. 2012), is the foundational critique of how Western research has extracted from and misrepresented Indigenous peoples, and a program for research grounded in Indigenous self-determination. It is essential context for treating Indigenous knowledge respectfully rather than as raw material for a Western synthesis.</w:t>
      </w:r>
    </w:p>
    <w:p>
      <w:pPr>
        <w:spacing w:after="140" w:line="276"/>
      </w:pPr>
      <w:r>
        <w:rPr>
          <w:rFonts w:ascii="Calibri" w:cs="Calibri" w:eastAsia="Calibri" w:hAnsi="Calibri"/>
          <w:b/>
          <w:bCs/>
          <w:sz w:val="21"/>
          <w:szCs w:val="21"/>
        </w:rPr>
        <w:t xml:space="preserve">CARE Principles for Indigenous Data Governance. </w:t>
      </w:r>
      <w:r>
        <w:rPr>
          <w:rFonts w:ascii="Calibri" w:cs="Calibri" w:eastAsia="Calibri" w:hAnsi="Calibri"/>
          <w:sz w:val="21"/>
          <w:szCs w:val="21"/>
        </w:rPr>
        <w:t xml:space="preserve">Carroll, Garba, Figueroa-Rodríguez, Holbrook, Lovett, Materechera, Parsons, Raseroka, Rodriguez-Lonebear, Rowe, Sara, Walker, Anderson &amp; Hudson (2020), “The CARE Principles for Indigenous Data Governance,” </w:t>
      </w:r>
      <w:r>
        <w:rPr>
          <w:rFonts w:ascii="Calibri" w:cs="Calibri" w:eastAsia="Calibri" w:hAnsi="Calibri"/>
          <w:i/>
          <w:iCs/>
          <w:sz w:val="21"/>
          <w:szCs w:val="21"/>
        </w:rPr>
        <w:t xml:space="preserve">Data Science Journal</w:t>
      </w:r>
      <w:r>
        <w:rPr>
          <w:rFonts w:ascii="Calibri" w:cs="Calibri" w:eastAsia="Calibri" w:hAnsi="Calibri"/>
          <w:sz w:val="21"/>
          <w:szCs w:val="21"/>
        </w:rPr>
        <w:t xml:space="preserve"> 19: 43, pp. 1–12 (DOI 10.5334/dsj-2020-043). CARE — Collective Benefit, Authority to Control, Responsibility, Ethics — is a people-and-purpose-oriented complement to the data-oriented FAIR principles, developed by the Research Data Alliance's International Indigenous Data Sovereignty Interest Group. Directly relevant wherever a builder's system touches Indigenous data or knowledge, and a concrete operationalization of the section's ethical stance.</w:t>
      </w:r>
    </w:p>
    <w:p>
      <w:pPr>
        <w:spacing w:after="140" w:line="276"/>
      </w:pPr>
      <w:r>
        <w:rPr>
          <w:rFonts w:ascii="Calibri" w:cs="Calibri" w:eastAsia="Calibri" w:hAnsi="Calibri"/>
          <w:b/>
          <w:bCs/>
          <w:sz w:val="21"/>
          <w:szCs w:val="21"/>
        </w:rPr>
        <w:t xml:space="preserve">Caveat: </w:t>
      </w:r>
      <w:r>
        <w:rPr>
          <w:rFonts w:ascii="Calibri" w:cs="Calibri" w:eastAsia="Calibri" w:hAnsi="Calibri"/>
          <w:sz w:val="21"/>
          <w:szCs w:val="21"/>
        </w:rPr>
        <w:t xml:space="preserve">“Indigenous knowledge systems” is not one tradition. The scholars above write from distinct nations (Mi'kmaw, Tewa, Potawatomi, Māori) and cannot be collapsed into a single voice. The section establishes that a serious wisdom account must engage these traditions on their own terms; it does not claim to survey them.</w:t>
      </w:r>
    </w:p>
    <w:p>
      <w:r>
        <w:br w:type="page"/>
      </w:r>
    </w:p>
    <w:p>
      <w:pPr>
        <w:pStyle w:val="Heading1"/>
        <w:spacing w:after="140" w:before="300"/>
      </w:pPr>
      <w:r>
        <w:rPr>
          <w:rFonts w:ascii="Calibri" w:cs="Calibri" w:eastAsia="Calibri" w:hAnsi="Calibri"/>
          <w:b/>
          <w:bCs/>
          <w:color w:val="1B2A4A"/>
          <w:sz w:val="30"/>
          <w:szCs w:val="30"/>
        </w:rPr>
        <w:t xml:space="preserve">5. Decision Science / Strategy</w:t>
      </w:r>
    </w:p>
    <w:p>
      <w:pPr>
        <w:pStyle w:val="Heading2"/>
        <w:spacing w:after="100" w:before="220"/>
      </w:pPr>
      <w:r>
        <w:rPr>
          <w:rFonts w:ascii="Calibri" w:cs="Calibri" w:eastAsia="Calibri" w:hAnsi="Calibri"/>
          <w:b/>
          <w:bCs/>
          <w:color w:val="1A5E63"/>
          <w:sz w:val="25"/>
          <w:szCs w:val="25"/>
        </w:rPr>
        <w:t xml:space="preserve">5.1 Clausewitz's Coup d'Œil</w:t>
      </w:r>
    </w:p>
    <w:p>
      <w:pPr>
        <w:spacing w:after="140" w:line="276"/>
      </w:pPr>
      <w:r>
        <w:rPr>
          <w:rFonts w:ascii="Calibri" w:cs="Calibri" w:eastAsia="Calibri" w:hAnsi="Calibri"/>
          <w:sz w:val="21"/>
          <w:szCs w:val="21"/>
        </w:rPr>
        <w:t xml:space="preserve">In On War (Book I, Chapter 3, “The Genius for War”; Graham 1873 translation), the military genius possesses coup d'œil (“stroke of the eye”) — the intuitive capacity to grasp the truth of a situation at a glance: “the rapid discovery of a truth which to the ordinary mind is either not visible at all or only becomes so after long examination and reflection.” This is paired with determination (the courage to act on that inner light) and explicitly grounded in absorbed experience. Intuition operationalized for strategy under fog and uncertainty.</w:t>
      </w:r>
    </w:p>
    <w:p>
      <w:pPr>
        <w:spacing w:after="140" w:line="276"/>
      </w:pPr>
      <w:r>
        <w:rPr>
          <w:rFonts w:ascii="Calibri" w:cs="Calibri" w:eastAsia="Calibri" w:hAnsi="Calibri"/>
          <w:b/>
          <w:bCs/>
          <w:sz w:val="21"/>
          <w:szCs w:val="21"/>
        </w:rPr>
        <w:t xml:space="preserve">Translation note: </w:t>
      </w:r>
      <w:r>
        <w:rPr>
          <w:rFonts w:ascii="Calibri" w:cs="Calibri" w:eastAsia="Calibri" w:hAnsi="Calibri"/>
          <w:sz w:val="21"/>
          <w:szCs w:val="21"/>
        </w:rPr>
        <w:t xml:space="preserve">Wording differs between the Graham (1873) and Howard/Paret (1976) editions; the quote above follows Graham.</w:t>
      </w:r>
    </w:p>
    <w:p>
      <w:pPr>
        <w:pStyle w:val="Heading2"/>
        <w:spacing w:after="100" w:before="220"/>
      </w:pPr>
      <w:r>
        <w:rPr>
          <w:rFonts w:ascii="Calibri" w:cs="Calibri" w:eastAsia="Calibri" w:hAnsi="Calibri"/>
          <w:b/>
          <w:bCs/>
          <w:color w:val="1A5E63"/>
          <w:sz w:val="25"/>
          <w:szCs w:val="25"/>
        </w:rPr>
        <w:t xml:space="preserve">5.2 Boyd's OODA Loop</w:t>
      </w:r>
    </w:p>
    <w:p>
      <w:pPr>
        <w:spacing w:after="140" w:line="276"/>
      </w:pPr>
      <w:r>
        <w:rPr>
          <w:rFonts w:ascii="Calibri" w:cs="Calibri" w:eastAsia="Calibri" w:hAnsi="Calibri"/>
          <w:sz w:val="21"/>
          <w:szCs w:val="21"/>
        </w:rPr>
        <w:t xml:space="preserve">John Boyd's Observe–Orient–Decide–Act cycle. The crucial, often-omitted feature: Orientation is the “big O” (shaped by experience, culture, prior knowledge), and in Boyd's final diagram (“The Essence of Winning and Losing,” 28 June 1995) there are direct “Implicit Guidance and Control” links running from Orientation to Observe and Act — bypassing explicit Decision when one has deep, shared orientation. Boyd linked this to Fingerspitzengefühl (“fingertip feeling,” intuitive skill). Tempo advantage comes from collapsing deliberation into trained intuition — a direct strategic instantiation of the thesis.</w:t>
      </w:r>
    </w:p>
    <w:p>
      <w:pPr>
        <w:spacing w:after="140" w:line="276"/>
      </w:pPr>
      <w:r>
        <w:rPr>
          <w:rFonts w:ascii="Calibri" w:cs="Calibri" w:eastAsia="Calibri" w:hAnsi="Calibri"/>
          <w:b/>
          <w:bCs/>
          <w:sz w:val="21"/>
          <w:szCs w:val="21"/>
        </w:rPr>
        <w:t xml:space="preserve">Source caveats: </w:t>
      </w:r>
      <w:r>
        <w:rPr>
          <w:rFonts w:ascii="Calibri" w:cs="Calibri" w:eastAsia="Calibri" w:hAnsi="Calibri"/>
          <w:sz w:val="21"/>
          <w:szCs w:val="21"/>
        </w:rPr>
        <w:t xml:space="preserve">Boyd never published in the conventional academic sense. He produced briefings (“A Discourse on Winning and Losing,” “Patterns of Conflict”) and one short essay (“Destruction and Creation,” 1976); his collected work was published posthumously (Air University Press, ed. Grant Hammond, 2018). The widely quoted line — “This stuff has got to be implicit; if it is explicit, you can't do it fast enough” — cannot be traced to a primary written source and appears to derive from those who attended his briefings (Coram, Richards). Treat as orally transmitted / secondhand, not a verified written quotation.</w:t>
      </w:r>
    </w:p>
    <w:p>
      <w:pPr>
        <w:pStyle w:val="Heading2"/>
        <w:spacing w:after="100" w:before="220"/>
      </w:pPr>
      <w:r>
        <w:rPr>
          <w:rFonts w:ascii="Calibri" w:cs="Calibri" w:eastAsia="Calibri" w:hAnsi="Calibri"/>
          <w:b/>
          <w:bCs/>
          <w:color w:val="1A5E63"/>
          <w:sz w:val="25"/>
          <w:szCs w:val="25"/>
        </w:rPr>
        <w:t xml:space="preserve">5.3 Polanyi's Tacit Knowledge</w:t>
      </w:r>
    </w:p>
    <w:p>
      <w:pPr>
        <w:spacing w:after="140" w:line="276"/>
      </w:pPr>
      <w:r>
        <w:rPr>
          <w:rFonts w:ascii="Calibri" w:cs="Calibri" w:eastAsia="Calibri" w:hAnsi="Calibri"/>
          <w:sz w:val="21"/>
          <w:szCs w:val="21"/>
        </w:rPr>
        <w:t xml:space="preserve">Michael Polanyi (The Tacit Dimension, 1966, p. 4): “I shall reconsider human knowledge by starting from the fact that we can know more than we can tell.” All knowledge has a tacit, personal, inarticulable root (we recognize a face without being able to specify how). For Polanyi, declarative knowledge may be needed to acquire a skill but becomes unnecessary once one is expert; tacit knowing underlies all expertise and even scientific discovery. David Autor named “Polanyi's Paradox” in 2014 (NBER Working Paper No. 20485, prepared for the Federal Reserve Bank of Kansas City's Jackson Hole symposium) — the reason many human capacities resisted automation.</w:t>
      </w:r>
    </w:p>
    <w:p>
      <w:pPr>
        <w:spacing w:after="140" w:line="276"/>
      </w:pPr>
      <w:r>
        <w:rPr>
          <w:rFonts w:ascii="Calibri" w:cs="Calibri" w:eastAsia="Calibri" w:hAnsi="Calibri"/>
          <w:b/>
          <w:bCs/>
          <w:sz w:val="21"/>
          <w:szCs w:val="21"/>
        </w:rPr>
        <w:t xml:space="preserve">Misinterpretation flag: </w:t>
      </w:r>
      <w:r>
        <w:rPr>
          <w:rFonts w:ascii="Calibri" w:cs="Calibri" w:eastAsia="Calibri" w:hAnsi="Calibri"/>
          <w:sz w:val="21"/>
          <w:szCs w:val="21"/>
        </w:rPr>
        <w:t xml:space="preserve">Nonaka &amp; Takeuchi's popular “SECI model” (tacit→explicit knowledge conversion) is widely regarded by Polanyi scholars as a misinterpretation. Polanyi held tacit knowing to be irreducible — it can be cultivated and indwelt but not fully converted to explicit propositions. This critique is made by Stephen Gourlay (2006), Harry Collins, Dave Snowden (2003), and others, on the grounds that SECI's “externalization” step assumes precisely the conversion Polanyi denied.</w:t>
      </w:r>
    </w:p>
    <w:p>
      <w:pPr>
        <w:pStyle w:val="Heading2"/>
        <w:spacing w:after="100" w:before="220"/>
      </w:pPr>
      <w:r>
        <w:rPr>
          <w:rFonts w:ascii="Calibri" w:cs="Calibri" w:eastAsia="Calibri" w:hAnsi="Calibri"/>
          <w:b/>
          <w:bCs/>
          <w:color w:val="1A5E63"/>
          <w:sz w:val="25"/>
          <w:szCs w:val="25"/>
        </w:rPr>
        <w:t xml:space="preserve">5.4 Weick's Sensemaking</w:t>
      </w:r>
    </w:p>
    <w:p>
      <w:pPr>
        <w:spacing w:after="140" w:line="276"/>
      </w:pPr>
      <w:r>
        <w:rPr>
          <w:rFonts w:ascii="Calibri" w:cs="Calibri" w:eastAsia="Calibri" w:hAnsi="Calibri"/>
          <w:sz w:val="21"/>
          <w:szCs w:val="21"/>
        </w:rPr>
        <w:t xml:space="preserve">Karl Weick reframed organizations away from rational-choice decision-making toward sensemaking: “the ongoing retrospective development of plausible images that rationalize what people are doing” (Weick, Sutcliffe &amp; Obstfeld, “Organizing and the Process of Sensemaking,” Organization Science 16(4): 409–421, 2005, p. 409). Seven properties: grounded in identity, retrospective, enactive (we partly create the environments we then interpret), social, ongoing, focused on extracted cues, and driven by plausibility rather than accuracy.</w:t>
      </w:r>
    </w:p>
    <w:p>
      <w:pPr>
        <w:spacing w:after="140" w:line="276"/>
      </w:pPr>
      <w:r>
        <w:rPr>
          <w:rFonts w:ascii="Calibri" w:cs="Calibri" w:eastAsia="Calibri" w:hAnsi="Calibri"/>
          <w:sz w:val="21"/>
          <w:szCs w:val="21"/>
        </w:rPr>
        <w:t xml:space="preserve">His recipe is captured by a line he borrows (not originates): “How can I know what I think until I see what I say?” — traceable to Graham Wallas (The Art of Thought, 1926) and popularized by E. M. Forster (Aspects of the Novel, 1927). Sensemaking is wisdom-adjacent: it is how actors construct meaning and act under ambiguity where full knowledge is impossible. Weick's Mann Gulch and Tenerife case studies document sensemaking's failures as well as its logic.</w:t>
      </w:r>
    </w:p>
    <w:p>
      <w:r>
        <w:br w:type="page"/>
      </w:r>
    </w:p>
    <w:p>
      <w:pPr>
        <w:pStyle w:val="Heading1"/>
        <w:spacing w:after="140" w:before="300"/>
      </w:pPr>
      <w:r>
        <w:rPr>
          <w:rFonts w:ascii="Calibri" w:cs="Calibri" w:eastAsia="Calibri" w:hAnsi="Calibri"/>
          <w:b/>
          <w:bCs/>
          <w:color w:val="1B2A4A"/>
          <w:sz w:val="30"/>
          <w:szCs w:val="30"/>
        </w:rPr>
        <w:t xml:space="preserve">6. How the Formulation Compares to Existing Frameworks</w:t>
      </w:r>
    </w:p>
    <w:p>
      <w:pPr>
        <w:spacing w:after="140" w:line="276"/>
      </w:pPr>
      <w:r>
        <w:rPr>
          <w:rFonts w:ascii="Calibri" w:cs="Calibri" w:eastAsia="Calibri" w:hAnsi="Calibri"/>
          <w:sz w:val="21"/>
          <w:szCs w:val="21"/>
        </w:rPr>
        <w:t xml:space="preserve">The claim — “Wisdom is the application of acquired knowledge through the lens of personal experience and the use of intuition to guide your actions and strategy” — is a practical, phronesis-adjacent, action-oriented definition. Its fit with the scholarship:</w:t>
      </w:r>
    </w:p>
    <w:p>
      <w:pPr>
        <w:pStyle w:val="Heading3"/>
        <w:spacing w:after="80" w:before="160"/>
      </w:pPr>
      <w:r>
        <w:rPr>
          <w:rFonts w:ascii="Calibri" w:cs="Calibri" w:eastAsia="Calibri" w:hAnsi="Calibri"/>
          <w:b/>
          <w:bCs/>
          <w:color w:val="8B2500"/>
          <w:sz w:val="22"/>
          <w:szCs w:val="22"/>
        </w:rPr>
        <w:t xml:space="preserve">Strengths</w:t>
      </w:r>
    </w:p>
    <w:p>
      <w:pPr>
        <w:pStyle w:val="ListParagraph"/>
        <w:numPr>
          <w:ilvl w:val="0"/>
          <w:numId w:val="2"/>
        </w:numPr>
        <w:spacing w:after="80" w:line="268"/>
      </w:pPr>
      <w:r>
        <w:rPr>
          <w:rFonts w:ascii="Calibri" w:cs="Calibri" w:eastAsia="Calibri" w:hAnsi="Calibri"/>
          <w:sz w:val="21"/>
          <w:szCs w:val="21"/>
        </w:rPr>
        <w:t xml:space="preserve">It correctly distinguishes wisdom from inert knowledge (echoing Aristotle, Ryle, Polanyi).</w:t>
      </w:r>
    </w:p>
    <w:p>
      <w:pPr>
        <w:pStyle w:val="ListParagraph"/>
        <w:numPr>
          <w:ilvl w:val="0"/>
          <w:numId w:val="2"/>
        </w:numPr>
        <w:spacing w:after="80" w:line="268"/>
      </w:pPr>
      <w:r>
        <w:rPr>
          <w:rFonts w:ascii="Calibri" w:cs="Calibri" w:eastAsia="Calibri" w:hAnsi="Calibri"/>
          <w:sz w:val="21"/>
          <w:szCs w:val="21"/>
        </w:rPr>
        <w:t xml:space="preserve">It correctly centers experience as the transforming lens (Dreyfus, Klein's RPD, the Berlin model's lifespan contextualism, Damasio's stored somatic markers, Buddhist experiential realization of prajñā).</w:t>
      </w:r>
    </w:p>
    <w:p>
      <w:pPr>
        <w:pStyle w:val="ListParagraph"/>
        <w:numPr>
          <w:ilvl w:val="0"/>
          <w:numId w:val="2"/>
        </w:numPr>
        <w:spacing w:after="80" w:line="268"/>
      </w:pPr>
      <w:r>
        <w:rPr>
          <w:rFonts w:ascii="Calibri" w:cs="Calibri" w:eastAsia="Calibri" w:hAnsi="Calibri"/>
          <w:sz w:val="21"/>
          <w:szCs w:val="21"/>
        </w:rPr>
        <w:t xml:space="preserve">It correctly includes intuition as an action-guiding component (Simon/Klein, Gigerenzer, Boyd, wu-wei).</w:t>
      </w:r>
    </w:p>
    <w:p>
      <w:pPr>
        <w:pStyle w:val="ListParagraph"/>
        <w:numPr>
          <w:ilvl w:val="0"/>
          <w:numId w:val="2"/>
        </w:numPr>
        <w:spacing w:after="80" w:line="268"/>
      </w:pPr>
      <w:r>
        <w:rPr>
          <w:rFonts w:ascii="Calibri" w:cs="Calibri" w:eastAsia="Calibri" w:hAnsi="Calibri"/>
          <w:sz w:val="21"/>
          <w:szCs w:val="21"/>
        </w:rPr>
        <w:t xml:space="preserve">It is explicitly action/strategy-oriented, aligning with phronesis, RPD, OODA, and sensemaking.</w:t>
      </w:r>
    </w:p>
    <w:p>
      <w:pPr>
        <w:pStyle w:val="Heading3"/>
        <w:spacing w:after="80" w:before="160"/>
      </w:pPr>
      <w:r>
        <w:rPr>
          <w:rFonts w:ascii="Calibri" w:cs="Calibri" w:eastAsia="Calibri" w:hAnsi="Calibri"/>
          <w:b/>
          <w:bCs/>
          <w:color w:val="8B2500"/>
          <w:sz w:val="22"/>
          <w:szCs w:val="22"/>
        </w:rPr>
        <w:t xml:space="preserve">Gaps Relative to Scholarly Consensus</w:t>
      </w:r>
    </w:p>
    <w:p>
      <w:pPr>
        <w:spacing w:after="140" w:line="276"/>
      </w:pPr>
      <w:r>
        <w:rPr>
          <w:rFonts w:ascii="Calibri" w:cs="Calibri" w:eastAsia="Calibri" w:hAnsi="Calibri"/>
          <w:b/>
          <w:bCs/>
          <w:sz w:val="21"/>
          <w:szCs w:val="21"/>
        </w:rPr>
        <w:t xml:space="preserve">1. No moral/ethical dimension. </w:t>
      </w:r>
      <w:r>
        <w:rPr>
          <w:rFonts w:ascii="Calibri" w:cs="Calibri" w:eastAsia="Calibri" w:hAnsi="Calibri"/>
          <w:sz w:val="21"/>
          <w:szCs w:val="21"/>
        </w:rPr>
        <w:t xml:space="preserve">Phronesis, Ardelt's compassion dimension, and the Common Wisdom Model's “moral grounding” all treat orientation toward a good as constitutive of wisdom. By this consensus, a brilliant, experienced, intuitive strategist serving purely selfish or destructive ends would be clever or expert, not wise. However (see §5.C): this moral-grounding requirement is a substantive position, not a universal. The definition might be tracking strategic prudence / deinōtēs rather than full moral-philosophical wisdom — a legitimate concept in its own right. The prompt should surface and examine this choice, not assume it.</w:t>
      </w:r>
    </w:p>
    <w:p>
      <w:pPr>
        <w:spacing w:after="140" w:line="276"/>
      </w:pPr>
      <w:r>
        <w:rPr>
          <w:rFonts w:ascii="Calibri" w:cs="Calibri" w:eastAsia="Calibri" w:hAnsi="Calibri"/>
          <w:b/>
          <w:bCs/>
          <w:sz w:val="21"/>
          <w:szCs w:val="21"/>
        </w:rPr>
        <w:t xml:space="preserve">2. No metacognitive humility / uncertainty management. </w:t>
      </w:r>
      <w:r>
        <w:rPr>
          <w:rFonts w:ascii="Calibri" w:cs="Calibri" w:eastAsia="Calibri" w:hAnsi="Calibri"/>
          <w:sz w:val="21"/>
          <w:szCs w:val="21"/>
        </w:rPr>
        <w:t xml:space="preserve">Nearly every model (Berlin's “management of uncertainty,” Grossmann's intellectual humility, Socratic “knowing that you do not know”) treats awareness of the limits of one's knowledge as central. The definition is confident and applicative; wisdom science says wisdom is also reflective and self-limiting.</w:t>
      </w:r>
    </w:p>
    <w:p>
      <w:pPr>
        <w:spacing w:after="140" w:line="276"/>
      </w:pPr>
      <w:r>
        <w:rPr>
          <w:rFonts w:ascii="Calibri" w:cs="Calibri" w:eastAsia="Calibri" w:hAnsi="Calibri"/>
          <w:b/>
          <w:bCs/>
          <w:sz w:val="21"/>
          <w:szCs w:val="21"/>
        </w:rPr>
        <w:t xml:space="preserve">3. No boundary conditions on intuition. </w:t>
      </w:r>
      <w:r>
        <w:rPr>
          <w:rFonts w:ascii="Calibri" w:cs="Calibri" w:eastAsia="Calibri" w:hAnsi="Calibri"/>
          <w:sz w:val="21"/>
          <w:szCs w:val="21"/>
        </w:rPr>
        <w:t xml:space="preserve">The Kahneman–Klein (2009) result means intuition should be trusted conditionally — in high-validity domains with rapid, unequivocal feedback. A complete formulation would specify when intuition guides well vs. when it misleads. The “illusion of validity” demonstrates that subjective confidence is not a reliable indicator of intuitive accuracy.</w:t>
      </w:r>
    </w:p>
    <w:p>
      <w:pPr>
        <w:spacing w:after="140" w:line="276"/>
      </w:pPr>
      <w:r>
        <w:rPr>
          <w:rFonts w:ascii="Calibri" w:cs="Calibri" w:eastAsia="Calibri" w:hAnsi="Calibri"/>
          <w:b/>
          <w:bCs/>
          <w:sz w:val="21"/>
          <w:szCs w:val="21"/>
        </w:rPr>
        <w:t xml:space="preserve">4. “Knowledge” and “judgment” are under-theorized in the claim. </w:t>
      </w:r>
      <w:r>
        <w:rPr>
          <w:rFonts w:ascii="Calibri" w:cs="Calibri" w:eastAsia="Calibri" w:hAnsi="Calibri"/>
          <w:sz w:val="21"/>
          <w:szCs w:val="21"/>
        </w:rPr>
        <w:t xml:space="preserve">The prompt should distinguish knowing-that (epistēmē) from knowing-how (technē/skill), and treat judgment (Kant's Urteilskraft / the deliberative element of phronesis) as the bridge faculty that applies knowledge to particulars — the place where wisdom and intuition actually do their work.</w:t>
      </w:r>
    </w:p>
    <w:p>
      <w:r>
        <w:br w:type="page"/>
      </w:r>
    </w:p>
    <w:p>
      <w:pPr>
        <w:pStyle w:val="Heading1"/>
        <w:spacing w:after="140" w:before="300"/>
      </w:pPr>
      <w:r>
        <w:rPr>
          <w:rFonts w:ascii="Calibri" w:cs="Calibri" w:eastAsia="Calibri" w:hAnsi="Calibri"/>
          <w:b/>
          <w:bCs/>
          <w:color w:val="1B2A4A"/>
          <w:sz w:val="30"/>
          <w:szCs w:val="30"/>
        </w:rPr>
        <w:t xml:space="preserve">7. Recommendations for Prompt Design</w:t>
      </w:r>
    </w:p>
    <w:p>
      <w:pPr>
        <w:spacing w:after="140" w:line="276"/>
      </w:pPr>
      <w:r>
        <w:rPr>
          <w:rFonts w:ascii="Calibri" w:cs="Calibri" w:eastAsia="Calibri" w:hAnsi="Calibri"/>
          <w:b/>
          <w:bCs/>
          <w:sz w:val="21"/>
          <w:szCs w:val="21"/>
        </w:rPr>
        <w:t xml:space="preserve">Stage 1 — Anchor on a two-axis structure, not four silos.</w:t>
      </w:r>
    </w:p>
    <w:p>
      <w:pPr>
        <w:spacing w:after="140" w:line="276"/>
      </w:pPr>
      <w:r>
        <w:rPr>
          <w:rFonts w:ascii="Calibri" w:cs="Calibri" w:eastAsia="Calibri" w:hAnsi="Calibri"/>
          <w:sz w:val="21"/>
          <w:szCs w:val="21"/>
        </w:rPr>
        <w:t xml:space="preserve">Define the axis explicitly: explicit/propositional/articulable/rule-based (knowledge, analytic judgment) vs. tacit/holistic/experiential/action-embedded (wisdom, intuition). Then immediately require the analysis to show how the four interpenetrate: knowledge feeds intuition via chunking (Graybiel); judgment applies knowledge but bottoms out in trained perception (Kant); wisdom integrates all three under moral and metacognitive governance (Grossmann). Flag that this axis is itself a heuristic lens — a Western dual-process frame that is contested within cognitive science and imperfectly translatable to Eastern and Indigenous frameworks.</w:t>
      </w:r>
    </w:p>
    <w:p>
      <w:pPr>
        <w:spacing w:after="140" w:line="276"/>
      </w:pPr>
      <w:r>
        <w:rPr>
          <w:rFonts w:ascii="Calibri" w:cs="Calibri" w:eastAsia="Calibri" w:hAnsi="Calibri"/>
          <w:b/>
          <w:bCs/>
          <w:sz w:val="21"/>
          <w:szCs w:val="21"/>
        </w:rPr>
        <w:t xml:space="preserve">Stage 2 — Force each concept to be defined against its nearest neighbor.</w:t>
      </w:r>
    </w:p>
    <w:p>
      <w:pPr>
        <w:spacing w:after="140" w:line="276"/>
      </w:pPr>
      <w:r>
        <w:rPr>
          <w:rFonts w:ascii="Calibri" w:cs="Calibri" w:eastAsia="Calibri" w:hAnsi="Calibri"/>
          <w:sz w:val="21"/>
          <w:szCs w:val="21"/>
        </w:rPr>
        <w:t xml:space="preserve">Use the canonical contrasts: wisdom vs. knowledge (phronesis vs. epistēmē; prajñā vs. vijñāna); intuition vs. analysis (System 1 vs. System 2; Bergson vs. Kant; coup d'œil vs. staff planning); judgment vs. wisdom (applying a rule to a case vs. discerning what good end to pursue — noting this framing reflects one reading of phronesis); knowing-how vs. knowing-that (Ryle — noting the Stanley/Williamson counter).</w:t>
      </w:r>
    </w:p>
    <w:p>
      <w:pPr>
        <w:spacing w:after="140" w:line="276"/>
      </w:pPr>
      <w:r>
        <w:rPr>
          <w:rFonts w:ascii="Calibri" w:cs="Calibri" w:eastAsia="Calibri" w:hAnsi="Calibri"/>
          <w:b/>
          <w:bCs/>
          <w:sz w:val="21"/>
          <w:szCs w:val="21"/>
        </w:rPr>
        <w:t xml:space="preserve">Stage 3 — Incorporate the three additions the definition omits.</w:t>
      </w:r>
    </w:p>
    <w:p>
      <w:pPr>
        <w:spacing w:after="140" w:line="276"/>
      </w:pPr>
      <w:r>
        <w:rPr>
          <w:rFonts w:ascii="Calibri" w:cs="Calibri" w:eastAsia="Calibri" w:hAnsi="Calibri"/>
          <w:sz w:val="21"/>
          <w:szCs w:val="21"/>
        </w:rPr>
        <w:t xml:space="preserve">(a) Moral grounding / orientation toward a good — while noting this is a substantive commitment, not a universal, and that the definition may be tracking deinōtēs/strategic prudence. (b) Metacognitive humility and uncertainty management. (c) The conditional reliability of intuition (Kahneman–Klein: high-validity environments + rapid feedback). These convert the definition from “expert decisiveness” into “wisdom” as the contemporary scholarly consensus understands it.</w:t>
      </w:r>
    </w:p>
    <w:p>
      <w:pPr>
        <w:spacing w:after="140" w:line="276"/>
      </w:pPr>
      <w:r>
        <w:rPr>
          <w:rFonts w:ascii="Calibri" w:cs="Calibri" w:eastAsia="Calibri" w:hAnsi="Calibri"/>
          <w:b/>
          <w:bCs/>
          <w:sz w:val="21"/>
          <w:szCs w:val="21"/>
        </w:rPr>
        <w:t xml:space="preserve">Stage 4 — Demand multidisciplinary triangulation by design.</w:t>
      </w:r>
    </w:p>
    <w:p>
      <w:pPr>
        <w:spacing w:after="140" w:line="276"/>
      </w:pPr>
      <w:r>
        <w:rPr>
          <w:rFonts w:ascii="Calibri" w:cs="Calibri" w:eastAsia="Calibri" w:hAnsi="Calibri"/>
          <w:sz w:val="21"/>
          <w:szCs w:val="21"/>
        </w:rPr>
        <w:t xml:space="preserve">Require any claim about these concepts to be tested against at least three lenses — a philosophical (Aristotle/Kant/Ryle), an empirical-psychological (Kahneman–Klein, Grossmann, Ardelt), and a cross-cultural/contemplative (prajñā, wu-wei, Two-Eyed Seeing) — to avoid a Western-analytic monoculture. Note the limits of each triangulation: cross-traditional equivalences are family resemblances; neural evidence is correlational; and measurement of wisdom is disputed across the Berlin (performance), Ardelt (self-report), and Grossmann (situated/state) approaches.</w:t>
      </w:r>
    </w:p>
    <w:p>
      <w:pPr>
        <w:spacing w:after="140" w:line="276"/>
      </w:pPr>
      <w:r>
        <w:rPr>
          <w:rFonts w:ascii="Calibri" w:cs="Calibri" w:eastAsia="Calibri" w:hAnsi="Calibri"/>
          <w:b/>
          <w:bCs/>
          <w:sz w:val="21"/>
          <w:szCs w:val="21"/>
        </w:rPr>
        <w:t xml:space="preserve">Stage 5 — Build in the failure modes.</w:t>
      </w:r>
    </w:p>
    <w:p>
      <w:pPr>
        <w:spacing w:after="140" w:line="276"/>
      </w:pPr>
      <w:r>
        <w:rPr>
          <w:rFonts w:ascii="Calibri" w:cs="Calibri" w:eastAsia="Calibri" w:hAnsi="Calibri"/>
          <w:sz w:val="21"/>
          <w:szCs w:val="21"/>
        </w:rPr>
        <w:t xml:space="preserve">A genuinely analytical (not definitional) prompt should ask when each mode fails: intuition in low-validity domains (Kahneman's “illusion of validity”); knowledge without judgment (the person who knows all the rules but can't act — Aristotle's worry, Kant's “stupidity”); sensemaking breakdowns under stress (Weick's Mann Gulch); wisdom's situation-dependence (Grossmann: wise reasoning varies within persons across contexts); Cook Ding's passivity (Schwitzgebel: the passage may not straightforwardly celebrate mastery).</w:t>
      </w:r>
    </w:p>
    <w:p>
      <w:r>
        <w:br w:type="page"/>
      </w:r>
    </w:p>
    <w:p>
      <w:pPr>
        <w:pStyle w:val="Heading1"/>
        <w:spacing w:after="140" w:before="300"/>
      </w:pPr>
      <w:r>
        <w:rPr>
          <w:rFonts w:ascii="Calibri" w:cs="Calibri" w:eastAsia="Calibri" w:hAnsi="Calibri"/>
          <w:b/>
          <w:bCs/>
          <w:color w:val="1B2A4A"/>
          <w:sz w:val="30"/>
          <w:szCs w:val="30"/>
        </w:rPr>
        <w:t xml:space="preserve">8. Consolidated Caveats</w:t>
      </w:r>
    </w:p>
    <w:p>
      <w:pPr>
        <w:spacing w:after="140" w:line="276"/>
      </w:pPr>
      <w:r>
        <w:rPr>
          <w:rFonts w:ascii="Calibri" w:cs="Calibri" w:eastAsia="Calibri" w:hAnsi="Calibri"/>
          <w:b/>
          <w:bCs/>
          <w:sz w:val="21"/>
          <w:szCs w:val="21"/>
        </w:rPr>
        <w:t xml:space="preserve">On the four-way separation. </w:t>
      </w:r>
      <w:r>
        <w:rPr>
          <w:rFonts w:ascii="Calibri" w:cs="Calibri" w:eastAsia="Calibri" w:hAnsi="Calibri"/>
          <w:sz w:val="21"/>
          <w:szCs w:val="21"/>
        </w:rPr>
        <w:t xml:space="preserve">Most scholarship treats these concepts as overlapping and interdependent. Modern strategic-cognition research (Boyd; Duggan on Clausewitz) explicitly argues analysis and intuition are intertwined, not separable; Grossmann's 2025 work argues metacognition integrates deliberate and automatic processing; Mega, Gigerenzer &amp; Volz (2015) present neural evidence for a “unified model” over a “clear-cut dichotomy.” Present the distinction as a useful map, not a literal partition of the mind.</w:t>
      </w:r>
    </w:p>
    <w:p>
      <w:pPr>
        <w:spacing w:after="140" w:line="276"/>
      </w:pPr>
      <w:r>
        <w:rPr>
          <w:rFonts w:ascii="Calibri" w:cs="Calibri" w:eastAsia="Calibri" w:hAnsi="Calibri"/>
          <w:b/>
          <w:bCs/>
          <w:sz w:val="21"/>
          <w:szCs w:val="21"/>
        </w:rPr>
        <w:t xml:space="preserve">On the polysemy of “intuition.” </w:t>
      </w:r>
      <w:r>
        <w:rPr>
          <w:rFonts w:ascii="Calibri" w:cs="Calibri" w:eastAsia="Calibri" w:hAnsi="Calibri"/>
          <w:sz w:val="21"/>
          <w:szCs w:val="21"/>
        </w:rPr>
        <w:t xml:space="preserve">It means at least four different things across the sources: Kant's sensibility (Anschauung), Aristotle's nous (grasp of first principles), Bergson's sympathetic metaphysical method, and the cognitive-science “expert pattern-recognition / gut feeling” (Simon/Klein/Gigerenzer). The prompt must disambiguate which sense is in play; conflating them produces confusion.</w:t>
      </w:r>
    </w:p>
    <w:p>
      <w:pPr>
        <w:spacing w:after="140" w:line="276"/>
      </w:pPr>
      <w:r>
        <w:rPr>
          <w:rFonts w:ascii="Calibri" w:cs="Calibri" w:eastAsia="Calibri" w:hAnsi="Calibri"/>
          <w:b/>
          <w:bCs/>
          <w:sz w:val="21"/>
          <w:szCs w:val="21"/>
        </w:rPr>
        <w:t xml:space="preserve">On neural evidence. </w:t>
      </w:r>
      <w:r>
        <w:rPr>
          <w:rFonts w:ascii="Calibri" w:cs="Calibri" w:eastAsia="Calibri" w:hAnsi="Calibri"/>
          <w:sz w:val="21"/>
          <w:szCs w:val="21"/>
        </w:rPr>
        <w:t xml:space="preserve">Largely correlational or lesion-based, not causal. The vmPFC/insula/basal-ganglia “intuition network” rests on fMRI correlations and patient studies. The somatic marker hypothesis is influential but critiqued (Dunn et al. 2006). Lieberman's X/C-system region assignments are hypothesized syntheses. Craig's anterior-insula awareness claim is a Perspective. The striatum/chunking account of skill-based intuition (Graybiel) is the most mechanistically robust.</w:t>
      </w:r>
    </w:p>
    <w:p>
      <w:pPr>
        <w:spacing w:after="140" w:line="276"/>
      </w:pPr>
      <w:r>
        <w:rPr>
          <w:rFonts w:ascii="Calibri" w:cs="Calibri" w:eastAsia="Calibri" w:hAnsi="Calibri"/>
          <w:b/>
          <w:bCs/>
          <w:sz w:val="21"/>
          <w:szCs w:val="21"/>
        </w:rPr>
        <w:t xml:space="preserve">On wisdom measurement. </w:t>
      </w:r>
      <w:r>
        <w:rPr>
          <w:rFonts w:ascii="Calibri" w:cs="Calibri" w:eastAsia="Calibri" w:hAnsi="Calibri"/>
          <w:sz w:val="21"/>
          <w:szCs w:val="21"/>
        </w:rPr>
        <w:t xml:space="preserve">The Berlin (performance/expertise), Ardelt (self-report 3D-WS), and Grossmann (situated/state) approaches disagree on whether wisdom is general or personal, trait or state, cognitive or affective — and some scales have limited cross-cultural replication. Glück et al. (2013) document that all self-report measures are vulnerable to the self-presentation paradox (the wise are less likely to claim wisdom). There is no single validated “wisdom-meter.”</w:t>
      </w:r>
    </w:p>
    <w:p>
      <w:pPr>
        <w:spacing w:after="140" w:line="276"/>
      </w:pPr>
      <w:r>
        <w:rPr>
          <w:rFonts w:ascii="Calibri" w:cs="Calibri" w:eastAsia="Calibri" w:hAnsi="Calibri"/>
          <w:b/>
          <w:bCs/>
          <w:sz w:val="21"/>
          <w:szCs w:val="21"/>
        </w:rPr>
        <w:t xml:space="preserve">On cross-tradition equivalences. </w:t>
      </w:r>
      <w:r>
        <w:rPr>
          <w:rFonts w:ascii="Calibri" w:cs="Calibri" w:eastAsia="Calibri" w:hAnsi="Calibri"/>
          <w:sz w:val="21"/>
          <w:szCs w:val="21"/>
        </w:rPr>
        <w:t xml:space="preserve">Phronesis, prajñā, and wu-wei arise from different metaphysics and soteriologies. Their convergence on “non-propositional, experience-cultivated, value-laden knowing-in-action” is real and striking but is a resonance, not an identity.</w:t>
      </w:r>
    </w:p>
    <w:p>
      <w:pPr>
        <w:spacing w:after="140" w:line="276"/>
      </w:pPr>
      <w:r>
        <w:rPr>
          <w:rFonts w:ascii="Calibri" w:cs="Calibri" w:eastAsia="Calibri" w:hAnsi="Calibri"/>
          <w:b/>
          <w:bCs/>
          <w:sz w:val="21"/>
          <w:szCs w:val="21"/>
        </w:rPr>
        <w:t xml:space="preserve">On Indigenous knowledge systems. </w:t>
      </w:r>
      <w:r>
        <w:rPr>
          <w:rFonts w:ascii="Calibri" w:cs="Calibri" w:eastAsia="Calibri" w:hAnsi="Calibri"/>
          <w:sz w:val="21"/>
          <w:szCs w:val="21"/>
        </w:rPr>
        <w:t xml:space="preserve">Now sourced (§4.4) to named scholars across distinct nations (Bartlett/Marshall/Marshall, Cajete, Kimmerer, Tuhiwai Smith) and to the CARE Principles for data governance. These are distinct traditions engaged on their own terms, not a single surveyed “system”; the section establishes the obligation to engage them seriously, not a comprehensive account.</w:t>
      </w:r>
    </w:p>
    <w:p>
      <w:pPr>
        <w:spacing w:after="140" w:line="276"/>
      </w:pPr>
      <w:r>
        <w:rPr>
          <w:rFonts w:ascii="Calibri" w:cs="Calibri" w:eastAsia="Calibri" w:hAnsi="Calibri"/>
          <w:b/>
          <w:bCs/>
          <w:sz w:val="21"/>
          <w:szCs w:val="21"/>
        </w:rPr>
        <w:t xml:space="preserve">On source quality. </w:t>
      </w:r>
      <w:r>
        <w:rPr>
          <w:rFonts w:ascii="Calibri" w:cs="Calibri" w:eastAsia="Calibri" w:hAnsi="Calibri"/>
          <w:sz w:val="21"/>
          <w:szCs w:val="21"/>
        </w:rPr>
        <w:t xml:space="preserve">Primary-source quotations (Aristotle, Kant, Ryle, Polanyi, Bechara et al., Kahneman &amp; Klein, Grossmann et al., Glück et al., Bartlett/Marshall/Marshall, Carroll et al.) have been verified against the named publications. Translation-dependent quotes (Clausewitz, Zhuangzi, Bergson) vary by edition; the editions used are specified where known.</w:t>
      </w:r>
    </w:p>
    <w:p>
      <w:r>
        <w:br w:type="page"/>
      </w:r>
    </w:p>
    <w:p>
      <w:pPr>
        <w:pStyle w:val="Heading1"/>
        <w:spacing w:after="140" w:before="300"/>
      </w:pPr>
      <w:r>
        <w:rPr>
          <w:rFonts w:ascii="Calibri" w:cs="Calibri" w:eastAsia="Calibri" w:hAnsi="Calibri"/>
          <w:b/>
          <w:bCs/>
          <w:color w:val="1B2A4A"/>
          <w:sz w:val="30"/>
          <w:szCs w:val="30"/>
        </w:rPr>
        <w:t xml:space="preserve">Appendix A: Corrections Log (v3 → v3.1)</w:t>
      </w:r>
    </w:p>
    <w:p>
      <w:pPr>
        <w:spacing w:after="140" w:line="276"/>
      </w:pPr>
      <w:r>
        <w:rPr>
          <w:rFonts w:ascii="Calibri" w:cs="Calibri" w:eastAsia="Calibri" w:hAnsi="Calibri"/>
          <w:sz w:val="21"/>
          <w:szCs w:val="21"/>
        </w:rPr>
        <w:t xml:space="preserve">v3.1 preserves the full v1→v2 corrections log (carried in the v2 source and unchanged in substance). The table below records only what changed at the v3 and v3.1 stages — the three v3 upgrades and their re-verification in this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v2 state</w:t>
            </w:r>
          </w:p>
        </w:tc>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v3 → v3.1 resolution</w:t>
            </w:r>
          </w:p>
        </w:tc>
      </w:tr>
      <w:tr>
        <w:tc>
          <w:tcPr>
            <w:tcW w:type="dxa" w:w="2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Indigenous knowledge systems</w:t>
            </w:r>
          </w:p>
        </w:tc>
        <w:tc>
          <w:tcPr>
            <w:tcW w:type="dxa" w:w="3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Flagged under-sourced; general claim; Kimmerer / A. Marshall / L. T. Smith recommended but not cited</w:t>
            </w:r>
          </w:p>
        </w:tc>
        <w:tc>
          <w:tcPr>
            <w:tcW w:type="dxa" w:w="356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Fully sourced to Bartlett/Marshall/Marshall (2012, JESS 2(4):331–340), Cajete (2000), Kimmerer (2013), Tuhiwai Smith (1999/2012), and CARE Principles (Carroll et al. 2020). All re-verified against primary publication.</w:t>
            </w:r>
          </w:p>
        </w:tc>
      </w:tr>
      <w:tr>
        <w:tc>
          <w:tcPr>
            <w:tcW w:type="dxa" w:w="2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Craig interoception citations</w:t>
            </w:r>
          </w:p>
        </w:tc>
        <w:tc>
          <w:tcPr>
            <w:tcW w:type="dxa" w:w="3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Section present; exact citations not locked in v2 body</w:t>
            </w:r>
          </w:p>
        </w:tc>
        <w:tc>
          <w:tcPr>
            <w:tcW w:type="dxa" w:w="356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Locked: Craig 2002 (Nat Rev Neurosci 3:655–666) and 2009 (Nat Rev Neurosci 10:59–70). Both re-verified.</w:t>
            </w:r>
          </w:p>
        </w:tc>
      </w:tr>
      <w:tr>
        <w:tc>
          <w:tcPr>
            <w:tcW w:type="dxa" w:w="2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Ardelt / SAWS self-deception figure</w:t>
            </w:r>
          </w:p>
        </w:tc>
        <w:tc>
          <w:tcPr>
            <w:tcW w:type="dxa" w:w="3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3D-WS correlates flagged “recommended for verification against primary tables”; risk of mis-assigning the .26 figure</w:t>
            </w:r>
          </w:p>
        </w:tc>
        <w:tc>
          <w:tcPr>
            <w:tcW w:type="dxa" w:w="356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Resolved to Glück et al. (2013, Front. Psychol. 4:405, open access). The 0.26 self-deception correlation belongs to the SAWS (Taylor et al. 2011), NOT the 3D-WS. Re-verified against the Frontiers full text.</w:t>
            </w:r>
          </w:p>
        </w:tc>
      </w:tr>
      <w:tr>
        <w:tc>
          <w:tcPr>
            <w:tcW w:type="dxa" w:w="2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Version identity</w:t>
            </w:r>
          </w:p>
        </w:tc>
        <w:tc>
          <w:tcPr>
            <w:tcW w:type="dxa" w:w="3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v3.0 issued as “fully sourced”</w:t>
            </w:r>
          </w:p>
        </w:tc>
        <w:tc>
          <w:tcPr>
            <w:tcW w:type="dxa" w:w="356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v3.0 output files lost; v3.1 is a faithful rebuild on the recovered v2 base with all three upgrades re-verified. Cite v3.1 going forward.</w:t>
            </w:r>
          </w:p>
        </w:tc>
      </w:tr>
    </w:tbl>
    <w:p>
      <w:r>
        <w:br w:type="page"/>
      </w:r>
    </w:p>
    <w:p>
      <w:pPr>
        <w:pStyle w:val="Heading1"/>
        <w:spacing w:after="140" w:before="300"/>
      </w:pPr>
      <w:r>
        <w:rPr>
          <w:rFonts w:ascii="Calibri" w:cs="Calibri" w:eastAsia="Calibri" w:hAnsi="Calibri"/>
          <w:b/>
          <w:bCs/>
          <w:color w:val="1B2A4A"/>
          <w:sz w:val="30"/>
          <w:szCs w:val="30"/>
        </w:rPr>
        <w:t xml:space="preserve">Appendix B: Re-Verification Record (v3.1 rebuild)</w:t>
      </w:r>
    </w:p>
    <w:p>
      <w:pPr>
        <w:spacing w:after="140" w:line="276"/>
      </w:pPr>
      <w:r>
        <w:rPr>
          <w:rFonts w:ascii="Calibri" w:cs="Calibri" w:eastAsia="Calibri" w:hAnsi="Calibri"/>
          <w:sz w:val="21"/>
          <w:szCs w:val="21"/>
        </w:rPr>
        <w:t xml:space="preserve">Every load-bearing v3 addition was checked against a primary or authoritative source during this rebuild rather than carried over on trust. This appendix documents those checks so the citation chain is auditable. Base-body claims inherited verbatim from the ratified v2 (recovered from the holmes repo) retain their v2 verification status and are not re-litigated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Claim re-verified</w:t>
            </w:r>
          </w:p>
        </w:tc>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Primary source</w:t>
            </w:r>
          </w:p>
        </w:tc>
        <w:tc>
          <w:tcPr>
            <w:tcBorders>
              <w:top w:val="single" w:color="C9D2DC" w:sz="1"/>
              <w:left w:val="single" w:color="C9D2DC" w:sz="1"/>
              <w:bottom w:val="single" w:color="C9D2DC" w:sz="1"/>
              <w:right w:val="single" w:color="C9D2DC" w:sz="1"/>
            </w:tcBorders>
            <w:shd w:fill="1B2A4A" w:val="clear"/>
            <w:tcMar>
              <w:top w:type="dxa" w:w="60"/>
              <w:left w:type="dxa" w:w="100"/>
              <w:bottom w:type="dxa" w:w="60"/>
              <w:right w:type="dxa" w:w="100"/>
            </w:tcMar>
          </w:tcPr>
          <w:p>
            <w:r>
              <w:rPr>
                <w:rFonts w:ascii="Calibri" w:cs="Calibri" w:eastAsia="Calibri" w:hAnsi="Calibri"/>
                <w:b/>
                <w:bCs/>
                <w:color w:val="FFFFFF"/>
                <w:sz w:val="19"/>
                <w:szCs w:val="19"/>
              </w:rPr>
              <w:t xml:space="preserve">Outcome</w:t>
            </w:r>
          </w:p>
        </w:tc>
      </w:tr>
      <w:tr>
        <w:tc>
          <w:tcPr>
            <w:tcW w:type="dxa" w:w="25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Two-Eyed Seeing / Etuaptmumk; definition at p. 335; term coined by Elder Albert Marshall (2004)</w:t>
            </w:r>
          </w:p>
        </w:tc>
        <w:tc>
          <w:tcPr>
            <w:tcW w:type="dxa" w:w="3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Bartlett, Marshall &amp; Marshall (2012), J. Environmental Studies and Sciences 2(4): 331–340; DOI 10.1007/s13412-012-0086-8</w:t>
            </w:r>
          </w:p>
        </w:tc>
        <w:tc>
          <w:tcPr>
            <w:tcW w:type="dxa" w:w="346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VERIFIED — title, authors, volume, pages, DOI, and p. 335 quote all confirmed via publisher (Springer) and multiple independent citations.</w:t>
            </w:r>
          </w:p>
        </w:tc>
      </w:tr>
      <w:tr>
        <w:tc>
          <w:tcPr>
            <w:tcW w:type="dxa" w:w="25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SAWS 0.26 correlation to positive self-deception (not 3D-WS); self-report paradox</w:t>
            </w:r>
          </w:p>
        </w:tc>
        <w:tc>
          <w:tcPr>
            <w:tcW w:type="dxa" w:w="3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Glück, König, Naschenweng, Redzanowski, Dorner, Straßer &amp; Wiedermann (2013), Frontiers in Psychology 4:405; DOI 10.3389/fpsyg.2013.00405</w:t>
            </w:r>
          </w:p>
        </w:tc>
        <w:tc>
          <w:tcPr>
            <w:tcW w:type="dxa" w:w="346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VERIFIED — Frontiers full text states the 0.26 figure is the SAWS–self-deception correlation (Taylor et al. 2011); 3D-WS uses reverse-coded items to reduce bias. Open access confirmed.</w:t>
            </w:r>
          </w:p>
        </w:tc>
      </w:tr>
      <w:tr>
        <w:tc>
          <w:tcPr>
            <w:tcW w:type="dxa" w:w="25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CARE Principles = Collective Benefit, Authority to Control, Responsibility, Ethics; complement to FAIR</w:t>
            </w:r>
          </w:p>
        </w:tc>
        <w:tc>
          <w:tcPr>
            <w:tcW w:type="dxa" w:w="3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Carroll et al. (2020), Data Science Journal 19:43, pp. 1–12; DOI 10.5334/dsj-2020-043</w:t>
            </w:r>
          </w:p>
        </w:tc>
        <w:tc>
          <w:tcPr>
            <w:tcW w:type="dxa" w:w="346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VERIFIED — acronym, full 14-author list, journal, article number, and DOI confirmed via CODATA and multiple mirrors. Open access.</w:t>
            </w:r>
          </w:p>
        </w:tc>
      </w:tr>
      <w:tr>
        <w:tc>
          <w:tcPr>
            <w:tcW w:type="dxa" w:w="25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Craig interoception / anterior insula citations</w:t>
            </w:r>
          </w:p>
        </w:tc>
        <w:tc>
          <w:tcPr>
            <w:tcW w:type="dxa" w:w="340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Craig (2002) Nat Rev Neurosci 3:655–666; Craig (2009) Nat Rev Neurosci 10:59–70</w:t>
            </w:r>
          </w:p>
        </w:tc>
        <w:tc>
          <w:tcPr>
            <w:tcW w:type="dxa" w:w="3460"/>
            <w:tcBorders>
              <w:top w:val="single" w:color="C9D2DC" w:sz="1"/>
              <w:left w:val="single" w:color="C9D2DC" w:sz="1"/>
              <w:bottom w:val="single" w:color="C9D2DC" w:sz="1"/>
              <w:right w:val="single" w:color="C9D2DC" w:sz="1"/>
            </w:tcBorders>
            <w:shd w:fill="F4F6F8" w:val="clear"/>
            <w:tcMar>
              <w:top w:type="dxa" w:w="50"/>
              <w:left w:type="dxa" w:w="100"/>
              <w:bottom w:type="dxa" w:w="50"/>
              <w:right w:type="dxa" w:w="100"/>
            </w:tcMar>
          </w:tcPr>
          <w:p>
            <w:r>
              <w:rPr>
                <w:rFonts w:ascii="Calibri" w:cs="Calibri" w:eastAsia="Calibri" w:hAnsi="Calibri"/>
                <w:sz w:val="18"/>
                <w:szCs w:val="18"/>
              </w:rPr>
              <w:t xml:space="preserve">VERIFIED (carried from v2 body, which cited both) — titles, journal, volumes, and page ranges consistent; 2009 confirmed as a Perspective article.</w:t>
            </w:r>
          </w:p>
        </w:tc>
      </w:tr>
      <w:tr>
        <w:tc>
          <w:tcPr>
            <w:tcW w:type="dxa" w:w="25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Cajete, Kimmerer, Deloria, Tuhiwai Smith as named Indigenous-epistemology sources</w:t>
            </w:r>
          </w:p>
        </w:tc>
        <w:tc>
          <w:tcPr>
            <w:tcW w:type="dxa" w:w="340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Cajete, Native Science (2000); Kimmerer, Braiding Sweetgrass (2013); Tuhiwai Smith, Decolonizing Methodologies (1999/2012)</w:t>
            </w:r>
          </w:p>
        </w:tc>
        <w:tc>
          <w:tcPr>
            <w:tcW w:type="dxa" w:w="3460"/>
            <w:tcBorders>
              <w:top w:val="single" w:color="C9D2DC" w:sz="1"/>
              <w:left w:val="single" w:color="C9D2DC" w:sz="1"/>
              <w:bottom w:val="single" w:color="C9D2DC" w:sz="1"/>
              <w:right w:val="single" w:color="C9D2DC" w:sz="1"/>
            </w:tcBorders>
            <w:tcMar>
              <w:top w:type="dxa" w:w="50"/>
              <w:left w:type="dxa" w:w="100"/>
              <w:bottom w:type="dxa" w:w="50"/>
              <w:right w:type="dxa" w:w="100"/>
            </w:tcMar>
          </w:tcPr>
          <w:p>
            <w:r>
              <w:rPr>
                <w:rFonts w:ascii="Calibri" w:cs="Calibri" w:eastAsia="Calibri" w:hAnsi="Calibri"/>
                <w:sz w:val="18"/>
                <w:szCs w:val="18"/>
              </w:rPr>
              <w:t xml:space="preserve">VERIFIED as real, correctly-attributed works via multiple academic reference lists. Page-level quotes not asserted; cited at the work level only.</w:t>
            </w:r>
          </w:p>
        </w:tc>
      </w:tr>
    </w:tbl>
    <w:p>
      <w:pPr>
        <w:spacing w:after="140" w:line="276"/>
      </w:pPr>
      <w:r>
        <w:rPr>
          <w:rFonts w:ascii="Calibri" w:cs="Calibri" w:eastAsia="Calibri" w:hAnsi="Calibri"/>
          <w:b/>
          <w:bCs/>
          <w:sz w:val="21"/>
          <w:szCs w:val="21"/>
        </w:rPr>
        <w:t xml:space="preserve">Method notes. </w:t>
      </w:r>
      <w:r>
        <w:rPr>
          <w:rFonts w:ascii="Calibri" w:cs="Calibri" w:eastAsia="Calibri" w:hAnsi="Calibri"/>
          <w:sz w:val="21"/>
          <w:szCs w:val="21"/>
        </w:rPr>
        <w:t xml:space="preserve">Checks used primary publishers where reachable (Springer, Frontiers, CODATA/Data Science Journal, Nature Reviews Neuroscience) and corroborating academic citation lists otherwise. Where a source is a Perspective or opinion piece rather than a primary experimental report (Craig 2009), that status is stated in-line. No quotation in this document exceeds a short excerpt, and every statistic is tied to a named publication. Any claim that could not be raised above “inferential” is labeled as such at point of use.</w:t>
      </w:r>
    </w:p>
    <w:p>
      <w:pPr>
        <w:pBdr>
          <w:bottom w:val="single" w:color="C9D2DC" w:sz="6" w:space="4"/>
        </w:pBdr>
        <w:spacing w:after="160" w:before="60"/>
      </w:pPr>
      <w:r>
        <w:rPr>
          <w:rFonts w:ascii="Calibri" w:cs="Calibri" w:eastAsia="Calibri" w:hAnsi="Calibri"/>
          <w:sz w:val="21"/>
          <w:szCs w:val="21"/>
        </w:rPr>
        <w:t xml:space="preserve"/>
      </w:r>
    </w:p>
    <w:p>
      <w:pPr>
        <w:spacing w:after="140" w:line="276"/>
      </w:pPr>
      <w:r>
        <w:rPr>
          <w:rFonts w:ascii="Calibri" w:cs="Calibri" w:eastAsia="Calibri" w:hAnsi="Calibri"/>
          <w:i/>
          <w:iCs/>
          <w:color w:val="555555"/>
          <w:sz w:val="20"/>
          <w:szCs w:val="20"/>
        </w:rPr>
        <w:t xml:space="preserve">End of document — Wisdom, Intuition, Knowledge, and Judgment v3.1.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6"/>
      </w:pBdr>
      <w:jc w:val="right"/>
    </w:pPr>
    <w:r>
      <w:rPr>
        <w:rFonts w:ascii="Calibri" w:cs="Calibri" w:eastAsia="Calibri" w:hAnsi="Calibri"/>
        <w:color w:val="999999"/>
        <w:sz w:val="16"/>
        <w:szCs w:val="16"/>
      </w:rPr>
      <w:t xml:space="preserve">Wisdom, Intuition, Knowledge &amp; Judgment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Wisdom, Intuition, Knowledge, and Judgment v3.1</dc:title>
  <dc:creator>Martin Montero / AOS</dc:creator>
  <dc:description>A Multidisciplinary Map for Prompt Design — v3.1 fully sourced, re-verified</dc:description>
  <cp:lastModifiedBy>Un-named</cp:lastModifiedBy>
  <cp:revision>1</cp:revision>
  <dcterms:created xsi:type="dcterms:W3CDTF">2026-07-13T09:21:55.080Z</dcterms:created>
  <dcterms:modified xsi:type="dcterms:W3CDTF">2026-07-13T09:21:55.080Z</dcterms:modified>
</cp:coreProperties>
</file>

<file path=docProps/custom.xml><?xml version="1.0" encoding="utf-8"?>
<Properties xmlns="http://schemas.openxmlformats.org/officeDocument/2006/custom-properties" xmlns:vt="http://schemas.openxmlformats.org/officeDocument/2006/docPropsVTypes"/>
</file>