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13A02F73" w14:textId="6C298A17"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lastRenderedPageBreak/>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06CE1718" w:rsidR="00DC0A91" w:rsidRDefault="00DC0A91" w:rsidP="00396EC4">
      <w:r>
        <w:t>Press the “Open” button and the PuTTY window will open</w:t>
      </w:r>
      <w:r w:rsidR="001B190C">
        <w:t>.</w:t>
      </w:r>
    </w:p>
    <w:p w14:paraId="05352245" w14:textId="5EDD0B6F" w:rsidR="001B190C" w:rsidRDefault="00712223" w:rsidP="00396EC4">
      <w:r w:rsidRPr="00712223">
        <w:rPr>
          <w:noProof/>
        </w:rPr>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lastRenderedPageBreak/>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time that the clock has been running. This number is useful when calibrating the clock to keep more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Firmware version              :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minute :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Wait/Run State                :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r w:rsidRPr="000F4441">
        <w:rPr>
          <w:rFonts w:ascii="Cascadia Code" w:hAnsi="Cascadia Code"/>
          <w:sz w:val="16"/>
          <w:szCs w:val="16"/>
          <w:lang w:val="en-US"/>
        </w:rPr>
        <w:t>mSec</w:t>
      </w:r>
      <w:proofErr w:type="spellEnd"/>
      <w:r w:rsidRPr="000F4441">
        <w:rPr>
          <w:rFonts w:ascii="Cascadia Code" w:hAnsi="Cascadia Code"/>
          <w:sz w:val="16"/>
          <w:szCs w:val="16"/>
          <w:lang w:val="en-US"/>
        </w:rPr>
        <w:t>)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Test Mode                     :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Reverse Motor                 :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A&lt;n&gt;           :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              :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&lt;hours&gt; :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S&lt;n&gt;           :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              :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              :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lastRenderedPageBreak/>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71369BBB" w:rsidR="00E30BAF" w:rsidRDefault="00E30BAF" w:rsidP="002375E9">
      <w:pPr>
        <w:pStyle w:val="ListParagraph"/>
        <w:numPr>
          <w:ilvl w:val="0"/>
          <w:numId w:val="2"/>
        </w:numPr>
      </w:pPr>
      <w:r>
        <w:t>Gently push the minute hand to the left to take up and gear slack.</w:t>
      </w:r>
    </w:p>
    <w:p w14:paraId="69A1CC15" w14:textId="60F1CF79" w:rsidR="00E30BAF" w:rsidRDefault="00E30BAF" w:rsidP="002375E9">
      <w:pPr>
        <w:pStyle w:val="ListParagraph"/>
        <w:numPr>
          <w:ilvl w:val="0"/>
          <w:numId w:val="2"/>
        </w:numPr>
      </w:pPr>
      <w:r>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6FEFA2F2"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p>
    <w:p w14:paraId="3C4C9FD9" w14:textId="77777777" w:rsidR="00F67A90" w:rsidRDefault="00F67A90" w:rsidP="00F67A90">
      <w:pPr>
        <w:pStyle w:val="Heading4"/>
      </w:pPr>
      <w:r>
        <w:lastRenderedPageBreak/>
        <w:t>C&lt;n&gt;</w:t>
      </w:r>
    </w:p>
    <w:p w14:paraId="629D15AE" w14:textId="32750B06"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over a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762E981" w:rsidR="001725E9" w:rsidRDefault="001725E9" w:rsidP="001725E9">
      <w:r>
        <w:t>This command will calculate the correct speed adjustment from the number of seconds per hour</w:t>
      </w:r>
      <w:r w:rsidR="002A21F4">
        <w:t>s</w:t>
      </w:r>
      <w:r>
        <w:t xml:space="preserve">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75A56" w14:textId="77777777" w:rsidR="00A614AD" w:rsidRDefault="00A614AD" w:rsidP="005A0C24">
      <w:pPr>
        <w:spacing w:line="240" w:lineRule="auto"/>
      </w:pPr>
      <w:r>
        <w:separator/>
      </w:r>
    </w:p>
  </w:endnote>
  <w:endnote w:type="continuationSeparator" w:id="0">
    <w:p w14:paraId="3FC00D25" w14:textId="77777777" w:rsidR="00A614AD" w:rsidRDefault="00A614AD" w:rsidP="005A0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Content>
      <w:sdt>
        <w:sdtPr>
          <w:id w:val="1728636285"/>
          <w:docPartObj>
            <w:docPartGallery w:val="Page Numbers (Top of Page)"/>
            <w:docPartUnique/>
          </w:docPartObj>
        </w:sdt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AF805" w14:textId="77777777" w:rsidR="00A614AD" w:rsidRDefault="00A614AD" w:rsidP="005A0C24">
      <w:pPr>
        <w:spacing w:line="240" w:lineRule="auto"/>
      </w:pPr>
      <w:r>
        <w:separator/>
      </w:r>
    </w:p>
  </w:footnote>
  <w:footnote w:type="continuationSeparator" w:id="0">
    <w:p w14:paraId="630CD5BD" w14:textId="77777777" w:rsidR="00A614AD" w:rsidRDefault="00A614AD" w:rsidP="005A0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1"/>
  </w:num>
  <w:num w:numId="2" w16cid:durableId="18706047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51070"/>
    <w:rsid w:val="00051722"/>
    <w:rsid w:val="00052705"/>
    <w:rsid w:val="00052D07"/>
    <w:rsid w:val="0005342F"/>
    <w:rsid w:val="000536EC"/>
    <w:rsid w:val="00056FCE"/>
    <w:rsid w:val="00061BB2"/>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900"/>
    <w:rsid w:val="000D6AD3"/>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14BD"/>
    <w:rsid w:val="003C20FB"/>
    <w:rsid w:val="003C5198"/>
    <w:rsid w:val="003C67BE"/>
    <w:rsid w:val="003C6CF5"/>
    <w:rsid w:val="003D0F66"/>
    <w:rsid w:val="003D3441"/>
    <w:rsid w:val="003D5996"/>
    <w:rsid w:val="003D65D0"/>
    <w:rsid w:val="003D711A"/>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4A3A"/>
    <w:rsid w:val="005E4B83"/>
    <w:rsid w:val="005E797B"/>
    <w:rsid w:val="005F00C0"/>
    <w:rsid w:val="005F03C4"/>
    <w:rsid w:val="005F3FB3"/>
    <w:rsid w:val="005F3FC8"/>
    <w:rsid w:val="005F54C0"/>
    <w:rsid w:val="005F5F2B"/>
    <w:rsid w:val="005F5F82"/>
    <w:rsid w:val="005F63A4"/>
    <w:rsid w:val="00600658"/>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22C0"/>
    <w:rsid w:val="006B5335"/>
    <w:rsid w:val="006B62E8"/>
    <w:rsid w:val="006B6911"/>
    <w:rsid w:val="006B75D9"/>
    <w:rsid w:val="006B7622"/>
    <w:rsid w:val="006B78B5"/>
    <w:rsid w:val="006B7BFF"/>
    <w:rsid w:val="006C0278"/>
    <w:rsid w:val="006C0992"/>
    <w:rsid w:val="006C48BA"/>
    <w:rsid w:val="006C4A45"/>
    <w:rsid w:val="006C6998"/>
    <w:rsid w:val="006D00F9"/>
    <w:rsid w:val="006D0DC9"/>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E6D"/>
    <w:rsid w:val="00746251"/>
    <w:rsid w:val="00747079"/>
    <w:rsid w:val="00747755"/>
    <w:rsid w:val="00747781"/>
    <w:rsid w:val="00750786"/>
    <w:rsid w:val="0075250C"/>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3BED"/>
    <w:rsid w:val="00814F5A"/>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5F7C"/>
    <w:rsid w:val="008D7FE1"/>
    <w:rsid w:val="008E03A5"/>
    <w:rsid w:val="008E1ECB"/>
    <w:rsid w:val="008E375F"/>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6333"/>
    <w:rsid w:val="00911560"/>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B1B"/>
    <w:rsid w:val="00E07F5C"/>
    <w:rsid w:val="00E125B8"/>
    <w:rsid w:val="00E12CC5"/>
    <w:rsid w:val="00E144CE"/>
    <w:rsid w:val="00E158F8"/>
    <w:rsid w:val="00E16396"/>
    <w:rsid w:val="00E17FBF"/>
    <w:rsid w:val="00E201B8"/>
    <w:rsid w:val="00E20790"/>
    <w:rsid w:val="00E21017"/>
    <w:rsid w:val="00E21287"/>
    <w:rsid w:val="00E22F32"/>
    <w:rsid w:val="00E2361A"/>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6C5"/>
    <w:rsid w:val="00E85E57"/>
    <w:rsid w:val="00E86FF5"/>
    <w:rsid w:val="00E906A6"/>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1646</cp:revision>
  <cp:lastPrinted>2020-10-04T03:40:00Z</cp:lastPrinted>
  <dcterms:created xsi:type="dcterms:W3CDTF">2020-10-03T02:01:00Z</dcterms:created>
  <dcterms:modified xsi:type="dcterms:W3CDTF">2024-11-02T17:26:00Z</dcterms:modified>
</cp:coreProperties>
</file>