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8"/>
          <w:szCs w:val="48"/>
        </w:rPr>
        <w:t xml:space="preserve">Evaluación Parcial N°1</w:t>
      </w:r>
    </w:p>
    <w:p>
      <w:pPr>
        <w:spacing w:after="120"/>
        <w:jc w:val="center"/>
      </w:pPr>
      <w:r>
        <w:rPr>
          <w:rFonts w:ascii="Arial" w:cs="Arial" w:eastAsia="Arial" w:hAnsi="Arial"/>
          <w:b/>
          <w:bCs/>
          <w:color w:val="2E75B6"/>
          <w:sz w:val="36"/>
          <w:szCs w:val="36"/>
        </w:rPr>
        <w:t xml:space="preserve">Encargo con Presentación</w:t>
      </w:r>
    </w:p>
    <w:p>
      <w:pPr>
        <w:spacing w:after="600"/>
        <w:jc w:val="center"/>
      </w:pPr>
      <w:r>
        <w:rPr>
          <w:rFonts w:ascii="Arial" w:cs="Arial" w:eastAsia="Arial" w:hAnsi="Arial"/>
          <w:color w:val="666666"/>
          <w:sz w:val="28"/>
          <w:szCs w:val="28"/>
        </w:rPr>
        <w:t xml:space="preserve">Instrucciones para el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5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Detalle</w:t>
            </w:r>
          </w:p>
        </w:tc>
      </w:tr>
      <w:tr>
        <w:tc>
          <w:tcPr>
            <w:tcW w:type="dxa" w:w="35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Sigla</w:t>
            </w:r>
          </w:p>
        </w:tc>
        <w:tc>
          <w:tcPr>
            <w:tcW w:type="dxa" w:w="58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SCY1101</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Asignatura</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Programación para la Ciencia de Datos</w:t>
            </w:r>
          </w:p>
        </w:tc>
      </w:tr>
      <w:tr>
        <w:tc>
          <w:tcPr>
            <w:tcW w:type="dxa" w:w="35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Modalidad</w:t>
            </w:r>
          </w:p>
        </w:tc>
        <w:tc>
          <w:tcPr>
            <w:tcW w:type="dxa" w:w="58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Individual</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Ponderación Total</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 (Encargo 10% + Presentación 20%)</w:t>
            </w:r>
          </w:p>
        </w:tc>
      </w:tr>
      <w:tr>
        <w:tc>
          <w:tcPr>
            <w:tcW w:type="dxa" w:w="35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Tiempo Asignado</w:t>
            </w:r>
          </w:p>
        </w:tc>
        <w:tc>
          <w:tcPr>
            <w:tcW w:type="dxa" w:w="58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2 horas de clase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Ambiente</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Laboratorio</w:t>
            </w:r>
          </w:p>
        </w:tc>
      </w:tr>
      <w:tr>
        <w:tc>
          <w:tcPr>
            <w:tcW w:type="dxa" w:w="35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58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Kedro</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Año</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2025</w:t>
            </w:r>
          </w:p>
        </w:tc>
      </w:tr>
    </w:tbl>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color w:val="1F4E79"/>
        </w:rPr>
        <w:t xml:space="preserve">SECCIÓN 1: DESCRIPCIÓN GENERAL</w:t>
      </w:r>
    </w:p>
    <w:p>
      <w:pPr>
        <w:spacing w:after="120"/>
      </w:pPr>
      <w:r>
        <w:rPr>
          <w:rFonts w:ascii="Arial" w:cs="Arial" w:eastAsia="Arial" w:hAnsi="Arial"/>
          <w:sz w:val="22"/>
          <w:szCs w:val="22"/>
        </w:rPr>
        <w:t xml:space="preserve">La presente evaluación está diseñada para que cada estudiante asuma el rol de un científico de datos en formación. El desafío es resolver un caso realista mediante el desarrollo de un proyecto completo de transformación de datos.</w:t>
      </w:r>
    </w:p>
    <w:p>
      <w:pPr>
        <w:spacing w:after="120"/>
      </w:pPr>
      <w:r>
        <w:rPr>
          <w:rFonts w:ascii="Arial" w:cs="Arial" w:eastAsia="Arial" w:hAnsi="Arial"/>
          <w:sz w:val="22"/>
          <w:szCs w:val="22"/>
        </w:rPr>
        <w:t xml:space="preserve">El objetivo es que apliques técnicas avanzadas de manipulación, limpieza y transformación de datos, generando insights y preparando la información para etapas posteriores de modelado, bajo condiciones y estándares similares a los de un entorno profesional.</w:t>
      </w:r>
    </w:p>
    <w:p>
      <w:pPr>
        <w:spacing w:after="120"/>
      </w:pPr>
      <w:r>
        <w:rPr>
          <w:rFonts w:ascii="Arial" w:cs="Arial" w:eastAsia="Arial" w:hAnsi="Arial"/>
          <w:b/>
          <w:bCs/>
          <w:color w:val="CC0000"/>
          <w:sz w:val="22"/>
          <w:szCs w:val="22"/>
        </w:rPr>
        <w:t xml:space="preserve">IMPORTANTE: Este trabajo es individual. Cada estudiante recibirá un dataset asignado por el docente y deberá desarrollar todo el proyecto de forma autónoma, utilizando el framework Kedro como herramienta principal de orquestación del flujo de datos.</w:t>
      </w:r>
    </w:p>
    <w:p>
      <w:pPr>
        <w:pStyle w:val="Heading1"/>
      </w:pPr>
      <w:r>
        <w:rPr>
          <w:color w:val="1F4E79"/>
        </w:rPr>
        <w:t xml:space="preserve">SECCIÓN 2: RELACIÓN CON LO APRENDIDO EN CLASES</w:t>
      </w:r>
    </w:p>
    <w:p>
      <w:pPr>
        <w:spacing w:after="120"/>
      </w:pPr>
      <w:r>
        <w:rPr>
          <w:rFonts w:ascii="Arial" w:cs="Arial" w:eastAsia="Arial" w:hAnsi="Arial"/>
          <w:sz w:val="22"/>
          <w:szCs w:val="22"/>
        </w:rPr>
        <w:t xml:space="preserve">Este proyecto integra todo lo trabajado en las actividades de la EA1:</w:t>
      </w:r>
    </w:p>
    <w:p>
      <w:pPr>
        <w:spacing w:after="120"/>
      </w:pPr>
      <w:r>
        <w:rPr>
          <w:rFonts w:ascii="Arial" w:cs="Arial" w:eastAsia="Arial" w:hAnsi="Arial"/>
          <w:b/>
          <w:bCs/>
          <w:sz w:val="22"/>
          <w:szCs w:val="22"/>
        </w:rPr>
        <w:t xml:space="preserve">AD 1.1 — Estructuras de datos: </w:t>
      </w:r>
      <w:r>
        <w:rPr>
          <w:rFonts w:ascii="Arial" w:cs="Arial" w:eastAsia="Arial" w:hAnsi="Arial"/>
          <w:sz w:val="22"/>
          <w:szCs w:val="22"/>
        </w:rPr>
        <w:t xml:space="preserve">Creación y manipulación de arrays NumPy y DataFrames de Pandas. Deberás demostrar dominio de estas estructuras al explorar y procesar tus datos.</w:t>
      </w:r>
    </w:p>
    <w:p>
      <w:pPr>
        <w:spacing w:after="120"/>
      </w:pPr>
      <w:r>
        <w:rPr>
          <w:rFonts w:ascii="Arial" w:cs="Arial" w:eastAsia="Arial" w:hAnsi="Arial"/>
          <w:b/>
          <w:bCs/>
          <w:sz w:val="22"/>
          <w:szCs w:val="22"/>
        </w:rPr>
        <w:t xml:space="preserve">AD 1.2 — Limpieza de datos: </w:t>
      </w:r>
      <w:r>
        <w:rPr>
          <w:rFonts w:ascii="Arial" w:cs="Arial" w:eastAsia="Arial" w:hAnsi="Arial"/>
          <w:sz w:val="22"/>
          <w:szCs w:val="22"/>
        </w:rPr>
        <w:t xml:space="preserve">Identificación y resolución de valores faltantes, duplicados y outliers con justificación técnica de cada decisión, tal como lo practicaste en el taller de limpieza.</w:t>
      </w:r>
    </w:p>
    <w:p>
      <w:pPr>
        <w:spacing w:after="120"/>
      </w:pPr>
      <w:r>
        <w:rPr>
          <w:rFonts w:ascii="Arial" w:cs="Arial" w:eastAsia="Arial" w:hAnsi="Arial"/>
          <w:b/>
          <w:bCs/>
          <w:sz w:val="22"/>
          <w:szCs w:val="22"/>
        </w:rPr>
        <w:t xml:space="preserve">AD 1.3 — Transformación avanzada: </w:t>
      </w:r>
      <w:r>
        <w:rPr>
          <w:rFonts w:ascii="Arial" w:cs="Arial" w:eastAsia="Arial" w:hAnsi="Arial"/>
          <w:sz w:val="22"/>
          <w:szCs w:val="22"/>
        </w:rPr>
        <w:t xml:space="preserve">Normalización, estandarización, codificación de variables categóricas, creación de features derivadas y uso de pipelines/funciones reutilizables.</w:t>
      </w:r>
    </w:p>
    <w:p>
      <w:pPr>
        <w:spacing w:after="120"/>
      </w:pPr>
      <w:r>
        <w:rPr>
          <w:rFonts w:ascii="Arial" w:cs="Arial" w:eastAsia="Arial" w:hAnsi="Arial"/>
          <w:b/>
          <w:bCs/>
          <w:sz w:val="22"/>
          <w:szCs w:val="22"/>
        </w:rPr>
        <w:t xml:space="preserve">AD 1.4 — Flujo profesional de datos: </w:t>
      </w:r>
      <w:r>
        <w:rPr>
          <w:rFonts w:ascii="Arial" w:cs="Arial" w:eastAsia="Arial" w:hAnsi="Arial"/>
          <w:sz w:val="22"/>
          <w:szCs w:val="22"/>
        </w:rPr>
        <w:t xml:space="preserve">Integración de todas las etapas (carga → limpieza → transformación → dataset final) en un flujo completo, documentado, reproducible y versionado.</w:t>
      </w:r>
    </w:p>
    <w:p>
      <w:pPr>
        <w:spacing w:after="120"/>
      </w:pPr>
      <w:r>
        <w:rPr>
          <w:rFonts w:ascii="Arial" w:cs="Arial" w:eastAsia="Arial" w:hAnsi="Arial"/>
          <w:sz w:val="22"/>
          <w:szCs w:val="22"/>
        </w:rPr>
        <w:t xml:space="preserve">El valor agregado de esta evaluación es que realizarás todo esto dentro del framework Kedro, simulando un entorno profesional de ciencia de datos.</w:t>
      </w:r>
    </w:p>
    <w:p>
      <w:pPr>
        <w:pStyle w:val="Heading1"/>
      </w:pPr>
      <w:r>
        <w:rPr>
          <w:color w:val="1F4E79"/>
        </w:rPr>
        <w:t xml:space="preserve">SECCIÓN 3: DATASETS DISPONIBLES</w:t>
      </w:r>
    </w:p>
    <w:p>
      <w:pPr>
        <w:spacing w:after="120"/>
      </w:pPr>
      <w:r>
        <w:rPr>
          <w:rFonts w:ascii="Arial" w:cs="Arial" w:eastAsia="Arial" w:hAnsi="Arial"/>
          <w:sz w:val="22"/>
          <w:szCs w:val="22"/>
        </w:rPr>
        <w:t xml:space="preserve">Tu docente te asignará uno de los siguientes 5 casos. Todos tienen el mismo nivel de dificultad y los mismos tipos de problemas de calidad de datos (valores nulos ~5%, duplicados ~3%, outliers, fechas en formatos mixtos, strings con inconsistencias, columnas con tipos mixtos).</w:t>
      </w:r>
    </w:p>
    <w:p>
      <w:pPr>
        <w:spacing w:after="120"/>
      </w:pPr>
      <w:r>
        <w:rPr>
          <w:rFonts w:ascii="Arial" w:cs="Arial" w:eastAsia="Arial" w:hAnsi="Arial"/>
          <w:sz w:val="22"/>
          <w:szCs w:val="22"/>
        </w:rPr>
        <w:t xml:space="preserve">Los datasets están disponibles en la carpeta compartida del curso. Cada caso contiene 4 archivos CSV que deben integrarse.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600"/>
        <w:gridCol w:w="4160"/>
      </w:tblGrid>
      <w:t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Caso</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Temática</w:t>
            </w:r>
          </w:p>
        </w:tc>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Archivos CSV</w:t>
            </w:r>
          </w:p>
        </w:tc>
        <w:tc>
          <w:tcPr>
            <w:tcW w:type="dxa" w:w="4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W w:type="dxa" w:w="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Retail y E-commerce</w:t>
            </w:r>
          </w:p>
        </w:tc>
        <w:tc>
          <w:tcPr>
            <w:tcW w:type="dxa" w:w="26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ventas.csv, productos.csv, clientes.csv, devoluciones.csv</w:t>
            </w:r>
          </w:p>
        </w:tc>
        <w:tc>
          <w:tcPr>
            <w:tcW w:type="dxa" w:w="41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Análisis de ventas de una tienda online: transacciones, catálogo de productos, base de clientes y registro de devoluciones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Logística y Transporte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envios.csv, rutas.csv, vehiculos.csv, incidencias.csv</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Operación logística: seguimiento de envíos, rutas de distribución, flota vehicular y registro de incidencias</w:t>
            </w:r>
          </w:p>
        </w:tc>
      </w:tr>
      <w:tr>
        <w:tc>
          <w:tcPr>
            <w:tcW w:type="dxa" w:w="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Recursos Humanos</w:t>
            </w:r>
          </w:p>
        </w:tc>
        <w:tc>
          <w:tcPr>
            <w:tcW w:type="dxa" w:w="26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empleados.csv, evaluaciones.csv, capacitaciones.csv, ausencias.csv</w:t>
            </w:r>
          </w:p>
        </w:tc>
        <w:tc>
          <w:tcPr>
            <w:tcW w:type="dxa" w:w="41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Gestión de RRHH: datos de empleados, evaluaciones de desempeño, programas de capacitación y ausencias laborales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Salud Hospitalaria</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pacientes.csv, consultas.csv, examenes.csv, medicamentos.csv</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Sistema hospitalario: registro de pacientes, consultas médicas, exámenes de laboratorio y prescripciones</w:t>
            </w:r>
          </w:p>
        </w:tc>
      </w:tr>
      <w:tr>
        <w:tc>
          <w:tcPr>
            <w:tcW w:type="dxa" w:w="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Educación Universitaria</w:t>
            </w:r>
          </w:p>
        </w:tc>
        <w:tc>
          <w:tcPr>
            <w:tcW w:type="dxa" w:w="26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estudiantes.csv, inscripciones.csv, calificaciones.csv, asistencia.csv</w:t>
            </w:r>
          </w:p>
        </w:tc>
        <w:tc>
          <w:tcPr>
            <w:tcW w:type="dxa" w:w="41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Sistema universitario: matrícula estudiantil, inscripciones a asignaturas, calificaciones y asistencia</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Nota sobre equidad: Los 5 datasets fueron generados con la misma semilla y las mismas proporciones de problemas de calidad. Ningún caso tiene ventaja o desventaja sobre otro.</w:t>
      </w:r>
    </w:p>
    <w:p>
      <w:pPr>
        <w:pStyle w:val="Heading2"/>
      </w:pPr>
      <w:r>
        <w:rPr>
          <w:color w:val="2E75B6"/>
        </w:rPr>
        <w:t xml:space="preserve">Datasets de referencia en Kaggle (opcionales)</w:t>
      </w:r>
    </w:p>
    <w:p>
      <w:pPr>
        <w:spacing w:after="120"/>
      </w:pPr>
      <w:r>
        <w:rPr>
          <w:rFonts w:ascii="Arial" w:cs="Arial" w:eastAsia="Arial" w:hAnsi="Arial"/>
          <w:sz w:val="22"/>
          <w:szCs w:val="22"/>
        </w:rPr>
        <w:t xml:space="preserve">Si deseas explorar datos reales adicionales para complementar tu aprendizaje, puedes revisar estos datasets públicos en Kaggle:</w:t>
      </w:r>
    </w:p>
    <w:p>
      <w:pPr>
        <w:spacing w:after="60"/>
      </w:pPr>
      <w:hyperlink w:history="1" r:id="rIdych1a6opusgnjxw8tvmsm">
        <w:r>
          <w:rPr>
            <w:rStyle w:val="Hyperlink"/>
            <w:rFonts w:ascii="Arial" w:cs="Arial" w:eastAsia="Arial" w:hAnsi="Arial"/>
            <w:sz w:val="20"/>
            <w:szCs w:val="20"/>
          </w:rPr>
          <w:t xml:space="preserve">E-Commerce: https://www.kaggle.com/datasets/berkayalan/ecommerce-sales-dataset</w:t>
        </w:r>
      </w:hyperlink>
    </w:p>
    <w:p>
      <w:pPr>
        <w:spacing w:after="60"/>
      </w:pPr>
      <w:hyperlink w:history="1" r:id="rId1sm2vbbkqp0-porjfn-lz">
        <w:r>
          <w:rPr>
            <w:rStyle w:val="Hyperlink"/>
            <w:rFonts w:ascii="Arial" w:cs="Arial" w:eastAsia="Arial" w:hAnsi="Arial"/>
            <w:sz w:val="20"/>
            <w:szCs w:val="20"/>
          </w:rPr>
          <w:t xml:space="preserve">Logística: https://www.kaggle.com/datasets/datasetengineer/logistics-and-supply-chain-dataset</w:t>
        </w:r>
      </w:hyperlink>
    </w:p>
    <w:p>
      <w:pPr>
        <w:spacing w:after="60"/>
      </w:pPr>
      <w:hyperlink w:history="1" r:id="rId5cuc9onaws3mnx4rrryeb">
        <w:r>
          <w:rPr>
            <w:rStyle w:val="Hyperlink"/>
            <w:rFonts w:ascii="Arial" w:cs="Arial" w:eastAsia="Arial" w:hAnsi="Arial"/>
            <w:sz w:val="20"/>
            <w:szCs w:val="20"/>
          </w:rPr>
          <w:t xml:space="preserve">RRHH: https://www.kaggle.com/datasets/ravindrasinghrana/employeedataset</w:t>
        </w:r>
      </w:hyperlink>
    </w:p>
    <w:p>
      <w:pPr>
        <w:spacing w:after="60"/>
      </w:pPr>
      <w:hyperlink w:history="1" r:id="rIdzgk1zon2hjgvxc7bmht_r">
        <w:r>
          <w:rPr>
            <w:rStyle w:val="Hyperlink"/>
            <w:rFonts w:ascii="Arial" w:cs="Arial" w:eastAsia="Arial" w:hAnsi="Arial"/>
            <w:sz w:val="20"/>
            <w:szCs w:val="20"/>
          </w:rPr>
          <w:t xml:space="preserve">Salud: https://www.kaggle.com/datasets/kanakbaghel/hospital-management-dataset</w:t>
        </w:r>
      </w:hyperlink>
    </w:p>
    <w:p>
      <w:pPr>
        <w:spacing w:after="120"/>
      </w:pPr>
      <w:hyperlink w:history="1" r:id="rId7okbwjyloat6pkzhk5wdq">
        <w:r>
          <w:rPr>
            <w:rStyle w:val="Hyperlink"/>
            <w:rFonts w:ascii="Arial" w:cs="Arial" w:eastAsia="Arial" w:hAnsi="Arial"/>
            <w:sz w:val="20"/>
            <w:szCs w:val="20"/>
          </w:rPr>
          <w:t xml:space="preserve">Educación: https://www.kaggle.com/datasets/mahmoudelhemaly/students-grading-dataset</w:t>
        </w:r>
      </w:hyperlink>
    </w:p>
    <w:p>
      <w:pPr>
        <w:spacing w:after="120"/>
      </w:pPr>
      <w:r>
        <w:rPr>
          <w:rFonts w:ascii="Arial" w:cs="Arial" w:eastAsia="Arial" w:hAnsi="Arial"/>
          <w:i/>
          <w:iCs/>
          <w:sz w:val="22"/>
          <w:szCs w:val="22"/>
        </w:rPr>
        <w:t xml:space="preserve">Estos son solo de referencia. Tu evaluación se realiza con el dataset asignado por el docente.</w:t>
      </w:r>
    </w:p>
    <w:p>
      <w:pPr>
        <w:pStyle w:val="Heading1"/>
      </w:pPr>
      <w:r>
        <w:rPr>
          <w:color w:val="1F4E79"/>
        </w:rPr>
        <w:t xml:space="preserve">SECCIÓN 4: REQUISITOS TÉCNICOS — PROYECTO KEDRO</w:t>
      </w:r>
    </w:p>
    <w:p>
      <w:pPr>
        <w:spacing w:after="120"/>
      </w:pPr>
      <w:r>
        <w:rPr>
          <w:rFonts w:ascii="Arial" w:cs="Arial" w:eastAsia="Arial" w:hAnsi="Arial"/>
          <w:sz w:val="22"/>
          <w:szCs w:val="22"/>
        </w:rPr>
        <w:t xml:space="preserve">Tu proyecto debe estar estructurado como un proyecto Kedro. Revisa la 'Guía Práctica de Kedro' entregada junto con estas instrucciones.</w:t>
      </w:r>
    </w:p>
    <w:p>
      <w:pPr>
        <w:pStyle w:val="Heading2"/>
      </w:pPr>
      <w:r>
        <w:rPr>
          <w:color w:val="2E75B6"/>
        </w:rPr>
        <w:t xml:space="preserve">4.1 Estructura esperada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0" w:before="0" w:line="260"/>
            </w:pPr>
            <w:r>
              <w:rPr>
                <w:rFonts w:ascii="Courier New" w:cs="Courier New" w:eastAsia="Courier New" w:hAnsi="Courier New"/>
                <w:color w:val="333333"/>
                <w:sz w:val="18"/>
                <w:szCs w:val="18"/>
              </w:rPr>
              <w:t xml:space="preserve">ev_parcial1_[tu_apellido]/</w:t>
            </w:r>
          </w:p>
          <w:p>
            <w:pPr>
              <w:spacing w:after="0" w:before="0" w:line="260"/>
            </w:pPr>
            <w:r>
              <w:rPr>
                <w:rFonts w:ascii="Courier New" w:cs="Courier New" w:eastAsia="Courier New" w:hAnsi="Courier New"/>
                <w:color w:val="333333"/>
                <w:sz w:val="18"/>
                <w:szCs w:val="18"/>
              </w:rPr>
              <w:t xml:space="preserve">├── conf/</w:t>
            </w:r>
          </w:p>
          <w:p>
            <w:pPr>
              <w:spacing w:after="0" w:before="0" w:line="260"/>
            </w:pPr>
            <w:r>
              <w:rPr>
                <w:rFonts w:ascii="Courier New" w:cs="Courier New" w:eastAsia="Courier New" w:hAnsi="Courier New"/>
                <w:color w:val="333333"/>
                <w:sz w:val="18"/>
                <w:szCs w:val="18"/>
              </w:rPr>
              <w:t xml:space="preserve">│   └── base/</w:t>
            </w:r>
          </w:p>
          <w:p>
            <w:pPr>
              <w:spacing w:after="0" w:before="0" w:line="260"/>
            </w:pPr>
            <w:r>
              <w:rPr>
                <w:rFonts w:ascii="Courier New" w:cs="Courier New" w:eastAsia="Courier New" w:hAnsi="Courier New"/>
                <w:color w:val="333333"/>
                <w:sz w:val="18"/>
                <w:szCs w:val="18"/>
              </w:rPr>
              <w:t xml:space="preserve">│       ├── catalog.yml        → Definición de datasets</w:t>
            </w:r>
          </w:p>
          <w:p>
            <w:pPr>
              <w:spacing w:after="0" w:before="0" w:line="260"/>
            </w:pPr>
            <w:r>
              <w:rPr>
                <w:rFonts w:ascii="Courier New" w:cs="Courier New" w:eastAsia="Courier New" w:hAnsi="Courier New"/>
                <w:color w:val="333333"/>
                <w:sz w:val="18"/>
                <w:szCs w:val="18"/>
              </w:rPr>
              <w:t xml:space="preserve">│       └── parameters.yml     → Parámetros configurables</w:t>
            </w:r>
          </w:p>
          <w:p>
            <w:pPr>
              <w:spacing w:after="0" w:before="0" w:line="260"/>
            </w:pPr>
            <w:r>
              <w:rPr>
                <w:rFonts w:ascii="Courier New" w:cs="Courier New" w:eastAsia="Courier New" w:hAnsi="Courier New"/>
                <w:color w:val="333333"/>
                <w:sz w:val="18"/>
                <w:szCs w:val="18"/>
              </w:rPr>
              <w:t xml:space="preserve">├── data/</w:t>
            </w:r>
          </w:p>
          <w:p>
            <w:pPr>
              <w:spacing w:after="0" w:before="0" w:line="260"/>
            </w:pPr>
            <w:r>
              <w:rPr>
                <w:rFonts w:ascii="Courier New" w:cs="Courier New" w:eastAsia="Courier New" w:hAnsi="Courier New"/>
                <w:color w:val="333333"/>
                <w:sz w:val="18"/>
                <w:szCs w:val="18"/>
              </w:rPr>
              <w:t xml:space="preserve">│   ├── 01_raw/              → CSV originales (NO modificar)</w:t>
            </w:r>
          </w:p>
          <w:p>
            <w:pPr>
              <w:spacing w:after="0" w:before="0" w:line="260"/>
            </w:pPr>
            <w:r>
              <w:rPr>
                <w:rFonts w:ascii="Courier New" w:cs="Courier New" w:eastAsia="Courier New" w:hAnsi="Courier New"/>
                <w:color w:val="333333"/>
                <w:sz w:val="18"/>
                <w:szCs w:val="18"/>
              </w:rPr>
              <w:t xml:space="preserve">│   ├── 02_intermediate/     → Datos limpios (AD 1.2)</w:t>
            </w:r>
          </w:p>
          <w:p>
            <w:pPr>
              <w:spacing w:after="0" w:before="0" w:line="260"/>
            </w:pPr>
            <w:r>
              <w:rPr>
                <w:rFonts w:ascii="Courier New" w:cs="Courier New" w:eastAsia="Courier New" w:hAnsi="Courier New"/>
                <w:color w:val="333333"/>
                <w:sz w:val="18"/>
                <w:szCs w:val="18"/>
              </w:rPr>
              <w:t xml:space="preserve">│   ├── 03_primary/          → Datos integrados (AD 1.3)</w:t>
            </w:r>
          </w:p>
          <w:p>
            <w:pPr>
              <w:spacing w:after="0" w:before="0" w:line="260"/>
            </w:pPr>
            <w:r>
              <w:rPr>
                <w:rFonts w:ascii="Courier New" w:cs="Courier New" w:eastAsia="Courier New" w:hAnsi="Courier New"/>
                <w:color w:val="333333"/>
                <w:sz w:val="18"/>
                <w:szCs w:val="18"/>
              </w:rPr>
              <w:t xml:space="preserve">│   └── 08_reporting/        → Reportes finales</w:t>
            </w:r>
          </w:p>
          <w:p>
            <w:pPr>
              <w:spacing w:after="0" w:before="0" w:line="260"/>
            </w:pPr>
            <w:r>
              <w:rPr>
                <w:rFonts w:ascii="Courier New" w:cs="Courier New" w:eastAsia="Courier New" w:hAnsi="Courier New"/>
                <w:color w:val="333333"/>
                <w:sz w:val="18"/>
                <w:szCs w:val="18"/>
              </w:rPr>
              <w:t xml:space="preserve">├── src/ev_parcial1_apellido/</w:t>
            </w:r>
          </w:p>
          <w:p>
            <w:pPr>
              <w:spacing w:after="0" w:before="0" w:line="260"/>
            </w:pPr>
            <w:r>
              <w:rPr>
                <w:rFonts w:ascii="Courier New" w:cs="Courier New" w:eastAsia="Courier New" w:hAnsi="Courier New"/>
                <w:color w:val="333333"/>
                <w:sz w:val="18"/>
                <w:szCs w:val="18"/>
              </w:rPr>
              <w:t xml:space="preserve">│   └── pipelines/</w:t>
            </w:r>
          </w:p>
          <w:p>
            <w:pPr>
              <w:spacing w:after="0" w:before="0" w:line="260"/>
            </w:pPr>
            <w:r>
              <w:rPr>
                <w:rFonts w:ascii="Courier New" w:cs="Courier New" w:eastAsia="Courier New" w:hAnsi="Courier New"/>
                <w:color w:val="333333"/>
                <w:sz w:val="18"/>
                <w:szCs w:val="18"/>
              </w:rPr>
              <w:t xml:space="preserve">│       ├── data_ingestion/    → Carga y exploración (AD 1.1)</w:t>
            </w:r>
          </w:p>
          <w:p>
            <w:pPr>
              <w:spacing w:after="0" w:before="0" w:line="260"/>
            </w:pPr>
            <w:r>
              <w:rPr>
                <w:rFonts w:ascii="Courier New" w:cs="Courier New" w:eastAsia="Courier New" w:hAnsi="Courier New"/>
                <w:color w:val="333333"/>
                <w:sz w:val="18"/>
                <w:szCs w:val="18"/>
              </w:rPr>
              <w:t xml:space="preserve">│       ├── data_cleaning/     → Limpieza (AD 1.2)</w:t>
            </w:r>
          </w:p>
          <w:p>
            <w:pPr>
              <w:spacing w:after="0" w:before="0" w:line="260"/>
            </w:pPr>
            <w:r>
              <w:rPr>
                <w:rFonts w:ascii="Courier New" w:cs="Courier New" w:eastAsia="Courier New" w:hAnsi="Courier New"/>
                <w:color w:val="333333"/>
                <w:sz w:val="18"/>
                <w:szCs w:val="18"/>
              </w:rPr>
              <w:t xml:space="preserve">│       ├── data_transform/    → Transformaciones (AD 1.3)</w:t>
            </w:r>
          </w:p>
          <w:p>
            <w:pPr>
              <w:spacing w:after="0" w:before="0" w:line="260"/>
            </w:pPr>
            <w:r>
              <w:rPr>
                <w:rFonts w:ascii="Courier New" w:cs="Courier New" w:eastAsia="Courier New" w:hAnsi="Courier New"/>
                <w:color w:val="333333"/>
                <w:sz w:val="18"/>
                <w:szCs w:val="18"/>
              </w:rPr>
              <w:t xml:space="preserve">│       └── data_validation/   → Verificación (AD 1.4)</w:t>
            </w:r>
          </w:p>
          <w:p>
            <w:pPr>
              <w:spacing w:after="0" w:before="0" w:line="260"/>
            </w:pPr>
            <w:r>
              <w:rPr>
                <w:rFonts w:ascii="Courier New" w:cs="Courier New" w:eastAsia="Courier New" w:hAnsi="Courier New"/>
                <w:color w:val="333333"/>
                <w:sz w:val="18"/>
                <w:szCs w:val="18"/>
              </w:rPr>
              <w:t xml:space="preserve">├── notebooks/               → EDA en Jupyter</w:t>
            </w:r>
          </w:p>
          <w:p>
            <w:pPr>
              <w:spacing w:after="0" w:before="0" w:line="260"/>
            </w:pPr>
            <w:r>
              <w:rPr>
                <w:rFonts w:ascii="Courier New" w:cs="Courier New" w:eastAsia="Courier New" w:hAnsi="Courier New"/>
                <w:color w:val="333333"/>
                <w:sz w:val="18"/>
                <w:szCs w:val="18"/>
              </w:rPr>
              <w:t xml:space="preserve">├── docs/                    → Informe técnico</w:t>
            </w:r>
          </w:p>
          <w:p>
            <w:pPr>
              <w:spacing w:after="0" w:before="0" w:line="260"/>
            </w:pPr>
            <w:r>
              <w:rPr>
                <w:rFonts w:ascii="Courier New" w:cs="Courier New" w:eastAsia="Courier New" w:hAnsi="Courier New"/>
                <w:color w:val="333333"/>
                <w:sz w:val="18"/>
                <w:szCs w:val="18"/>
              </w:rPr>
              <w:t xml:space="preserve">├── requirements.txt</w:t>
            </w:r>
          </w:p>
          <w:p>
            <w:pPr>
              <w:spacing w:after="0" w:before="0" w:line="260"/>
            </w:pPr>
            <w:r>
              <w:rPr>
                <w:rFonts w:ascii="Courier New" w:cs="Courier New" w:eastAsia="Courier New" w:hAnsi="Courier New"/>
                <w:color w:val="333333"/>
                <w:sz w:val="18"/>
                <w:szCs w:val="18"/>
              </w:rPr>
              <w:t xml:space="preserve">└── README.md</w:t>
            </w:r>
          </w:p>
        </w:tc>
      </w:tr>
    </w:tbl>
    <w:p>
      <w:pPr>
        <w:pStyle w:val="Heading2"/>
      </w:pPr>
      <w:r>
        <w:rPr>
          <w:color w:val="2E75B6"/>
        </w:rPr>
        <w:t xml:space="preserve">4.2 Pipelines requeridos (alineados con EA1)</w:t>
      </w:r>
    </w:p>
    <w:p>
      <w:pPr>
        <w:spacing w:after="120"/>
      </w:pPr>
      <w:r>
        <w:rPr>
          <w:rFonts w:ascii="Arial" w:cs="Arial" w:eastAsia="Arial" w:hAnsi="Arial"/>
          <w:b/>
          <w:bCs/>
          <w:sz w:val="22"/>
          <w:szCs w:val="22"/>
        </w:rPr>
        <w:t xml:space="preserve">Pipeline 1 — Data Ingestion </w:t>
      </w:r>
      <w:r>
        <w:rPr>
          <w:rFonts w:ascii="Arial" w:cs="Arial" w:eastAsia="Arial" w:hAnsi="Arial"/>
          <w:sz w:val="22"/>
          <w:szCs w:val="22"/>
        </w:rPr>
        <w:t xml:space="preserve">(corresponde a AD 1.1)</w:t>
      </w:r>
    </w:p>
    <w:p>
      <w:pPr>
        <w:pStyle w:val="ListParagraph"/>
        <w:numPr>
          <w:ilvl w:val="0"/>
          <w:numId w:val="2"/>
        </w:numPr>
        <w:spacing w:after="60"/>
      </w:pPr>
      <w:r>
        <w:rPr>
          <w:rFonts w:ascii="Arial" w:cs="Arial" w:eastAsia="Arial" w:hAnsi="Arial"/>
          <w:sz w:val="22"/>
          <w:szCs w:val="22"/>
        </w:rPr>
        <w:t xml:space="preserve">Carga de los 4 archivos CSV desde data/01_raw/</w:t>
      </w:r>
    </w:p>
    <w:p>
      <w:pPr>
        <w:pStyle w:val="ListParagraph"/>
        <w:numPr>
          <w:ilvl w:val="0"/>
          <w:numId w:val="2"/>
        </w:numPr>
        <w:spacing w:after="60"/>
      </w:pPr>
      <w:r>
        <w:rPr>
          <w:rFonts w:ascii="Arial" w:cs="Arial" w:eastAsia="Arial" w:hAnsi="Arial"/>
          <w:sz w:val="22"/>
          <w:szCs w:val="22"/>
        </w:rPr>
        <w:t xml:space="preserve">Exploración inicial: shape, dtypes, head(), describe(), info()</w:t>
      </w:r>
    </w:p>
    <w:p>
      <w:pPr>
        <w:pStyle w:val="ListParagraph"/>
        <w:numPr>
          <w:ilvl w:val="0"/>
          <w:numId w:val="2"/>
        </w:numPr>
        <w:spacing w:after="60"/>
      </w:pPr>
      <w:r>
        <w:rPr>
          <w:rFonts w:ascii="Arial" w:cs="Arial" w:eastAsia="Arial" w:hAnsi="Arial"/>
          <w:sz w:val="22"/>
          <w:szCs w:val="22"/>
        </w:rPr>
        <w:t xml:space="preserve">Detección de problemas de calidad</w:t>
      </w:r>
    </w:p>
    <w:p>
      <w:pPr>
        <w:pStyle w:val="ListParagraph"/>
        <w:numPr>
          <w:ilvl w:val="0"/>
          <w:numId w:val="2"/>
        </w:numPr>
        <w:spacing w:after="120"/>
      </w:pPr>
      <w:r>
        <w:rPr>
          <w:rFonts w:ascii="Arial" w:cs="Arial" w:eastAsia="Arial" w:hAnsi="Arial"/>
          <w:sz w:val="22"/>
          <w:szCs w:val="22"/>
        </w:rPr>
        <w:t xml:space="preserve">Output: reporte de diagnóstico inicial</w:t>
      </w:r>
    </w:p>
    <w:p>
      <w:pPr>
        <w:spacing w:after="120"/>
      </w:pPr>
      <w:r>
        <w:rPr>
          <w:rFonts w:ascii="Arial" w:cs="Arial" w:eastAsia="Arial" w:hAnsi="Arial"/>
          <w:b/>
          <w:bCs/>
          <w:sz w:val="22"/>
          <w:szCs w:val="22"/>
        </w:rPr>
        <w:t xml:space="preserve">Pipeline 2 — Data Cleaning </w:t>
      </w:r>
      <w:r>
        <w:rPr>
          <w:rFonts w:ascii="Arial" w:cs="Arial" w:eastAsia="Arial" w:hAnsi="Arial"/>
          <w:sz w:val="22"/>
          <w:szCs w:val="22"/>
        </w:rPr>
        <w:t xml:space="preserve">(corresponde a AD 1.2)</w:t>
      </w:r>
    </w:p>
    <w:p>
      <w:pPr>
        <w:pStyle w:val="ListParagraph"/>
        <w:numPr>
          <w:ilvl w:val="0"/>
          <w:numId w:val="2"/>
        </w:numPr>
        <w:spacing w:after="60"/>
      </w:pPr>
      <w:r>
        <w:rPr>
          <w:rFonts w:ascii="Arial" w:cs="Arial" w:eastAsia="Arial" w:hAnsi="Arial"/>
          <w:sz w:val="22"/>
          <w:szCs w:val="22"/>
        </w:rPr>
        <w:t xml:space="preserve">Tratamiento de valores nulos</w:t>
      </w:r>
    </w:p>
    <w:p>
      <w:pPr>
        <w:pStyle w:val="ListParagraph"/>
        <w:numPr>
          <w:ilvl w:val="0"/>
          <w:numId w:val="2"/>
        </w:numPr>
        <w:spacing w:after="60"/>
      </w:pPr>
      <w:r>
        <w:rPr>
          <w:rFonts w:ascii="Arial" w:cs="Arial" w:eastAsia="Arial" w:hAnsi="Arial"/>
          <w:sz w:val="22"/>
          <w:szCs w:val="22"/>
        </w:rPr>
        <w:t xml:space="preserve">Eliminación de duplicados</w:t>
      </w:r>
    </w:p>
    <w:p>
      <w:pPr>
        <w:pStyle w:val="ListParagraph"/>
        <w:numPr>
          <w:ilvl w:val="0"/>
          <w:numId w:val="2"/>
        </w:numPr>
        <w:spacing w:after="60"/>
      </w:pPr>
      <w:r>
        <w:rPr>
          <w:rFonts w:ascii="Arial" w:cs="Arial" w:eastAsia="Arial" w:hAnsi="Arial"/>
          <w:sz w:val="22"/>
          <w:szCs w:val="22"/>
        </w:rPr>
        <w:t xml:space="preserve">Corrección de tipos de datos mixtos</w:t>
      </w:r>
    </w:p>
    <w:p>
      <w:pPr>
        <w:pStyle w:val="ListParagraph"/>
        <w:numPr>
          <w:ilvl w:val="0"/>
          <w:numId w:val="2"/>
        </w:numPr>
        <w:spacing w:after="60"/>
      </w:pPr>
      <w:r>
        <w:rPr>
          <w:rFonts w:ascii="Arial" w:cs="Arial" w:eastAsia="Arial" w:hAnsi="Arial"/>
          <w:sz w:val="22"/>
          <w:szCs w:val="22"/>
        </w:rPr>
        <w:t xml:space="preserve">Estandarización de formatos de fecha y normalización de strings</w:t>
      </w:r>
    </w:p>
    <w:p>
      <w:pPr>
        <w:pStyle w:val="ListParagraph"/>
        <w:numPr>
          <w:ilvl w:val="0"/>
          <w:numId w:val="2"/>
        </w:numPr>
        <w:spacing w:after="60"/>
      </w:pPr>
      <w:r>
        <w:rPr>
          <w:rFonts w:ascii="Arial" w:cs="Arial" w:eastAsia="Arial" w:hAnsi="Arial"/>
          <w:sz w:val="22"/>
          <w:szCs w:val="22"/>
        </w:rPr>
        <w:t xml:space="preserve">Tratamiento de outliers (Z-score o IQR)</w:t>
      </w:r>
    </w:p>
    <w:p>
      <w:pPr>
        <w:pStyle w:val="ListParagraph"/>
        <w:numPr>
          <w:ilvl w:val="0"/>
          <w:numId w:val="2"/>
        </w:numPr>
        <w:spacing w:after="120"/>
      </w:pPr>
      <w:r>
        <w:rPr>
          <w:rFonts w:ascii="Arial" w:cs="Arial" w:eastAsia="Arial" w:hAnsi="Arial"/>
          <w:sz w:val="22"/>
          <w:szCs w:val="22"/>
        </w:rPr>
        <w:t xml:space="preserve">Output: datasets limpios en data/02_intermediate/</w:t>
      </w:r>
    </w:p>
    <w:p>
      <w:pPr>
        <w:spacing w:after="120"/>
      </w:pPr>
      <w:r>
        <w:rPr>
          <w:rFonts w:ascii="Arial" w:cs="Arial" w:eastAsia="Arial" w:hAnsi="Arial"/>
          <w:b/>
          <w:bCs/>
          <w:sz w:val="22"/>
          <w:szCs w:val="22"/>
        </w:rPr>
        <w:t xml:space="preserve">Pipeline 3 — Data Transformation </w:t>
      </w:r>
      <w:r>
        <w:rPr>
          <w:rFonts w:ascii="Arial" w:cs="Arial" w:eastAsia="Arial" w:hAnsi="Arial"/>
          <w:sz w:val="22"/>
          <w:szCs w:val="22"/>
        </w:rPr>
        <w:t xml:space="preserve">(corresponde a AD 1.3)</w:t>
      </w:r>
    </w:p>
    <w:p>
      <w:pPr>
        <w:pStyle w:val="ListParagraph"/>
        <w:numPr>
          <w:ilvl w:val="0"/>
          <w:numId w:val="2"/>
        </w:numPr>
        <w:spacing w:after="60"/>
      </w:pPr>
      <w:r>
        <w:rPr>
          <w:rFonts w:ascii="Arial" w:cs="Arial" w:eastAsia="Arial" w:hAnsi="Arial"/>
          <w:sz w:val="22"/>
          <w:szCs w:val="22"/>
        </w:rPr>
        <w:t xml:space="preserve">Joins/merges entre las 4 tablas</w:t>
      </w:r>
    </w:p>
    <w:p>
      <w:pPr>
        <w:pStyle w:val="ListParagraph"/>
        <w:numPr>
          <w:ilvl w:val="0"/>
          <w:numId w:val="2"/>
        </w:numPr>
        <w:spacing w:after="60"/>
      </w:pPr>
      <w:r>
        <w:rPr>
          <w:rFonts w:ascii="Arial" w:cs="Arial" w:eastAsia="Arial" w:hAnsi="Arial"/>
          <w:sz w:val="22"/>
          <w:szCs w:val="22"/>
        </w:rPr>
        <w:t xml:space="preserve">Transformaciones avanzadas: pivot_table, groupby</w:t>
      </w:r>
    </w:p>
    <w:p>
      <w:pPr>
        <w:pStyle w:val="ListParagraph"/>
        <w:numPr>
          <w:ilvl w:val="0"/>
          <w:numId w:val="2"/>
        </w:numPr>
        <w:spacing w:after="60"/>
      </w:pPr>
      <w:r>
        <w:rPr>
          <w:rFonts w:ascii="Arial" w:cs="Arial" w:eastAsia="Arial" w:hAnsi="Arial"/>
          <w:sz w:val="22"/>
          <w:szCs w:val="22"/>
        </w:rPr>
        <w:t xml:space="preserve">Creación de features derivadas</w:t>
      </w:r>
    </w:p>
    <w:p>
      <w:pPr>
        <w:pStyle w:val="ListParagraph"/>
        <w:numPr>
          <w:ilvl w:val="0"/>
          <w:numId w:val="2"/>
        </w:numPr>
        <w:spacing w:after="60"/>
      </w:pPr>
      <w:r>
        <w:rPr>
          <w:rFonts w:ascii="Arial" w:cs="Arial" w:eastAsia="Arial" w:hAnsi="Arial"/>
          <w:sz w:val="22"/>
          <w:szCs w:val="22"/>
        </w:rPr>
        <w:t xml:space="preserve">Normalización/estandarización de columnas numéricas</w:t>
      </w:r>
    </w:p>
    <w:p>
      <w:pPr>
        <w:pStyle w:val="ListParagraph"/>
        <w:numPr>
          <w:ilvl w:val="0"/>
          <w:numId w:val="2"/>
        </w:numPr>
        <w:spacing w:after="60"/>
      </w:pPr>
      <w:r>
        <w:rPr>
          <w:rFonts w:ascii="Arial" w:cs="Arial" w:eastAsia="Arial" w:hAnsi="Arial"/>
          <w:sz w:val="22"/>
          <w:szCs w:val="22"/>
        </w:rPr>
        <w:t xml:space="preserve">Codificación de variables categóricas</w:t>
      </w:r>
    </w:p>
    <w:p>
      <w:pPr>
        <w:pStyle w:val="ListParagraph"/>
        <w:numPr>
          <w:ilvl w:val="0"/>
          <w:numId w:val="2"/>
        </w:numPr>
        <w:spacing w:after="120"/>
      </w:pPr>
      <w:r>
        <w:rPr>
          <w:rFonts w:ascii="Arial" w:cs="Arial" w:eastAsia="Arial" w:hAnsi="Arial"/>
          <w:sz w:val="22"/>
          <w:szCs w:val="22"/>
        </w:rPr>
        <w:t xml:space="preserve">Output: dataset integrado en data/03_primary/</w:t>
      </w:r>
    </w:p>
    <w:p>
      <w:pPr>
        <w:spacing w:after="120"/>
      </w:pPr>
      <w:r>
        <w:rPr>
          <w:rFonts w:ascii="Arial" w:cs="Arial" w:eastAsia="Arial" w:hAnsi="Arial"/>
          <w:b/>
          <w:bCs/>
          <w:sz w:val="22"/>
          <w:szCs w:val="22"/>
        </w:rPr>
        <w:t xml:space="preserve">Pipeline 4 — Data Validation </w:t>
      </w:r>
      <w:r>
        <w:rPr>
          <w:rFonts w:ascii="Arial" w:cs="Arial" w:eastAsia="Arial" w:hAnsi="Arial"/>
          <w:sz w:val="22"/>
          <w:szCs w:val="22"/>
        </w:rPr>
        <w:t xml:space="preserve">(corresponde a AD 1.4)</w:t>
      </w:r>
    </w:p>
    <w:p>
      <w:pPr>
        <w:pStyle w:val="ListParagraph"/>
        <w:numPr>
          <w:ilvl w:val="0"/>
          <w:numId w:val="2"/>
        </w:numPr>
        <w:spacing w:after="60"/>
      </w:pPr>
      <w:r>
        <w:rPr>
          <w:rFonts w:ascii="Arial" w:cs="Arial" w:eastAsia="Arial" w:hAnsi="Arial"/>
          <w:sz w:val="22"/>
          <w:szCs w:val="22"/>
        </w:rPr>
        <w:t xml:space="preserve">Verificación de integridad post-transformación</w:t>
      </w:r>
    </w:p>
    <w:p>
      <w:pPr>
        <w:pStyle w:val="ListParagraph"/>
        <w:numPr>
          <w:ilvl w:val="0"/>
          <w:numId w:val="2"/>
        </w:numPr>
        <w:spacing w:after="60"/>
      </w:pPr>
      <w:r>
        <w:rPr>
          <w:rFonts w:ascii="Arial" w:cs="Arial" w:eastAsia="Arial" w:hAnsi="Arial"/>
          <w:sz w:val="22"/>
          <w:szCs w:val="22"/>
        </w:rPr>
        <w:t xml:space="preserve">Validación de esquemas</w:t>
      </w:r>
    </w:p>
    <w:p>
      <w:pPr>
        <w:pStyle w:val="ListParagraph"/>
        <w:numPr>
          <w:ilvl w:val="0"/>
          <w:numId w:val="2"/>
        </w:numPr>
        <w:spacing w:after="60"/>
      </w:pPr>
      <w:r>
        <w:rPr>
          <w:rFonts w:ascii="Arial" w:cs="Arial" w:eastAsia="Arial" w:hAnsi="Arial"/>
          <w:sz w:val="22"/>
          <w:szCs w:val="22"/>
        </w:rPr>
        <w:t xml:space="preserve">Comparación antes/después</w:t>
      </w:r>
    </w:p>
    <w:p>
      <w:pPr>
        <w:pStyle w:val="ListParagraph"/>
        <w:numPr>
          <w:ilvl w:val="0"/>
          <w:numId w:val="2"/>
        </w:numPr>
        <w:spacing w:after="120"/>
      </w:pPr>
      <w:r>
        <w:rPr>
          <w:rFonts w:ascii="Arial" w:cs="Arial" w:eastAsia="Arial" w:hAnsi="Arial"/>
          <w:sz w:val="22"/>
          <w:szCs w:val="22"/>
        </w:rPr>
        <w:t xml:space="preserve">Output: reporte de validación en data/08_reporting/</w:t>
      </w:r>
    </w:p>
    <w:p>
      <w:pPr>
        <w:pStyle w:val="Heading1"/>
      </w:pPr>
      <w:r>
        <w:rPr>
          <w:color w:val="1F4E79"/>
        </w:rPr>
        <w:t xml:space="preserve">SECCIÓN 5: ÍTEM I — ENCARGO (10%)</w:t>
      </w:r>
    </w:p>
    <w:p>
      <w:pPr>
        <w:spacing w:after="120"/>
      </w:pPr>
      <w:r>
        <w:rPr>
          <w:rFonts w:ascii="Arial" w:cs="Arial" w:eastAsia="Arial" w:hAnsi="Arial"/>
          <w:sz w:val="22"/>
          <w:szCs w:val="22"/>
        </w:rPr>
        <w:t xml:space="preserve">El entregable del encargo debe incluir:</w:t>
      </w:r>
    </w:p>
    <w:p>
      <w:pPr>
        <w:pStyle w:val="Heading2"/>
      </w:pPr>
      <w:r>
        <w:rPr>
          <w:color w:val="2E75B6"/>
        </w:rPr>
        <w:t xml:space="preserve">5.1 Proyecto Kedro funcional</w:t>
      </w:r>
    </w:p>
    <w:p>
      <w:pPr>
        <w:pStyle w:val="ListParagraph"/>
        <w:numPr>
          <w:ilvl w:val="0"/>
          <w:numId w:val="2"/>
        </w:numPr>
        <w:spacing w:after="60"/>
      </w:pPr>
      <w:r>
        <w:rPr>
          <w:rFonts w:ascii="Arial" w:cs="Arial" w:eastAsia="Arial" w:hAnsi="Arial"/>
          <w:sz w:val="22"/>
          <w:szCs w:val="22"/>
        </w:rPr>
        <w:t xml:space="preserve">Los 4 pipelines implementados y ejecutables con 'kedro run'</w:t>
      </w:r>
    </w:p>
    <w:p>
      <w:pPr>
        <w:pStyle w:val="ListParagraph"/>
        <w:numPr>
          <w:ilvl w:val="0"/>
          <w:numId w:val="2"/>
        </w:numPr>
        <w:spacing w:after="60"/>
      </w:pPr>
      <w:r>
        <w:rPr>
          <w:rFonts w:ascii="Arial" w:cs="Arial" w:eastAsia="Arial" w:hAnsi="Arial"/>
          <w:sz w:val="22"/>
          <w:szCs w:val="22"/>
        </w:rPr>
        <w:t xml:space="preserve">Data Catalog configurado en catalog.yml</w:t>
      </w:r>
    </w:p>
    <w:p>
      <w:pPr>
        <w:pStyle w:val="ListParagraph"/>
        <w:numPr>
          <w:ilvl w:val="0"/>
          <w:numId w:val="2"/>
        </w:numPr>
        <w:spacing w:after="60"/>
      </w:pPr>
      <w:r>
        <w:rPr>
          <w:rFonts w:ascii="Arial" w:cs="Arial" w:eastAsia="Arial" w:hAnsi="Arial"/>
          <w:sz w:val="22"/>
          <w:szCs w:val="22"/>
        </w:rPr>
        <w:t xml:space="preserve">Parámetros externalizados en parameters.yml</w:t>
      </w:r>
    </w:p>
    <w:p>
      <w:pPr>
        <w:pStyle w:val="ListParagraph"/>
        <w:numPr>
          <w:ilvl w:val="0"/>
          <w:numId w:val="2"/>
        </w:numPr>
        <w:spacing w:after="120"/>
      </w:pPr>
      <w:r>
        <w:rPr>
          <w:rFonts w:ascii="Arial" w:cs="Arial" w:eastAsia="Arial" w:hAnsi="Arial"/>
          <w:sz w:val="22"/>
          <w:szCs w:val="22"/>
        </w:rPr>
        <w:t xml:space="preserve">Código limpio, bien comentado con docstrings</w:t>
      </w:r>
    </w:p>
    <w:p>
      <w:pPr>
        <w:pStyle w:val="Heading2"/>
      </w:pPr>
      <w:r>
        <w:rPr>
          <w:color w:val="2E75B6"/>
        </w:rPr>
        <w:t xml:space="preserve">5.2 Notebook exploratorio</w:t>
      </w:r>
    </w:p>
    <w:p>
      <w:pPr>
        <w:pStyle w:val="ListParagraph"/>
        <w:numPr>
          <w:ilvl w:val="0"/>
          <w:numId w:val="2"/>
        </w:numPr>
        <w:spacing w:after="60"/>
      </w:pPr>
      <w:r>
        <w:rPr>
          <w:rFonts w:ascii="Arial" w:cs="Arial" w:eastAsia="Arial" w:hAnsi="Arial"/>
          <w:sz w:val="22"/>
          <w:szCs w:val="22"/>
        </w:rPr>
        <w:t xml:space="preserve">Análisis exploratorio de datos (EDA) inicial</w:t>
      </w:r>
    </w:p>
    <w:p>
      <w:pPr>
        <w:pStyle w:val="ListParagraph"/>
        <w:numPr>
          <w:ilvl w:val="0"/>
          <w:numId w:val="2"/>
        </w:numPr>
        <w:spacing w:after="60"/>
      </w:pPr>
      <w:r>
        <w:rPr>
          <w:rFonts w:ascii="Arial" w:cs="Arial" w:eastAsia="Arial" w:hAnsi="Arial"/>
          <w:sz w:val="22"/>
          <w:szCs w:val="22"/>
        </w:rPr>
        <w:t xml:space="preserve">Visualizaciones que caractericen el dataset</w:t>
      </w:r>
    </w:p>
    <w:p>
      <w:pPr>
        <w:pStyle w:val="ListParagraph"/>
        <w:numPr>
          <w:ilvl w:val="0"/>
          <w:numId w:val="2"/>
        </w:numPr>
        <w:spacing w:after="120"/>
      </w:pPr>
      <w:r>
        <w:rPr>
          <w:rFonts w:ascii="Arial" w:cs="Arial" w:eastAsia="Arial" w:hAnsi="Arial"/>
          <w:sz w:val="22"/>
          <w:szCs w:val="22"/>
        </w:rPr>
        <w:t xml:space="preserve">Puede servir como borrador antes de codificar</w:t>
      </w:r>
    </w:p>
    <w:p>
      <w:pPr>
        <w:pStyle w:val="Heading2"/>
      </w:pPr>
      <w:r>
        <w:rPr>
          <w:color w:val="2E75B6"/>
        </w:rPr>
        <w:t xml:space="preserve">5.3 Informe Técnico (8-12 páginas)</w:t>
      </w:r>
    </w:p>
    <w:p>
      <w:pPr>
        <w:pStyle w:val="ListParagraph"/>
        <w:numPr>
          <w:ilvl w:val="0"/>
          <w:numId w:val="2"/>
        </w:numPr>
        <w:spacing w:after="60"/>
      </w:pPr>
      <w:r>
        <w:rPr>
          <w:rFonts w:ascii="Arial" w:cs="Arial" w:eastAsia="Arial" w:hAnsi="Arial"/>
          <w:sz w:val="22"/>
          <w:szCs w:val="22"/>
        </w:rPr>
        <w:t xml:space="preserve">Resumen ejecutivo: propósito y resultados clave</w:t>
      </w:r>
    </w:p>
    <w:p>
      <w:pPr>
        <w:pStyle w:val="ListParagraph"/>
        <w:numPr>
          <w:ilvl w:val="0"/>
          <w:numId w:val="2"/>
        </w:numPr>
        <w:spacing w:after="60"/>
      </w:pPr>
      <w:r>
        <w:rPr>
          <w:rFonts w:ascii="Arial" w:cs="Arial" w:eastAsia="Arial" w:hAnsi="Arial"/>
          <w:sz w:val="22"/>
          <w:szCs w:val="22"/>
        </w:rPr>
        <w:t xml:space="preserve">Análisis exploratorio: estadísticas descriptivas</w:t>
      </w:r>
    </w:p>
    <w:p>
      <w:pPr>
        <w:pStyle w:val="ListParagraph"/>
        <w:numPr>
          <w:ilvl w:val="0"/>
          <w:numId w:val="2"/>
        </w:numPr>
        <w:spacing w:after="60"/>
      </w:pPr>
      <w:r>
        <w:rPr>
          <w:rFonts w:ascii="Arial" w:cs="Arial" w:eastAsia="Arial" w:hAnsi="Arial"/>
          <w:sz w:val="22"/>
          <w:szCs w:val="22"/>
        </w:rPr>
        <w:t xml:space="preserve">Metodología: técnicas y justificación de decisiones</w:t>
      </w:r>
    </w:p>
    <w:p>
      <w:pPr>
        <w:pStyle w:val="ListParagraph"/>
        <w:numPr>
          <w:ilvl w:val="0"/>
          <w:numId w:val="2"/>
        </w:numPr>
        <w:spacing w:after="60"/>
      </w:pPr>
      <w:r>
        <w:rPr>
          <w:rFonts w:ascii="Arial" w:cs="Arial" w:eastAsia="Arial" w:hAnsi="Arial"/>
          <w:sz w:val="22"/>
          <w:szCs w:val="22"/>
        </w:rPr>
        <w:t xml:space="preserve">Resultados y validación: comparación antes/después</w:t>
      </w:r>
    </w:p>
    <w:p>
      <w:pPr>
        <w:pStyle w:val="ListParagraph"/>
        <w:numPr>
          <w:ilvl w:val="0"/>
          <w:numId w:val="2"/>
        </w:numPr>
        <w:spacing w:after="120"/>
      </w:pPr>
      <w:r>
        <w:rPr>
          <w:rFonts w:ascii="Arial" w:cs="Arial" w:eastAsia="Arial" w:hAnsi="Arial"/>
          <w:sz w:val="22"/>
          <w:szCs w:val="22"/>
        </w:rPr>
        <w:t xml:space="preserve">Conclusiones y recomendaciones</w:t>
      </w:r>
    </w:p>
    <w:p>
      <w:pPr>
        <w:pStyle w:val="Heading2"/>
      </w:pPr>
      <w:r>
        <w:rPr>
          <w:color w:val="2E75B6"/>
        </w:rPr>
        <w:t xml:space="preserve">5.4 Entorno reproducible</w:t>
      </w:r>
    </w:p>
    <w:p>
      <w:pPr>
        <w:pStyle w:val="ListParagraph"/>
        <w:numPr>
          <w:ilvl w:val="0"/>
          <w:numId w:val="2"/>
        </w:numPr>
        <w:spacing w:after="60"/>
      </w:pPr>
      <w:r>
        <w:rPr>
          <w:rFonts w:ascii="Arial" w:cs="Arial" w:eastAsia="Arial" w:hAnsi="Arial"/>
          <w:sz w:val="22"/>
          <w:szCs w:val="22"/>
        </w:rPr>
        <w:t xml:space="preserve">requirements.txt o environment.yml</w:t>
      </w:r>
    </w:p>
    <w:p>
      <w:pPr>
        <w:pStyle w:val="ListParagraph"/>
        <w:numPr>
          <w:ilvl w:val="0"/>
          <w:numId w:val="2"/>
        </w:numPr>
        <w:spacing w:after="60"/>
      </w:pPr>
      <w:r>
        <w:rPr>
          <w:rFonts w:ascii="Arial" w:cs="Arial" w:eastAsia="Arial" w:hAnsi="Arial"/>
          <w:sz w:val="22"/>
          <w:szCs w:val="22"/>
        </w:rPr>
        <w:t xml:space="preserve">README.md con instrucciones claras</w:t>
      </w:r>
    </w:p>
    <w:p>
      <w:pPr>
        <w:pStyle w:val="ListParagraph"/>
        <w:numPr>
          <w:ilvl w:val="0"/>
          <w:numId w:val="2"/>
        </w:numPr>
        <w:spacing w:after="120"/>
      </w:pPr>
      <w:r>
        <w:rPr>
          <w:rFonts w:ascii="Arial" w:cs="Arial" w:eastAsia="Arial" w:hAnsi="Arial"/>
          <w:sz w:val="22"/>
          <w:szCs w:val="22"/>
        </w:rPr>
        <w:t xml:space="preserve">El proyecto debe ser reproducible</w:t>
      </w:r>
    </w:p>
    <w:p>
      <w:pPr>
        <w:pStyle w:val="Heading1"/>
      </w:pPr>
      <w:r>
        <w:rPr>
          <w:color w:val="1F4E79"/>
        </w:rPr>
        <w:t xml:space="preserve">SECCIÓN 6: ÍTEM II — PRESENTACIÓN (20%)</w:t>
      </w:r>
    </w:p>
    <w:p>
      <w:pPr>
        <w:spacing w:after="120"/>
      </w:pPr>
      <w:r>
        <w:rPr>
          <w:rFonts w:ascii="Arial" w:cs="Arial" w:eastAsia="Arial" w:hAnsi="Arial"/>
          <w:sz w:val="22"/>
          <w:szCs w:val="22"/>
        </w:rPr>
        <w:t xml:space="preserve">Presentación individual de 15 minutos + 5 minutos de preguntas del docente.</w:t>
      </w:r>
    </w:p>
    <w:p>
      <w:pPr>
        <w:spacing w:after="120"/>
      </w:pPr>
      <w:r>
        <w:rPr>
          <w:rFonts w:ascii="Arial" w:cs="Arial" w:eastAsia="Arial" w:hAnsi="Arial"/>
          <w:sz w:val="22"/>
          <w:szCs w:val="22"/>
        </w:rPr>
        <w:t xml:space="preserve">Tu presentación debe cubrir:</w:t>
      </w:r>
    </w:p>
    <w:p>
      <w:pPr>
        <w:pStyle w:val="ListParagraph"/>
        <w:numPr>
          <w:ilvl w:val="0"/>
          <w:numId w:val="3"/>
        </w:numPr>
        <w:spacing w:after="60"/>
      </w:pPr>
      <w:r>
        <w:rPr>
          <w:rFonts w:ascii="Arial" w:cs="Arial" w:eastAsia="Arial" w:hAnsi="Arial"/>
          <w:sz w:val="22"/>
          <w:szCs w:val="22"/>
        </w:rPr>
        <w:t xml:space="preserve">Análisis del problema y enfoque de solución</w:t>
      </w:r>
    </w:p>
    <w:p>
      <w:pPr>
        <w:pStyle w:val="ListParagraph"/>
        <w:numPr>
          <w:ilvl w:val="0"/>
          <w:numId w:val="3"/>
        </w:numPr>
        <w:spacing w:after="60"/>
      </w:pPr>
      <w:r>
        <w:rPr>
          <w:rFonts w:ascii="Arial" w:cs="Arial" w:eastAsia="Arial" w:hAnsi="Arial"/>
          <w:sz w:val="22"/>
          <w:szCs w:val="22"/>
        </w:rPr>
        <w:t xml:space="preserve">Demostración del proyecto Kedro</w:t>
      </w:r>
    </w:p>
    <w:p>
      <w:pPr>
        <w:pStyle w:val="ListParagraph"/>
        <w:numPr>
          <w:ilvl w:val="0"/>
          <w:numId w:val="3"/>
        </w:numPr>
        <w:spacing w:after="60"/>
      </w:pPr>
      <w:r>
        <w:rPr>
          <w:rFonts w:ascii="Arial" w:cs="Arial" w:eastAsia="Arial" w:hAnsi="Arial"/>
          <w:sz w:val="22"/>
          <w:szCs w:val="22"/>
        </w:rPr>
        <w:t xml:space="preserve">Demostración de código clave</w:t>
      </w:r>
    </w:p>
    <w:p>
      <w:pPr>
        <w:pStyle w:val="ListParagraph"/>
        <w:numPr>
          <w:ilvl w:val="0"/>
          <w:numId w:val="3"/>
        </w:numPr>
        <w:spacing w:after="60"/>
      </w:pPr>
      <w:r>
        <w:rPr>
          <w:rFonts w:ascii="Arial" w:cs="Arial" w:eastAsia="Arial" w:hAnsi="Arial"/>
          <w:sz w:val="22"/>
          <w:szCs w:val="22"/>
        </w:rPr>
        <w:t xml:space="preserve">Justificación de decisiones técnicas</w:t>
      </w:r>
    </w:p>
    <w:p>
      <w:pPr>
        <w:pStyle w:val="ListParagraph"/>
        <w:numPr>
          <w:ilvl w:val="0"/>
          <w:numId w:val="3"/>
        </w:numPr>
        <w:spacing w:after="60"/>
      </w:pPr>
      <w:r>
        <w:rPr>
          <w:rFonts w:ascii="Arial" w:cs="Arial" w:eastAsia="Arial" w:hAnsi="Arial"/>
          <w:sz w:val="22"/>
          <w:szCs w:val="22"/>
        </w:rPr>
        <w:t xml:space="preserve">Resultados e insights</w:t>
      </w:r>
    </w:p>
    <w:p>
      <w:pPr>
        <w:pStyle w:val="ListParagraph"/>
        <w:numPr>
          <w:ilvl w:val="0"/>
          <w:numId w:val="3"/>
        </w:numPr>
        <w:spacing w:after="120"/>
      </w:pPr>
      <w:r>
        <w:rPr>
          <w:rFonts w:ascii="Arial" w:cs="Arial" w:eastAsia="Arial" w:hAnsi="Arial"/>
          <w:sz w:val="22"/>
          <w:szCs w:val="22"/>
        </w:rPr>
        <w:t xml:space="preserve">Lecciones aprendidas y mejoras futuras</w:t>
      </w:r>
    </w:p>
    <w:p>
      <w:pPr>
        <w:spacing w:after="120"/>
      </w:pPr>
      <w:r>
        <w:rPr>
          <w:rFonts w:ascii="Arial" w:cs="Arial" w:eastAsia="Arial" w:hAnsi="Arial"/>
          <w:b/>
          <w:bCs/>
          <w:sz w:val="22"/>
          <w:szCs w:val="22"/>
        </w:rPr>
        <w:t xml:space="preserve">Aspectos formales:</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Uso de apoyos visuales (slides, notebook, gráficos)</w:t>
      </w:r>
    </w:p>
    <w:p>
      <w:pPr>
        <w:pStyle w:val="ListParagraph"/>
        <w:numPr>
          <w:ilvl w:val="0"/>
          <w:numId w:val="2"/>
        </w:numPr>
        <w:spacing w:after="60"/>
      </w:pPr>
      <w:r>
        <w:rPr>
          <w:rFonts w:ascii="Arial" w:cs="Arial" w:eastAsia="Arial" w:hAnsi="Arial"/>
          <w:sz w:val="22"/>
          <w:szCs w:val="22"/>
        </w:rPr>
        <w:t xml:space="preserve">Lenguaje técnico adecuado y claridad</w:t>
      </w:r>
    </w:p>
    <w:p>
      <w:pPr>
        <w:pStyle w:val="ListParagraph"/>
        <w:numPr>
          <w:ilvl w:val="0"/>
          <w:numId w:val="2"/>
        </w:numPr>
        <w:spacing w:after="120"/>
      </w:pPr>
      <w:r>
        <w:rPr>
          <w:rFonts w:ascii="Arial" w:cs="Arial" w:eastAsia="Arial" w:hAnsi="Arial"/>
          <w:sz w:val="22"/>
          <w:szCs w:val="22"/>
        </w:rPr>
        <w:t xml:space="preserve">Dominio conceptual al responder preguntas</w:t>
      </w:r>
    </w:p>
    <w:p>
      <w:pPr>
        <w:pStyle w:val="Heading1"/>
      </w:pPr>
      <w:r>
        <w:rPr>
          <w:color w:val="1F4E79"/>
        </w:rPr>
        <w:t xml:space="preserve">SECCIÓN 7: ENTREGABLES Y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Entregable</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Formato</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Dónde entregar</w:t>
            </w:r>
          </w:p>
        </w:tc>
      </w:tr>
      <w:tr>
        <w:tc>
          <w:tcPr>
            <w:tcW w:type="dxa" w:w="32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Proyecto Kedro completo</w:t>
            </w:r>
          </w:p>
        </w:tc>
        <w:tc>
          <w:tcPr>
            <w:tcW w:type="dxa" w:w="2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.zip o GitHub</w:t>
            </w:r>
          </w:p>
        </w:tc>
        <w:tc>
          <w:tcPr>
            <w:tcW w:type="dxa" w:w="33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Plataforma AVA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Informe técnico</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PDF (8-12 páginas)</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Dentro de docs/</w:t>
            </w:r>
          </w:p>
        </w:tc>
      </w:tr>
      <w:tr>
        <w:tc>
          <w:tcPr>
            <w:tcW w:type="dxa" w:w="32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Presentación</w:t>
            </w:r>
          </w:p>
        </w:tc>
        <w:tc>
          <w:tcPr>
            <w:tcW w:type="dxa" w:w="2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PPTX o PDF</w:t>
            </w:r>
          </w:p>
        </w:tc>
        <w:tc>
          <w:tcPr>
            <w:tcW w:type="dxa" w:w="33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Plataforma AVA</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Fecha entrega encargo</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definir por docente]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Fecha presentación</w:t>
            </w:r>
          </w:p>
        </w:tc>
        <w:tc>
          <w:tcPr>
            <w:tcW w:type="dxa" w:w="280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[A definir por docente]</w:t>
            </w:r>
          </w:p>
        </w:tc>
        <w:tc>
          <w:tcPr>
            <w:tcW w:type="dxa" w:w="3360"/>
            <w:tcBorders>
              <w:top w:val="single" w:color="BBBBBB" w:sz="1"/>
              <w:left w:val="single" w:color="BBBBBB" w:sz="1"/>
              <w:bottom w:val="single" w:color="BBBBBB" w:sz="1"/>
              <w:right w:val="single" w:color="BBBBBB" w:sz="1"/>
            </w:tcBorders>
            <w:shd w:fill="F2F7FA" w:val="clear"/>
            <w:tcMar>
              <w:top w:type="dxa" w:w="80"/>
              <w:left w:type="dxa" w:w="120"/>
              <w:bottom w:type="dxa" w:w="80"/>
              <w:right w:type="dxa" w:w="120"/>
            </w:tcMar>
          </w:tcPr>
          <w:p>
            <w:r>
              <w:rPr>
                <w:rFonts w:ascii="Arial" w:cs="Arial" w:eastAsia="Arial" w:hAnsi="Arial"/>
                <w:sz w:val="20"/>
                <w:szCs w:val="20"/>
              </w:rPr>
              <w:t xml:space="preserve">—</w:t>
            </w:r>
          </w:p>
        </w:tc>
      </w:tr>
    </w:tbl>
    <w:p>
      <w:pPr>
        <w:pStyle w:val="Heading1"/>
      </w:pPr>
      <w:r>
        <w:rPr>
          <w:color w:val="1F4E79"/>
        </w:rPr>
        <w:t xml:space="preserve">SECCIÓN 8: RECOMENDACIONES FINALES</w:t>
      </w:r>
    </w:p>
    <w:p>
      <w:pPr>
        <w:pStyle w:val="ListParagraph"/>
        <w:numPr>
          <w:ilvl w:val="0"/>
          <w:numId w:val="4"/>
        </w:numPr>
        <w:spacing w:after="80"/>
      </w:pPr>
      <w:r>
        <w:rPr>
          <w:rFonts w:ascii="Arial" w:cs="Arial" w:eastAsia="Arial" w:hAnsi="Arial"/>
          <w:sz w:val="22"/>
          <w:szCs w:val="22"/>
        </w:rPr>
        <w:t xml:space="preserve">Comienza por el notebook exploratorio antes de tocar Kedro</w:t>
      </w:r>
    </w:p>
    <w:p>
      <w:pPr>
        <w:pStyle w:val="ListParagraph"/>
        <w:numPr>
          <w:ilvl w:val="0"/>
          <w:numId w:val="4"/>
        </w:numPr>
        <w:spacing w:after="80"/>
      </w:pPr>
      <w:r>
        <w:rPr>
          <w:rFonts w:ascii="Arial" w:cs="Arial" w:eastAsia="Arial" w:hAnsi="Arial"/>
          <w:sz w:val="22"/>
          <w:szCs w:val="22"/>
        </w:rPr>
        <w:t xml:space="preserve">Crea el proyecto Kedro y configura catalog.yml</w:t>
      </w:r>
    </w:p>
    <w:p>
      <w:pPr>
        <w:pStyle w:val="ListParagraph"/>
        <w:numPr>
          <w:ilvl w:val="0"/>
          <w:numId w:val="4"/>
        </w:numPr>
        <w:spacing w:after="80"/>
      </w:pPr>
      <w:r>
        <w:rPr>
          <w:rFonts w:ascii="Arial" w:cs="Arial" w:eastAsia="Arial" w:hAnsi="Arial"/>
          <w:sz w:val="22"/>
          <w:szCs w:val="22"/>
        </w:rPr>
        <w:t xml:space="preserve">Desarrolla pipeline por pipeline</w:t>
      </w:r>
    </w:p>
    <w:p>
      <w:pPr>
        <w:pStyle w:val="ListParagraph"/>
        <w:numPr>
          <w:ilvl w:val="0"/>
          <w:numId w:val="4"/>
        </w:numPr>
        <w:spacing w:after="80"/>
      </w:pPr>
      <w:r>
        <w:rPr>
          <w:rFonts w:ascii="Arial" w:cs="Arial" w:eastAsia="Arial" w:hAnsi="Arial"/>
          <w:sz w:val="22"/>
          <w:szCs w:val="22"/>
        </w:rPr>
        <w:t xml:space="preserve">Ejecuta frecuentemente con 'kedro run'</w:t>
      </w:r>
    </w:p>
    <w:p>
      <w:pPr>
        <w:pStyle w:val="ListParagraph"/>
        <w:numPr>
          <w:ilvl w:val="0"/>
          <w:numId w:val="4"/>
        </w:numPr>
        <w:spacing w:after="80"/>
      </w:pPr>
      <w:r>
        <w:rPr>
          <w:rFonts w:ascii="Arial" w:cs="Arial" w:eastAsia="Arial" w:hAnsi="Arial"/>
          <w:sz w:val="22"/>
          <w:szCs w:val="22"/>
        </w:rPr>
        <w:t xml:space="preserve">Documenta mientras avanzas</w:t>
      </w:r>
    </w:p>
    <w:p>
      <w:pPr>
        <w:pStyle w:val="ListParagraph"/>
        <w:numPr>
          <w:ilvl w:val="0"/>
          <w:numId w:val="4"/>
        </w:numPr>
        <w:spacing w:after="80"/>
      </w:pPr>
      <w:r>
        <w:rPr>
          <w:rFonts w:ascii="Arial" w:cs="Arial" w:eastAsia="Arial" w:hAnsi="Arial"/>
          <w:sz w:val="22"/>
          <w:szCs w:val="22"/>
        </w:rPr>
        <w:t xml:space="preserve">Usa Git y versiona desde el día 1</w:t>
      </w:r>
    </w:p>
    <w:p>
      <w:pPr>
        <w:pStyle w:val="ListParagraph"/>
        <w:numPr>
          <w:ilvl w:val="0"/>
          <w:numId w:val="4"/>
        </w:numPr>
        <w:spacing w:after="120"/>
      </w:pPr>
      <w:r>
        <w:rPr>
          <w:rFonts w:ascii="Arial" w:cs="Arial" w:eastAsia="Arial" w:hAnsi="Arial"/>
          <w:sz w:val="22"/>
          <w:szCs w:val="22"/>
        </w:rPr>
        <w:t xml:space="preserve">Apóyate en la guía de Kedro entregada</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SCY1101 — Evaluación Parcial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SCY1101 — Evaluación Parcial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ych1a6opusgnjxw8tvmsm" Type="http://schemas.openxmlformats.org/officeDocument/2006/relationships/hyperlink" Target="https://www.kaggle.com/datasets/berkayalan/ecommerce-sales-dataset" TargetMode="External"/><Relationship Id="rId1sm2vbbkqp0-porjfn-lz" Type="http://schemas.openxmlformats.org/officeDocument/2006/relationships/hyperlink" Target="https://www.kaggle.com/datasets/datasetengineer/logistics-and-supply-chain-dataset" TargetMode="External"/><Relationship Id="rId5cuc9onaws3mnx4rrryeb" Type="http://schemas.openxmlformats.org/officeDocument/2006/relationships/hyperlink" Target="https://www.kaggle.com/datasets/ravindrasinghrana/employeedataset" TargetMode="External"/><Relationship Id="rIdzgk1zon2hjgvxc7bmht_r" Type="http://schemas.openxmlformats.org/officeDocument/2006/relationships/hyperlink" Target="https://www.kaggle.com/datasets/kanakbaghel/hospital-management-dataset" TargetMode="External"/><Relationship Id="rId7okbwjyloat6pkzhk5wdq" Type="http://schemas.openxmlformats.org/officeDocument/2006/relationships/hyperlink" Target="https://www.kaggle.com/datasets/mahmoudelhemaly/students-grading-dataset"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2026-04-07T17:41:13.487Z</dcterms:created>
  <dcterms:modified xsi:type="dcterms:W3CDTF">2026-04-07T17:41:13.493Z</dcterms:modified>
</cp:coreProperties>
</file>

<file path=docProps/custom.xml><?xml version="1.0" encoding="utf-8"?>
<Properties xmlns="http://schemas.openxmlformats.org/officeDocument/2006/custom-properties" xmlns:vt="http://schemas.openxmlformats.org/officeDocument/2006/docPropsVTypes"/>
</file>