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000000"/>
          <w:sz w:val="21"/>
          <w:szCs w:val="21"/>
        </w:rPr>
      </w:pPr>
      <w:r w:rsidDel="00000000" w:rsidR="00000000" w:rsidRPr="00000000">
        <w:rPr>
          <w:sz w:val="21"/>
          <w:szCs w:val="21"/>
          <w:rtl w:val="0"/>
        </w:rPr>
        <w:t xml:space="preserve">Thank you for your reply. However, there are a number of unaddressed questions to which I would like a response:</w:t>
      </w:r>
      <w:r w:rsidDel="00000000" w:rsidR="00000000" w:rsidRPr="00000000">
        <w:rPr>
          <w:rtl w:val="0"/>
        </w:rPr>
      </w:r>
    </w:p>
    <w:p w:rsidR="00000000" w:rsidDel="00000000" w:rsidP="00000000" w:rsidRDefault="00000000" w:rsidRPr="00000000" w14:paraId="00000002">
      <w:pPr>
        <w:numPr>
          <w:ilvl w:val="0"/>
          <w:numId w:val="1"/>
        </w:numPr>
        <w:spacing w:after="0" w:before="280" w:lineRule="auto"/>
        <w:ind w:left="720" w:hanging="360"/>
        <w:rPr>
          <w:rFonts w:ascii="Calibri" w:cs="Calibri" w:eastAsia="Calibri" w:hAnsi="Calibri"/>
          <w:color w:val="000000"/>
          <w:sz w:val="21"/>
          <w:szCs w:val="21"/>
        </w:rPr>
      </w:pPr>
      <w:r w:rsidDel="00000000" w:rsidR="00000000" w:rsidRPr="00000000">
        <w:rPr>
          <w:sz w:val="21"/>
          <w:szCs w:val="21"/>
          <w:rtl w:val="0"/>
        </w:rPr>
        <w:t xml:space="preserve">There is widespread consensus that this decision is wrong. Lord Lansley called it a “failure of government” on national radio and Jeremy Hunt agreed. An interim Minister made this decision with longstanding consequences that have been decried by senior members of the Conservative Party.</w:t>
      </w:r>
    </w:p>
    <w:p w:rsidR="00000000" w:rsidDel="00000000" w:rsidP="00000000" w:rsidRDefault="00000000" w:rsidRPr="00000000" w14:paraId="00000003">
      <w:pPr>
        <w:numPr>
          <w:ilvl w:val="0"/>
          <w:numId w:val="1"/>
        </w:numPr>
        <w:spacing w:after="0" w:before="280" w:lineRule="auto"/>
        <w:ind w:left="720" w:hanging="360"/>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Since Evusheld was given authorisation by the MHRA on the 17th March, there ha</w:t>
      </w:r>
      <w:r w:rsidDel="00000000" w:rsidR="00000000" w:rsidRPr="00000000">
        <w:rPr>
          <w:sz w:val="21"/>
          <w:szCs w:val="21"/>
          <w:rtl w:val="0"/>
        </w:rPr>
        <w:t xml:space="preserve">ve</w:t>
      </w:r>
      <w:r w:rsidDel="00000000" w:rsidR="00000000" w:rsidRPr="00000000">
        <w:rPr>
          <w:rFonts w:ascii="Calibri" w:cs="Calibri" w:eastAsia="Calibri" w:hAnsi="Calibri"/>
          <w:color w:val="000000"/>
          <w:sz w:val="21"/>
          <w:szCs w:val="21"/>
          <w:rtl w:val="0"/>
        </w:rPr>
        <w:t xml:space="preserve"> been numerous real world studies </w:t>
      </w:r>
      <w:r w:rsidDel="00000000" w:rsidR="00000000" w:rsidRPr="00000000">
        <w:rPr>
          <w:sz w:val="21"/>
          <w:szCs w:val="21"/>
          <w:rtl w:val="0"/>
        </w:rPr>
        <w:t xml:space="preserve">that demonstrate</w:t>
      </w:r>
      <w:r w:rsidDel="00000000" w:rsidR="00000000" w:rsidRPr="00000000">
        <w:rPr>
          <w:rFonts w:ascii="Calibri" w:cs="Calibri" w:eastAsia="Calibri" w:hAnsi="Calibri"/>
          <w:color w:val="000000"/>
          <w:sz w:val="21"/>
          <w:szCs w:val="21"/>
          <w:rtl w:val="0"/>
        </w:rPr>
        <w:t xml:space="preserve"> efficacy as below. The recent Israel paper showed a 92% drop in hospitalisations too: </w:t>
      </w:r>
      <w:hyperlink r:id="rId7">
        <w:r w:rsidDel="00000000" w:rsidR="00000000" w:rsidRPr="00000000">
          <w:rPr>
            <w:rFonts w:ascii="Calibri" w:cs="Calibri" w:eastAsia="Calibri" w:hAnsi="Calibri"/>
            <w:color w:val="0000ff"/>
            <w:sz w:val="21"/>
            <w:szCs w:val="21"/>
            <w:u w:val="single"/>
            <w:rtl w:val="0"/>
          </w:rPr>
          <w:t xml:space="preserve">https://academic.oup.com/cid/advance-article/doi/10.1093/cid/ciac625/6651663</w:t>
        </w:r>
      </w:hyperlink>
      <w:r w:rsidDel="00000000" w:rsidR="00000000" w:rsidRPr="00000000">
        <w:rPr>
          <w:rFonts w:ascii="Calibri" w:cs="Calibri" w:eastAsia="Calibri" w:hAnsi="Calibri"/>
          <w:color w:val="000000"/>
          <w:sz w:val="21"/>
          <w:szCs w:val="21"/>
          <w:rtl w:val="0"/>
        </w:rPr>
        <w:t xml:space="preserve"> Please also see appendix for further studies. </w:t>
      </w:r>
    </w:p>
    <w:p w:rsidR="00000000" w:rsidDel="00000000" w:rsidP="00000000" w:rsidRDefault="00000000" w:rsidRPr="00000000" w14:paraId="00000004">
      <w:pPr>
        <w:numPr>
          <w:ilvl w:val="0"/>
          <w:numId w:val="1"/>
        </w:numPr>
        <w:spacing w:after="0" w:before="0" w:lineRule="auto"/>
        <w:ind w:left="720" w:hanging="360"/>
        <w:rPr>
          <w:rFonts w:ascii="Calibri" w:cs="Calibri" w:eastAsia="Calibri" w:hAnsi="Calibri"/>
          <w:color w:val="000000"/>
          <w:sz w:val="21"/>
          <w:szCs w:val="21"/>
        </w:rPr>
      </w:pPr>
      <w:r w:rsidDel="00000000" w:rsidR="00000000" w:rsidRPr="00000000">
        <w:rPr>
          <w:sz w:val="21"/>
          <w:szCs w:val="21"/>
          <w:rtl w:val="0"/>
        </w:rPr>
        <w:t xml:space="preserve">T</w:t>
      </w:r>
      <w:r w:rsidDel="00000000" w:rsidR="00000000" w:rsidRPr="00000000">
        <w:rPr>
          <w:rFonts w:ascii="Calibri" w:cs="Calibri" w:eastAsia="Calibri" w:hAnsi="Calibri"/>
          <w:color w:val="000000"/>
          <w:sz w:val="21"/>
          <w:szCs w:val="21"/>
          <w:rtl w:val="0"/>
        </w:rPr>
        <w:t xml:space="preserve">here is very little transparency </w:t>
      </w:r>
      <w:r w:rsidDel="00000000" w:rsidR="00000000" w:rsidRPr="00000000">
        <w:rPr>
          <w:sz w:val="21"/>
          <w:szCs w:val="21"/>
          <w:rtl w:val="0"/>
        </w:rPr>
        <w:t xml:space="preserve">i</w:t>
      </w:r>
      <w:r w:rsidDel="00000000" w:rsidR="00000000" w:rsidRPr="00000000">
        <w:rPr>
          <w:rFonts w:ascii="Calibri" w:cs="Calibri" w:eastAsia="Calibri" w:hAnsi="Calibri"/>
          <w:color w:val="000000"/>
          <w:sz w:val="21"/>
          <w:szCs w:val="21"/>
          <w:rtl w:val="0"/>
        </w:rPr>
        <w:t xml:space="preserve">n th</w:t>
      </w:r>
      <w:r w:rsidDel="00000000" w:rsidR="00000000" w:rsidRPr="00000000">
        <w:rPr>
          <w:sz w:val="21"/>
          <w:szCs w:val="21"/>
          <w:rtl w:val="0"/>
        </w:rPr>
        <w:t xml:space="preserve">is</w:t>
      </w:r>
      <w:r w:rsidDel="00000000" w:rsidR="00000000" w:rsidRPr="00000000">
        <w:rPr>
          <w:rFonts w:ascii="Calibri" w:cs="Calibri" w:eastAsia="Calibri" w:hAnsi="Calibri"/>
          <w:color w:val="000000"/>
          <w:sz w:val="21"/>
          <w:szCs w:val="21"/>
          <w:rtl w:val="0"/>
        </w:rPr>
        <w:t xml:space="preserve"> whole process</w:t>
      </w:r>
      <w:r w:rsidDel="00000000" w:rsidR="00000000" w:rsidRPr="00000000">
        <w:rPr>
          <w:sz w:val="21"/>
          <w:szCs w:val="21"/>
          <w:rtl w:val="0"/>
        </w:rPr>
        <w:t xml:space="preserve">. It is unclear</w:t>
      </w:r>
      <w:r w:rsidDel="00000000" w:rsidR="00000000" w:rsidRPr="00000000">
        <w:rPr>
          <w:rFonts w:ascii="Calibri" w:cs="Calibri" w:eastAsia="Calibri" w:hAnsi="Calibri"/>
          <w:color w:val="000000"/>
          <w:sz w:val="21"/>
          <w:szCs w:val="21"/>
          <w:rtl w:val="0"/>
        </w:rPr>
        <w:t xml:space="preserve"> </w:t>
      </w:r>
      <w:r w:rsidDel="00000000" w:rsidR="00000000" w:rsidRPr="00000000">
        <w:rPr>
          <w:sz w:val="21"/>
          <w:szCs w:val="21"/>
          <w:rtl w:val="0"/>
        </w:rPr>
        <w:t xml:space="preserve">whi</w:t>
      </w:r>
      <w:r w:rsidDel="00000000" w:rsidR="00000000" w:rsidRPr="00000000">
        <w:rPr>
          <w:rFonts w:ascii="Calibri" w:cs="Calibri" w:eastAsia="Calibri" w:hAnsi="Calibri"/>
          <w:color w:val="000000"/>
          <w:sz w:val="21"/>
          <w:szCs w:val="21"/>
          <w:rtl w:val="0"/>
        </w:rPr>
        <w:t xml:space="preserve">ch data w</w:t>
      </w:r>
      <w:r w:rsidDel="00000000" w:rsidR="00000000" w:rsidRPr="00000000">
        <w:rPr>
          <w:sz w:val="21"/>
          <w:szCs w:val="21"/>
          <w:rtl w:val="0"/>
        </w:rPr>
        <w:t xml:space="preserve">ere</w:t>
      </w:r>
      <w:r w:rsidDel="00000000" w:rsidR="00000000" w:rsidRPr="00000000">
        <w:rPr>
          <w:rFonts w:ascii="Calibri" w:cs="Calibri" w:eastAsia="Calibri" w:hAnsi="Calibri"/>
          <w:color w:val="000000"/>
          <w:sz w:val="21"/>
          <w:szCs w:val="21"/>
          <w:rtl w:val="0"/>
        </w:rPr>
        <w:t xml:space="preserve"> considered</w:t>
      </w:r>
      <w:r w:rsidDel="00000000" w:rsidR="00000000" w:rsidRPr="00000000">
        <w:rPr>
          <w:sz w:val="21"/>
          <w:szCs w:val="21"/>
          <w:rtl w:val="0"/>
        </w:rPr>
        <w:t xml:space="preserve"> and</w:t>
      </w:r>
      <w:r w:rsidDel="00000000" w:rsidR="00000000" w:rsidRPr="00000000">
        <w:rPr>
          <w:rFonts w:ascii="Calibri" w:cs="Calibri" w:eastAsia="Calibri" w:hAnsi="Calibri"/>
          <w:color w:val="000000"/>
          <w:sz w:val="21"/>
          <w:szCs w:val="21"/>
          <w:rtl w:val="0"/>
        </w:rPr>
        <w:t xml:space="preserve"> who </w:t>
      </w:r>
      <w:r w:rsidDel="00000000" w:rsidR="00000000" w:rsidRPr="00000000">
        <w:rPr>
          <w:sz w:val="21"/>
          <w:szCs w:val="21"/>
          <w:rtl w:val="0"/>
        </w:rPr>
        <w:t xml:space="preserve">on the panel was</w:t>
      </w:r>
      <w:r w:rsidDel="00000000" w:rsidR="00000000" w:rsidRPr="00000000">
        <w:rPr>
          <w:rFonts w:ascii="Calibri" w:cs="Calibri" w:eastAsia="Calibri" w:hAnsi="Calibri"/>
          <w:color w:val="000000"/>
          <w:sz w:val="21"/>
          <w:szCs w:val="21"/>
          <w:rtl w:val="0"/>
        </w:rPr>
        <w:t xml:space="preserve"> consulted.</w:t>
      </w:r>
      <w:r w:rsidDel="00000000" w:rsidR="00000000" w:rsidRPr="00000000">
        <w:rPr>
          <w:sz w:val="21"/>
          <w:szCs w:val="21"/>
          <w:rtl w:val="0"/>
        </w:rPr>
        <w:t xml:space="preserve"> C</w:t>
      </w:r>
      <w:r w:rsidDel="00000000" w:rsidR="00000000" w:rsidRPr="00000000">
        <w:rPr>
          <w:rFonts w:ascii="Calibri" w:cs="Calibri" w:eastAsia="Calibri" w:hAnsi="Calibri"/>
          <w:color w:val="000000"/>
          <w:sz w:val="21"/>
          <w:szCs w:val="21"/>
          <w:rtl w:val="0"/>
        </w:rPr>
        <w:t xml:space="preserve">ertainly</w:t>
      </w:r>
      <w:r w:rsidDel="00000000" w:rsidR="00000000" w:rsidRPr="00000000">
        <w:rPr>
          <w:sz w:val="21"/>
          <w:szCs w:val="21"/>
          <w:rtl w:val="0"/>
        </w:rPr>
        <w:t xml:space="preserve">, many</w:t>
      </w:r>
      <w:r w:rsidDel="00000000" w:rsidR="00000000" w:rsidRPr="00000000">
        <w:rPr>
          <w:rFonts w:ascii="Calibri" w:cs="Calibri" w:eastAsia="Calibri" w:hAnsi="Calibri"/>
          <w:color w:val="000000"/>
          <w:sz w:val="21"/>
          <w:szCs w:val="21"/>
          <w:rtl w:val="0"/>
        </w:rPr>
        <w:t xml:space="preserve"> </w:t>
      </w:r>
      <w:r w:rsidDel="00000000" w:rsidR="00000000" w:rsidRPr="00000000">
        <w:rPr>
          <w:sz w:val="21"/>
          <w:szCs w:val="21"/>
          <w:rtl w:val="0"/>
        </w:rPr>
        <w:t xml:space="preserve">clinicians</w:t>
      </w:r>
      <w:r w:rsidDel="00000000" w:rsidR="00000000" w:rsidRPr="00000000">
        <w:rPr>
          <w:rFonts w:ascii="Calibri" w:cs="Calibri" w:eastAsia="Calibri" w:hAnsi="Calibri"/>
          <w:color w:val="000000"/>
          <w:sz w:val="21"/>
          <w:szCs w:val="21"/>
          <w:rtl w:val="0"/>
        </w:rPr>
        <w:t xml:space="preserve"> w</w:t>
      </w:r>
      <w:r w:rsidDel="00000000" w:rsidR="00000000" w:rsidRPr="00000000">
        <w:rPr>
          <w:sz w:val="21"/>
          <w:szCs w:val="21"/>
          <w:rtl w:val="0"/>
        </w:rPr>
        <w:t xml:space="preserve">ith whom we have spoken </w:t>
      </w:r>
      <w:r w:rsidDel="00000000" w:rsidR="00000000" w:rsidRPr="00000000">
        <w:rPr>
          <w:rFonts w:ascii="Calibri" w:cs="Calibri" w:eastAsia="Calibri" w:hAnsi="Calibri"/>
          <w:color w:val="000000"/>
          <w:sz w:val="21"/>
          <w:szCs w:val="21"/>
          <w:rtl w:val="0"/>
        </w:rPr>
        <w:t xml:space="preserve">are </w:t>
      </w:r>
      <w:r w:rsidDel="00000000" w:rsidR="00000000" w:rsidRPr="00000000">
        <w:rPr>
          <w:sz w:val="21"/>
          <w:szCs w:val="21"/>
          <w:rtl w:val="0"/>
        </w:rPr>
        <w:t xml:space="preserve">extremely</w:t>
      </w:r>
      <w:r w:rsidDel="00000000" w:rsidR="00000000" w:rsidRPr="00000000">
        <w:rPr>
          <w:rFonts w:ascii="Calibri" w:cs="Calibri" w:eastAsia="Calibri" w:hAnsi="Calibri"/>
          <w:color w:val="000000"/>
          <w:sz w:val="21"/>
          <w:szCs w:val="21"/>
          <w:rtl w:val="0"/>
        </w:rPr>
        <w:t xml:space="preserve"> shocked </w:t>
      </w:r>
      <w:r w:rsidDel="00000000" w:rsidR="00000000" w:rsidRPr="00000000">
        <w:rPr>
          <w:sz w:val="21"/>
          <w:szCs w:val="21"/>
          <w:rtl w:val="0"/>
        </w:rPr>
        <w:t xml:space="preserve">by</w:t>
      </w:r>
      <w:r w:rsidDel="00000000" w:rsidR="00000000" w:rsidRPr="00000000">
        <w:rPr>
          <w:rFonts w:ascii="Calibri" w:cs="Calibri" w:eastAsia="Calibri" w:hAnsi="Calibri"/>
          <w:color w:val="000000"/>
          <w:sz w:val="21"/>
          <w:szCs w:val="21"/>
          <w:rtl w:val="0"/>
        </w:rPr>
        <w:t xml:space="preserve"> this decision.</w:t>
      </w:r>
    </w:p>
    <w:p w:rsidR="00000000" w:rsidDel="00000000" w:rsidP="00000000" w:rsidRDefault="00000000" w:rsidRPr="00000000" w14:paraId="00000005">
      <w:pPr>
        <w:numPr>
          <w:ilvl w:val="0"/>
          <w:numId w:val="1"/>
        </w:numPr>
        <w:spacing w:after="0" w:before="0" w:lineRule="auto"/>
        <w:ind w:left="720" w:hanging="360"/>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I would like to know what the perceived risks are, in relation to the statement “the risks of proceeding to patient access are considered to outweigh the risks of not providing this treatment in the current pandemic context”. I am not entirely sure they have an actual grasp on what the risks are to this group. Not only is there a risk of death or admission to ICU </w:t>
      </w:r>
      <w:r w:rsidDel="00000000" w:rsidR="00000000" w:rsidRPr="00000000">
        <w:rPr>
          <w:sz w:val="21"/>
          <w:szCs w:val="21"/>
          <w:rtl w:val="0"/>
        </w:rPr>
        <w:t xml:space="preserve">but t</w:t>
      </w:r>
      <w:r w:rsidDel="00000000" w:rsidR="00000000" w:rsidRPr="00000000">
        <w:rPr>
          <w:rFonts w:ascii="Calibri" w:cs="Calibri" w:eastAsia="Calibri" w:hAnsi="Calibri"/>
          <w:color w:val="000000"/>
          <w:sz w:val="21"/>
          <w:szCs w:val="21"/>
          <w:rtl w:val="0"/>
        </w:rPr>
        <w:t xml:space="preserve">he ongoing risks our group are facing </w:t>
      </w:r>
      <w:r w:rsidDel="00000000" w:rsidR="00000000" w:rsidRPr="00000000">
        <w:rPr>
          <w:sz w:val="21"/>
          <w:szCs w:val="21"/>
          <w:rtl w:val="0"/>
        </w:rPr>
        <w:t xml:space="preserve">are</w:t>
      </w:r>
      <w:r w:rsidDel="00000000" w:rsidR="00000000" w:rsidRPr="00000000">
        <w:rPr>
          <w:rFonts w:ascii="Calibri" w:cs="Calibri" w:eastAsia="Calibri" w:hAnsi="Calibri"/>
          <w:color w:val="000000"/>
          <w:sz w:val="21"/>
          <w:szCs w:val="21"/>
          <w:rtl w:val="0"/>
        </w:rPr>
        <w:t xml:space="preserve"> that many cannot work</w:t>
      </w:r>
      <w:r w:rsidDel="00000000" w:rsidR="00000000" w:rsidRPr="00000000">
        <w:rPr>
          <w:sz w:val="21"/>
          <w:szCs w:val="21"/>
          <w:rtl w:val="0"/>
        </w:rPr>
        <w:t xml:space="preserve">.</w:t>
      </w:r>
      <w:r w:rsidDel="00000000" w:rsidR="00000000" w:rsidRPr="00000000">
        <w:rPr>
          <w:rFonts w:ascii="Calibri" w:cs="Calibri" w:eastAsia="Calibri" w:hAnsi="Calibri"/>
          <w:color w:val="000000"/>
          <w:sz w:val="21"/>
          <w:szCs w:val="21"/>
          <w:rtl w:val="0"/>
        </w:rPr>
        <w:t xml:space="preserve"> </w:t>
      </w:r>
      <w:r w:rsidDel="00000000" w:rsidR="00000000" w:rsidRPr="00000000">
        <w:rPr>
          <w:sz w:val="21"/>
          <w:szCs w:val="21"/>
          <w:rtl w:val="0"/>
        </w:rPr>
        <w:t xml:space="preserve">T</w:t>
      </w:r>
      <w:r w:rsidDel="00000000" w:rsidR="00000000" w:rsidRPr="00000000">
        <w:rPr>
          <w:rFonts w:ascii="Calibri" w:cs="Calibri" w:eastAsia="Calibri" w:hAnsi="Calibri"/>
          <w:color w:val="000000"/>
          <w:sz w:val="21"/>
          <w:szCs w:val="21"/>
          <w:rtl w:val="0"/>
        </w:rPr>
        <w:t xml:space="preserve">his, coupled with the fuel crisis, mean that </w:t>
      </w:r>
      <w:r w:rsidDel="00000000" w:rsidR="00000000" w:rsidRPr="00000000">
        <w:rPr>
          <w:sz w:val="21"/>
          <w:szCs w:val="21"/>
          <w:rtl w:val="0"/>
        </w:rPr>
        <w:t xml:space="preserve">many</w:t>
      </w:r>
      <w:r w:rsidDel="00000000" w:rsidR="00000000" w:rsidRPr="00000000">
        <w:rPr>
          <w:rFonts w:ascii="Calibri" w:cs="Calibri" w:eastAsia="Calibri" w:hAnsi="Calibri"/>
          <w:color w:val="000000"/>
          <w:sz w:val="21"/>
          <w:szCs w:val="21"/>
          <w:rtl w:val="0"/>
        </w:rPr>
        <w:t xml:space="preserve"> people are at breaking point financially and mentally. The effects from a mental health point of view alone </w:t>
      </w:r>
      <w:r w:rsidDel="00000000" w:rsidR="00000000" w:rsidRPr="00000000">
        <w:rPr>
          <w:sz w:val="21"/>
          <w:szCs w:val="21"/>
          <w:rtl w:val="0"/>
        </w:rPr>
        <w:t xml:space="preserve">will</w:t>
      </w:r>
      <w:r w:rsidDel="00000000" w:rsidR="00000000" w:rsidRPr="00000000">
        <w:rPr>
          <w:rFonts w:ascii="Calibri" w:cs="Calibri" w:eastAsia="Calibri" w:hAnsi="Calibri"/>
          <w:color w:val="000000"/>
          <w:sz w:val="21"/>
          <w:szCs w:val="21"/>
          <w:rtl w:val="0"/>
        </w:rPr>
        <w:t xml:space="preserve"> be seen for years to come if nothing is done, as some people have been shielding for 2.5 years already. Add to this the fact that only 13.2% of immunocompromised people referred to CDMUs </w:t>
      </w:r>
      <w:r w:rsidDel="00000000" w:rsidR="00000000" w:rsidRPr="00000000">
        <w:rPr>
          <w:sz w:val="21"/>
          <w:szCs w:val="21"/>
          <w:rtl w:val="0"/>
        </w:rPr>
        <w:t xml:space="preserve">were given</w:t>
      </w:r>
      <w:r w:rsidDel="00000000" w:rsidR="00000000" w:rsidRPr="00000000">
        <w:rPr>
          <w:rFonts w:ascii="Calibri" w:cs="Calibri" w:eastAsia="Calibri" w:hAnsi="Calibri"/>
          <w:color w:val="000000"/>
          <w:sz w:val="21"/>
          <w:szCs w:val="21"/>
          <w:rtl w:val="0"/>
        </w:rPr>
        <w:t xml:space="preserve"> access to antivirals</w:t>
      </w:r>
      <w:r w:rsidDel="00000000" w:rsidR="00000000" w:rsidRPr="00000000">
        <w:rPr>
          <w:sz w:val="21"/>
          <w:szCs w:val="21"/>
          <w:rtl w:val="0"/>
        </w:rPr>
        <w:t xml:space="preserve">.</w:t>
      </w:r>
      <w:r w:rsidDel="00000000" w:rsidR="00000000" w:rsidRPr="00000000">
        <w:rPr>
          <w:rFonts w:ascii="Calibri" w:cs="Calibri" w:eastAsia="Calibri" w:hAnsi="Calibri"/>
          <w:color w:val="000000"/>
          <w:sz w:val="21"/>
          <w:szCs w:val="21"/>
          <w:rtl w:val="0"/>
        </w:rPr>
        <w:t xml:space="preserve"> </w:t>
      </w:r>
      <w:r w:rsidDel="00000000" w:rsidR="00000000" w:rsidRPr="00000000">
        <w:rPr>
          <w:sz w:val="21"/>
          <w:szCs w:val="21"/>
          <w:rtl w:val="0"/>
        </w:rPr>
        <w:t xml:space="preserve">S</w:t>
      </w:r>
      <w:r w:rsidDel="00000000" w:rsidR="00000000" w:rsidRPr="00000000">
        <w:rPr>
          <w:rFonts w:ascii="Calibri" w:cs="Calibri" w:eastAsia="Calibri" w:hAnsi="Calibri"/>
          <w:color w:val="000000"/>
          <w:sz w:val="21"/>
          <w:szCs w:val="21"/>
          <w:rtl w:val="0"/>
        </w:rPr>
        <w:t xml:space="preserve">o the current system is failing. If the </w:t>
      </w:r>
      <w:r w:rsidDel="00000000" w:rsidR="00000000" w:rsidRPr="00000000">
        <w:rPr>
          <w:sz w:val="21"/>
          <w:szCs w:val="21"/>
          <w:rtl w:val="0"/>
        </w:rPr>
        <w:t xml:space="preserve">“risks” here are supposedly that immunocompromised people will behave in riskier fashions while garnering only partial protection from Evusheld, then this is extremely patronising. The general population gathers only partial protection from vaccines but has been given the freedom to decide for themselves what risks they will accept. We are only asking for the same freedom.</w:t>
      </w:r>
      <w:r w:rsidDel="00000000" w:rsidR="00000000" w:rsidRPr="00000000">
        <w:rPr>
          <w:rFonts w:ascii="Calibri" w:cs="Calibri" w:eastAsia="Calibri" w:hAnsi="Calibri"/>
          <w:color w:val="000000"/>
          <w:sz w:val="21"/>
          <w:szCs w:val="21"/>
          <w:rtl w:val="0"/>
        </w:rPr>
        <w:t xml:space="preserve"> That said. </w:t>
      </w:r>
      <w:r w:rsidDel="00000000" w:rsidR="00000000" w:rsidRPr="00000000">
        <w:rPr>
          <w:sz w:val="21"/>
          <w:szCs w:val="21"/>
          <w:rtl w:val="0"/>
        </w:rPr>
        <w:t xml:space="preserve">i</w:t>
      </w:r>
      <w:r w:rsidDel="00000000" w:rsidR="00000000" w:rsidRPr="00000000">
        <w:rPr>
          <w:rFonts w:ascii="Calibri" w:cs="Calibri" w:eastAsia="Calibri" w:hAnsi="Calibri"/>
          <w:color w:val="000000"/>
          <w:sz w:val="21"/>
          <w:szCs w:val="21"/>
          <w:rtl w:val="0"/>
        </w:rPr>
        <w:t xml:space="preserve">mmunocompromised people are 26 x more likely to die from covid. So I would love to know what risks outweigh these?</w:t>
      </w:r>
    </w:p>
    <w:p w:rsidR="00000000" w:rsidDel="00000000" w:rsidP="00000000" w:rsidRDefault="00000000" w:rsidRPr="00000000" w14:paraId="00000006">
      <w:pPr>
        <w:numPr>
          <w:ilvl w:val="0"/>
          <w:numId w:val="1"/>
        </w:numPr>
        <w:spacing w:after="0" w:before="0" w:lineRule="auto"/>
        <w:ind w:left="720" w:hanging="360"/>
        <w:rPr>
          <w:sz w:val="21"/>
          <w:szCs w:val="21"/>
          <w:u w:val="none"/>
        </w:rPr>
      </w:pPr>
      <w:r w:rsidDel="00000000" w:rsidR="00000000" w:rsidRPr="00000000">
        <w:rPr>
          <w:sz w:val="21"/>
          <w:szCs w:val="21"/>
          <w:rtl w:val="0"/>
        </w:rPr>
        <w:t xml:space="preserve">The advised withdrawal of sotrovimab by the WHO and the US FDA leaves immunocompromised people with ever-fewer options for post-exposure treatment. Evusheld would assist with this risk.</w:t>
      </w:r>
    </w:p>
    <w:p w:rsidR="00000000" w:rsidDel="00000000" w:rsidP="00000000" w:rsidRDefault="00000000" w:rsidRPr="00000000" w14:paraId="00000007">
      <w:pPr>
        <w:numPr>
          <w:ilvl w:val="0"/>
          <w:numId w:val="1"/>
        </w:numPr>
        <w:spacing w:after="0" w:before="0" w:lineRule="auto"/>
        <w:ind w:left="720" w:hanging="360"/>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I would question why every other covid medication has bypassed the NICE route. In fact it appears that a process designed for rapid procurement of an unlicensed product has been applied to a drug that uniquely already had full, rather than conditional MHRA approval. We need to know why. </w:t>
      </w:r>
    </w:p>
    <w:p w:rsidR="00000000" w:rsidDel="00000000" w:rsidP="00000000" w:rsidRDefault="00000000" w:rsidRPr="00000000" w14:paraId="00000008">
      <w:pPr>
        <w:numPr>
          <w:ilvl w:val="0"/>
          <w:numId w:val="1"/>
        </w:numPr>
        <w:spacing w:after="0" w:before="0" w:lineRule="auto"/>
        <w:ind w:left="720" w:hanging="360"/>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Whilst we are aware that evidence shows that different patient groups have different levels of vaccine response</w:t>
      </w:r>
      <w:r w:rsidDel="00000000" w:rsidR="00000000" w:rsidRPr="00000000">
        <w:rPr>
          <w:sz w:val="21"/>
          <w:szCs w:val="21"/>
          <w:rtl w:val="0"/>
        </w:rPr>
        <w:t xml:space="preserve">,</w:t>
      </w:r>
      <w:r w:rsidDel="00000000" w:rsidR="00000000" w:rsidRPr="00000000">
        <w:rPr>
          <w:rFonts w:ascii="Calibri" w:cs="Calibri" w:eastAsia="Calibri" w:hAnsi="Calibri"/>
          <w:color w:val="000000"/>
          <w:sz w:val="21"/>
          <w:szCs w:val="21"/>
          <w:rtl w:val="0"/>
        </w:rPr>
        <w:t xml:space="preserve"> </w:t>
      </w:r>
      <w:r w:rsidDel="00000000" w:rsidR="00000000" w:rsidRPr="00000000">
        <w:rPr>
          <w:sz w:val="21"/>
          <w:szCs w:val="21"/>
          <w:rtl w:val="0"/>
        </w:rPr>
        <w:t xml:space="preserve">t</w:t>
      </w:r>
      <w:r w:rsidDel="00000000" w:rsidR="00000000" w:rsidRPr="00000000">
        <w:rPr>
          <w:rFonts w:ascii="Calibri" w:cs="Calibri" w:eastAsia="Calibri" w:hAnsi="Calibri"/>
          <w:color w:val="000000"/>
          <w:sz w:val="21"/>
          <w:szCs w:val="21"/>
          <w:rtl w:val="0"/>
        </w:rPr>
        <w:t xml:space="preserve">he patient cohorts for Evusheld have already been identified as per document </w:t>
      </w:r>
      <w:hyperlink r:id="rId8">
        <w:r w:rsidDel="00000000" w:rsidR="00000000" w:rsidRPr="00000000">
          <w:rPr>
            <w:rFonts w:ascii="Calibri" w:cs="Calibri" w:eastAsia="Calibri" w:hAnsi="Calibri"/>
            <w:color w:val="0000ff"/>
            <w:sz w:val="21"/>
            <w:szCs w:val="21"/>
            <w:u w:val="single"/>
            <w:rtl w:val="0"/>
          </w:rPr>
          <w:t xml:space="preserve">https://www.gov.uk/government/publications/higher-risk-patients-eligible-for-covid-19-treatments-independent-advisory-group-report/defining-the-highest-risk-clinical-subgroups-upon-community-infection-with-sars-cov-2-when-considering-the-use-of-neutralising-monoclonal-antibodies</w:t>
        </w:r>
      </w:hyperlink>
      <w:r w:rsidDel="00000000" w:rsidR="00000000" w:rsidRPr="00000000">
        <w:rPr>
          <w:rFonts w:ascii="Calibri" w:cs="Calibri" w:eastAsia="Calibri" w:hAnsi="Calibri"/>
          <w:color w:val="000000"/>
          <w:sz w:val="21"/>
          <w:szCs w:val="21"/>
          <w:rtl w:val="0"/>
        </w:rPr>
        <w:t xml:space="preserve"> </w:t>
      </w:r>
    </w:p>
    <w:p w:rsidR="00000000" w:rsidDel="00000000" w:rsidP="00000000" w:rsidRDefault="00000000" w:rsidRPr="00000000" w14:paraId="00000009">
      <w:pPr>
        <w:numPr>
          <w:ilvl w:val="0"/>
          <w:numId w:val="1"/>
        </w:numPr>
        <w:spacing w:after="0" w:before="0" w:lineRule="auto"/>
        <w:ind w:left="720" w:hanging="360"/>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There has already been a pilot test study carried out on immunosuppressed patient called the Melody Study. There is a whole debate though in the clinical world around antibody testing and a widespread agreement amongst clinicians that it is of little use, as there is still no clear idea how to interpret the results. For this reason the American CDC has scrapped their use, and are purely prescribing on a cohort basis,</w:t>
      </w:r>
      <w:r w:rsidDel="00000000" w:rsidR="00000000" w:rsidRPr="00000000">
        <w:rPr>
          <w:rFonts w:ascii="Calibri" w:cs="Calibri" w:eastAsia="Calibri" w:hAnsi="Calibri"/>
          <w:color w:val="201f1e"/>
          <w:sz w:val="21"/>
          <w:szCs w:val="21"/>
          <w:highlight w:val="white"/>
          <w:rtl w:val="0"/>
        </w:rPr>
        <w:t xml:space="preserve"> as per the document previously enclosed. So I think that statement is actually a smokescreen in all honesty and another delaying tactic.</w:t>
      </w:r>
      <w:r w:rsidDel="00000000" w:rsidR="00000000" w:rsidRPr="00000000">
        <w:rPr>
          <w:rtl w:val="0"/>
        </w:rPr>
      </w:r>
    </w:p>
    <w:p w:rsidR="00000000" w:rsidDel="00000000" w:rsidP="00000000" w:rsidRDefault="00000000" w:rsidRPr="00000000" w14:paraId="0000000A">
      <w:pPr>
        <w:numPr>
          <w:ilvl w:val="0"/>
          <w:numId w:val="1"/>
        </w:numPr>
        <w:spacing w:after="280" w:before="0" w:lineRule="auto"/>
        <w:ind w:left="720" w:hanging="360"/>
        <w:rPr>
          <w:rFonts w:ascii="Calibri" w:cs="Calibri" w:eastAsia="Calibri" w:hAnsi="Calibri"/>
          <w:color w:val="000000"/>
          <w:sz w:val="21"/>
          <w:szCs w:val="21"/>
        </w:rPr>
      </w:pPr>
      <w:r w:rsidDel="00000000" w:rsidR="00000000" w:rsidRPr="00000000">
        <w:rPr>
          <w:rFonts w:ascii="Calibri" w:cs="Calibri" w:eastAsia="Calibri" w:hAnsi="Calibri"/>
          <w:color w:val="201f1e"/>
          <w:sz w:val="21"/>
          <w:szCs w:val="21"/>
          <w:highlight w:val="white"/>
          <w:rtl w:val="0"/>
        </w:rPr>
        <w:t xml:space="preserve">With regards to the statement regarding further clinical evidence, there has already been a trial which has been ongoing from 2021 called the PROVENT Trial. This trial found that there was a 77% reduced risk of developing symptomatic covid in people who had treatment. The trial involved over 5000 people. More than 75% of the participants had health conditions that put them at higher risk of covid, including people who were immunosuppressed due to disease or medical treatment.</w:t>
      </w:r>
      <w:r w:rsidDel="00000000" w:rsidR="00000000" w:rsidRPr="00000000">
        <w:rPr>
          <w:rtl w:val="0"/>
        </w:rPr>
      </w:r>
    </w:p>
    <w:p w:rsidR="00000000" w:rsidDel="00000000" w:rsidP="00000000" w:rsidRDefault="00000000" w:rsidRPr="00000000" w14:paraId="0000000B">
      <w:pPr>
        <w:rPr>
          <w:rFonts w:ascii="Calibri" w:cs="Calibri" w:eastAsia="Calibri" w:hAnsi="Calibri"/>
          <w:color w:val="000000"/>
          <w:sz w:val="21"/>
          <w:szCs w:val="21"/>
        </w:rPr>
      </w:pPr>
      <w:r w:rsidDel="00000000" w:rsidR="00000000" w:rsidRPr="00000000">
        <w:rPr>
          <w:rFonts w:ascii="Calibri" w:cs="Calibri" w:eastAsia="Calibri" w:hAnsi="Calibri"/>
          <w:color w:val="201f1e"/>
          <w:sz w:val="21"/>
          <w:szCs w:val="21"/>
          <w:rtl w:val="0"/>
        </w:rPr>
        <w:t xml:space="preserve">I think that with the anticipated winter covid wave and the expectation </w:t>
      </w:r>
      <w:r w:rsidDel="00000000" w:rsidR="00000000" w:rsidRPr="00000000">
        <w:rPr>
          <w:color w:val="201f1e"/>
          <w:sz w:val="21"/>
          <w:szCs w:val="21"/>
          <w:rtl w:val="0"/>
        </w:rPr>
        <w:t xml:space="preserve">of a</w:t>
      </w:r>
      <w:r w:rsidDel="00000000" w:rsidR="00000000" w:rsidRPr="00000000">
        <w:rPr>
          <w:rFonts w:ascii="Calibri" w:cs="Calibri" w:eastAsia="Calibri" w:hAnsi="Calibri"/>
          <w:color w:val="201f1e"/>
          <w:sz w:val="21"/>
          <w:szCs w:val="21"/>
          <w:rtl w:val="0"/>
        </w:rPr>
        <w:t xml:space="preserve"> 1 in 15 </w:t>
      </w:r>
      <w:r w:rsidDel="00000000" w:rsidR="00000000" w:rsidRPr="00000000">
        <w:rPr>
          <w:color w:val="201f1e"/>
          <w:sz w:val="21"/>
          <w:szCs w:val="21"/>
          <w:rtl w:val="0"/>
        </w:rPr>
        <w:t xml:space="preserve">infection rate</w:t>
      </w:r>
      <w:r w:rsidDel="00000000" w:rsidR="00000000" w:rsidRPr="00000000">
        <w:rPr>
          <w:rFonts w:ascii="Calibri" w:cs="Calibri" w:eastAsia="Calibri" w:hAnsi="Calibri"/>
          <w:color w:val="201f1e"/>
          <w:sz w:val="21"/>
          <w:szCs w:val="21"/>
          <w:rtl w:val="0"/>
        </w:rPr>
        <w:t xml:space="preserve">, the rollout of Evusheld is something that could ease this pressure on the NHS. </w:t>
      </w:r>
      <w:r w:rsidDel="00000000" w:rsidR="00000000" w:rsidRPr="00000000">
        <w:rPr>
          <w:color w:val="201f1e"/>
          <w:sz w:val="21"/>
          <w:szCs w:val="21"/>
          <w:rtl w:val="0"/>
        </w:rPr>
        <w:t xml:space="preserve">W</w:t>
      </w:r>
      <w:r w:rsidDel="00000000" w:rsidR="00000000" w:rsidRPr="00000000">
        <w:rPr>
          <w:rFonts w:ascii="Calibri" w:cs="Calibri" w:eastAsia="Calibri" w:hAnsi="Calibri"/>
          <w:color w:val="201f1e"/>
          <w:sz w:val="21"/>
          <w:szCs w:val="21"/>
          <w:rtl w:val="0"/>
        </w:rPr>
        <w:t xml:space="preserve">e already know that 1/3 of ICU beds </w:t>
      </w:r>
      <w:r w:rsidDel="00000000" w:rsidR="00000000" w:rsidRPr="00000000">
        <w:rPr>
          <w:color w:val="201f1e"/>
          <w:sz w:val="21"/>
          <w:szCs w:val="21"/>
          <w:rtl w:val="0"/>
        </w:rPr>
        <w:t xml:space="preserve">with covid</w:t>
      </w:r>
      <w:r w:rsidDel="00000000" w:rsidR="00000000" w:rsidRPr="00000000">
        <w:rPr>
          <w:rFonts w:ascii="Calibri" w:cs="Calibri" w:eastAsia="Calibri" w:hAnsi="Calibri"/>
          <w:color w:val="201f1e"/>
          <w:sz w:val="21"/>
          <w:szCs w:val="21"/>
          <w:rtl w:val="0"/>
        </w:rPr>
        <w:t xml:space="preserve"> are taken up by the immunocompromised. It seems very short sighted of the government not to provide it. The cost of an ICU bed for just 1 day is in the region of £2500, against the cost of Evusheld at £</w:t>
      </w:r>
      <w:r w:rsidDel="00000000" w:rsidR="00000000" w:rsidRPr="00000000">
        <w:rPr>
          <w:color w:val="201f1e"/>
          <w:sz w:val="21"/>
          <w:szCs w:val="21"/>
          <w:rtl w:val="0"/>
        </w:rPr>
        <w:t xml:space="preserve">450</w:t>
      </w:r>
      <w:r w:rsidDel="00000000" w:rsidR="00000000" w:rsidRPr="00000000">
        <w:rPr>
          <w:rFonts w:ascii="Calibri" w:cs="Calibri" w:eastAsia="Calibri" w:hAnsi="Calibri"/>
          <w:color w:val="201f1e"/>
          <w:sz w:val="21"/>
          <w:szCs w:val="21"/>
          <w:rtl w:val="0"/>
        </w:rPr>
        <w:t xml:space="preserve"> per dose. So the cost argument does not stack up, without even adding in the moral/psychological/clinical and financial burden to the immunocompromised people aspects.</w:t>
      </w:r>
      <w:r w:rsidDel="00000000" w:rsidR="00000000" w:rsidRPr="00000000">
        <w:rPr>
          <w:rtl w:val="0"/>
        </w:rPr>
      </w:r>
    </w:p>
    <w:p w:rsidR="00000000" w:rsidDel="00000000" w:rsidP="00000000" w:rsidRDefault="00000000" w:rsidRPr="00000000" w14:paraId="0000000C">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000000"/>
          <w:sz w:val="21"/>
          <w:szCs w:val="21"/>
        </w:rPr>
      </w:pPr>
      <w:r w:rsidDel="00000000" w:rsidR="00000000" w:rsidRPr="00000000">
        <w:rPr>
          <w:rFonts w:ascii="Calibri" w:cs="Calibri" w:eastAsia="Calibri" w:hAnsi="Calibri"/>
          <w:color w:val="201f1e"/>
          <w:sz w:val="21"/>
          <w:szCs w:val="21"/>
          <w:rtl w:val="0"/>
        </w:rPr>
        <w:t xml:space="preserve">Best wishes </w:t>
      </w:r>
      <w:r w:rsidDel="00000000" w:rsidR="00000000" w:rsidRPr="00000000">
        <w:rPr>
          <w:rtl w:val="0"/>
        </w:rPr>
      </w:r>
    </w:p>
    <w:p w:rsidR="00000000" w:rsidDel="00000000" w:rsidP="00000000" w:rsidRDefault="00000000" w:rsidRPr="00000000" w14:paraId="0000000F">
      <w:pPr>
        <w:rPr>
          <w:rFonts w:ascii="Calibri" w:cs="Calibri" w:eastAsia="Calibri" w:hAnsi="Calibri"/>
          <w:color w:val="000000"/>
          <w:sz w:val="21"/>
          <w:szCs w:val="21"/>
        </w:rPr>
      </w:pPr>
      <w:r w:rsidDel="00000000" w:rsidR="00000000" w:rsidRPr="00000000">
        <w:rPr>
          <w:rFonts w:ascii="Calibri" w:cs="Calibri" w:eastAsia="Calibri" w:hAnsi="Calibri"/>
          <w:color w:val="201f1e"/>
          <w:sz w:val="21"/>
          <w:szCs w:val="21"/>
          <w:rtl w:val="0"/>
        </w:rPr>
        <w:br w:type="textWrapping"/>
      </w: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XXXXXXXXXXX</w:t>
      </w:r>
    </w:p>
    <w:p w:rsidR="00000000" w:rsidDel="00000000" w:rsidP="00000000" w:rsidRDefault="00000000" w:rsidRPr="00000000" w14:paraId="00000011">
      <w:pPr>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br w:type="textWrapping"/>
      </w:r>
      <w:r w:rsidDel="00000000" w:rsidR="00000000" w:rsidRPr="00000000">
        <w:rPr>
          <w:rFonts w:ascii="Calibri" w:cs="Calibri" w:eastAsia="Calibri" w:hAnsi="Calibri"/>
          <w:color w:val="000000"/>
          <w:sz w:val="21"/>
          <w:szCs w:val="21"/>
        </w:rPr>
        <mc:AlternateContent>
          <mc:Choice Requires="wpg">
            <w:drawing>
              <wp:inline distB="0" distT="0" distL="0" distR="0">
                <wp:extent cx="314325" cy="314325"/>
                <wp:effectExtent b="0" l="0" r="0" t="0"/>
                <wp:docPr descr="evusheld-4-uk-logo-positive-rgb-low-res-207px.JPG" id="2"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evusheld-4-uk-logo-positive-rgb-low-res-207px.JPG" id="2" name="image1.png"/>
                <a:graphic>
                  <a:graphicData uri="http://schemas.openxmlformats.org/drawingml/2006/picture">
                    <pic:pic>
                      <pic:nvPicPr>
                        <pic:cNvPr descr="evusheld-4-uk-logo-positive-rgb-low-res-207px.JPG" id="0" name="image1.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spacing w:after="280" w:before="280" w:lineRule="auto"/>
        <w:rPr>
          <w:rFonts w:ascii="Calibri" w:cs="Calibri" w:eastAsia="Calibri" w:hAnsi="Calibri"/>
          <w:color w:val="000000"/>
          <w:sz w:val="21"/>
          <w:szCs w:val="21"/>
        </w:rPr>
      </w:pPr>
      <w:r w:rsidDel="00000000" w:rsidR="00000000" w:rsidRPr="00000000">
        <w:rPr>
          <w:rFonts w:ascii="Arial" w:cs="Arial" w:eastAsia="Arial" w:hAnsi="Arial"/>
          <w:b w:val="1"/>
          <w:color w:val="000000"/>
          <w:sz w:val="22"/>
          <w:szCs w:val="22"/>
          <w:rtl w:val="0"/>
        </w:rPr>
        <w:t xml:space="preserve">APPENDIX</w:t>
      </w:r>
      <w:r w:rsidDel="00000000" w:rsidR="00000000" w:rsidRPr="00000000">
        <w:rPr>
          <w:rtl w:val="0"/>
        </w:rPr>
      </w:r>
    </w:p>
    <w:p w:rsidR="00000000" w:rsidDel="00000000" w:rsidP="00000000" w:rsidRDefault="00000000" w:rsidRPr="00000000" w14:paraId="00000013">
      <w:pPr>
        <w:spacing w:after="280" w:before="280" w:lineRule="auto"/>
        <w:rPr>
          <w:rFonts w:ascii="Calibri" w:cs="Calibri" w:eastAsia="Calibri" w:hAnsi="Calibri"/>
          <w:color w:val="000000"/>
          <w:sz w:val="21"/>
          <w:szCs w:val="21"/>
        </w:rPr>
      </w:pPr>
      <w:r w:rsidDel="00000000" w:rsidR="00000000" w:rsidRPr="00000000">
        <w:rPr>
          <w:rFonts w:ascii="Arial" w:cs="Arial" w:eastAsia="Arial" w:hAnsi="Arial"/>
          <w:i w:val="1"/>
          <w:color w:val="000000"/>
          <w:sz w:val="22"/>
          <w:szCs w:val="22"/>
          <w:rtl w:val="0"/>
        </w:rPr>
        <w:t xml:space="preserve">Please note, the studies marked * are real-world evaluations of Evusheld, with control arms. These have been conducted in the United States, France, and Israel during the Omicron waves.</w:t>
      </w:r>
      <w:r w:rsidDel="00000000" w:rsidR="00000000" w:rsidRPr="00000000">
        <w:rPr>
          <w:rtl w:val="0"/>
        </w:rPr>
      </w:r>
    </w:p>
    <w:p w:rsidR="00000000" w:rsidDel="00000000" w:rsidP="00000000" w:rsidRDefault="00000000" w:rsidRPr="00000000" w14:paraId="00000014">
      <w:pPr>
        <w:spacing w:after="280" w:before="280" w:lineRule="auto"/>
        <w:rPr>
          <w:rFonts w:ascii="Calibri" w:cs="Calibri" w:eastAsia="Calibri" w:hAnsi="Calibri"/>
          <w:color w:val="000000"/>
          <w:sz w:val="21"/>
          <w:szCs w:val="21"/>
        </w:rPr>
      </w:pPr>
      <w:r w:rsidDel="00000000" w:rsidR="00000000" w:rsidRPr="00000000">
        <w:rPr>
          <w:rFonts w:ascii="ArialMT" w:cs="ArialMT" w:eastAsia="ArialMT" w:hAnsi="ArialMT"/>
          <w:color w:val="000000"/>
          <w:sz w:val="22"/>
          <w:szCs w:val="22"/>
          <w:rtl w:val="0"/>
        </w:rPr>
        <w:t xml:space="preserve">*Al Jurdi, A., et al. (2022) ‘</w:t>
      </w:r>
      <w:r w:rsidDel="00000000" w:rsidR="00000000" w:rsidRPr="00000000">
        <w:rPr>
          <w:rFonts w:ascii="ArialMT" w:cs="ArialMT" w:eastAsia="ArialMT" w:hAnsi="ArialMT"/>
          <w:color w:val="1155cc"/>
          <w:sz w:val="22"/>
          <w:szCs w:val="22"/>
          <w:rtl w:val="0"/>
        </w:rPr>
        <w:t xml:space="preserve">Tixagevimab/cilgavimab pre-exposure prophylaxis is associated with lower breakthrough infection risk in vaccinated solid organ transplant recipients during the Omicron wave</w:t>
      </w:r>
      <w:r w:rsidDel="00000000" w:rsidR="00000000" w:rsidRPr="00000000">
        <w:rPr>
          <w:rFonts w:ascii="ArialMT" w:cs="ArialMT" w:eastAsia="ArialMT" w:hAnsi="ArialMT"/>
          <w:color w:val="000000"/>
          <w:sz w:val="22"/>
          <w:szCs w:val="22"/>
          <w:rtl w:val="0"/>
        </w:rPr>
        <w:t xml:space="preserve">’ American Journal of Transplantation 00, pp.1-7.</w:t>
      </w:r>
      <w:r w:rsidDel="00000000" w:rsidR="00000000" w:rsidRPr="00000000">
        <w:rPr>
          <w:rtl w:val="0"/>
        </w:rPr>
      </w:r>
    </w:p>
    <w:p w:rsidR="00000000" w:rsidDel="00000000" w:rsidP="00000000" w:rsidRDefault="00000000" w:rsidRPr="00000000" w14:paraId="00000015">
      <w:pPr>
        <w:spacing w:after="280" w:before="280" w:lineRule="auto"/>
        <w:rPr>
          <w:rFonts w:ascii="Calibri" w:cs="Calibri" w:eastAsia="Calibri" w:hAnsi="Calibri"/>
          <w:color w:val="000000"/>
          <w:sz w:val="21"/>
          <w:szCs w:val="21"/>
        </w:rPr>
      </w:pPr>
      <w:r w:rsidDel="00000000" w:rsidR="00000000" w:rsidRPr="00000000">
        <w:rPr>
          <w:rFonts w:ascii="ArialMT" w:cs="ArialMT" w:eastAsia="ArialMT" w:hAnsi="ArialMT"/>
          <w:color w:val="000000"/>
          <w:sz w:val="22"/>
          <w:szCs w:val="22"/>
          <w:rtl w:val="0"/>
        </w:rPr>
        <w:t xml:space="preserve">*Bertrand, D., et al. (2022) ‘</w:t>
      </w:r>
      <w:r w:rsidDel="00000000" w:rsidR="00000000" w:rsidRPr="00000000">
        <w:rPr>
          <w:rFonts w:ascii="ArialMT" w:cs="ArialMT" w:eastAsia="ArialMT" w:hAnsi="ArialMT"/>
          <w:color w:val="1155cc"/>
          <w:sz w:val="22"/>
          <w:szCs w:val="22"/>
          <w:rtl w:val="0"/>
        </w:rPr>
        <w:t xml:space="preserve">Efficacy of anti-SARS-CoV-2 monoclonal antibody prophylaxis and vaccination on the Omicron variant of COVID-19 in kidney transplant recipients</w:t>
      </w:r>
      <w:r w:rsidDel="00000000" w:rsidR="00000000" w:rsidRPr="00000000">
        <w:rPr>
          <w:rFonts w:ascii="ArialMT" w:cs="ArialMT" w:eastAsia="ArialMT" w:hAnsi="ArialMT"/>
          <w:color w:val="000000"/>
          <w:sz w:val="22"/>
          <w:szCs w:val="22"/>
          <w:rtl w:val="0"/>
        </w:rPr>
        <w:t xml:space="preserve">’ Kidney Int. 102(2), pp.440-442.</w:t>
      </w:r>
      <w:r w:rsidDel="00000000" w:rsidR="00000000" w:rsidRPr="00000000">
        <w:rPr>
          <w:rtl w:val="0"/>
        </w:rPr>
      </w:r>
    </w:p>
    <w:p w:rsidR="00000000" w:rsidDel="00000000" w:rsidP="00000000" w:rsidRDefault="00000000" w:rsidRPr="00000000" w14:paraId="00000016">
      <w:pPr>
        <w:spacing w:after="280" w:before="280" w:lineRule="auto"/>
        <w:rPr>
          <w:rFonts w:ascii="Calibri" w:cs="Calibri" w:eastAsia="Calibri" w:hAnsi="Calibri"/>
          <w:color w:val="000000"/>
          <w:sz w:val="21"/>
          <w:szCs w:val="21"/>
        </w:rPr>
      </w:pPr>
      <w:r w:rsidDel="00000000" w:rsidR="00000000" w:rsidRPr="00000000">
        <w:rPr>
          <w:rFonts w:ascii="ArialMT" w:cs="ArialMT" w:eastAsia="ArialMT" w:hAnsi="ArialMT"/>
          <w:color w:val="000000"/>
          <w:sz w:val="22"/>
          <w:szCs w:val="22"/>
          <w:rtl w:val="0"/>
        </w:rPr>
        <w:t xml:space="preserve">Bruel, T., et al. (2022) ‘</w:t>
      </w:r>
      <w:r w:rsidDel="00000000" w:rsidR="00000000" w:rsidRPr="00000000">
        <w:rPr>
          <w:rFonts w:ascii="ArialMT" w:cs="ArialMT" w:eastAsia="ArialMT" w:hAnsi="ArialMT"/>
          <w:color w:val="1155cc"/>
          <w:sz w:val="22"/>
          <w:szCs w:val="22"/>
          <w:rtl w:val="0"/>
        </w:rPr>
        <w:t xml:space="preserve">Serum neutralization of SARS-CoV-2 Omicron sublineages BA.1 and BA.2 in patients receiving monoclonal antibodies</w:t>
      </w:r>
      <w:r w:rsidDel="00000000" w:rsidR="00000000" w:rsidRPr="00000000">
        <w:rPr>
          <w:rFonts w:ascii="ArialMT" w:cs="ArialMT" w:eastAsia="ArialMT" w:hAnsi="ArialMT"/>
          <w:color w:val="000000"/>
          <w:sz w:val="22"/>
          <w:szCs w:val="22"/>
          <w:rtl w:val="0"/>
        </w:rPr>
        <w:t xml:space="preserve">’ Nature Medicine 28(6), pp.1297-1302.</w:t>
      </w:r>
      <w:r w:rsidDel="00000000" w:rsidR="00000000" w:rsidRPr="00000000">
        <w:rPr>
          <w:rtl w:val="0"/>
        </w:rPr>
      </w:r>
    </w:p>
    <w:p w:rsidR="00000000" w:rsidDel="00000000" w:rsidP="00000000" w:rsidRDefault="00000000" w:rsidRPr="00000000" w14:paraId="00000017">
      <w:pPr>
        <w:spacing w:after="280" w:before="280" w:lineRule="auto"/>
        <w:rPr>
          <w:rFonts w:ascii="Calibri" w:cs="Calibri" w:eastAsia="Calibri" w:hAnsi="Calibri"/>
          <w:color w:val="000000"/>
          <w:sz w:val="21"/>
          <w:szCs w:val="21"/>
        </w:rPr>
      </w:pPr>
      <w:r w:rsidDel="00000000" w:rsidR="00000000" w:rsidRPr="00000000">
        <w:rPr>
          <w:rFonts w:ascii="ArialMT" w:cs="ArialMT" w:eastAsia="ArialMT" w:hAnsi="ArialMT"/>
          <w:color w:val="000000"/>
          <w:sz w:val="22"/>
          <w:szCs w:val="22"/>
          <w:rtl w:val="0"/>
        </w:rPr>
        <w:t xml:space="preserve">*Kaminski, H., et al. (2022) ‘</w:t>
      </w:r>
      <w:r w:rsidDel="00000000" w:rsidR="00000000" w:rsidRPr="00000000">
        <w:rPr>
          <w:rFonts w:ascii="ArialMT" w:cs="ArialMT" w:eastAsia="ArialMT" w:hAnsi="ArialMT"/>
          <w:color w:val="1155cc"/>
          <w:sz w:val="22"/>
          <w:szCs w:val="22"/>
          <w:rtl w:val="0"/>
        </w:rPr>
        <w:t xml:space="preserve">COVID-19 morbidity decreases with tixagevimab-cilgavimab preexposure prophylaxis in kidney transplant recipient nonresponders/low-vaccine responders</w:t>
      </w:r>
      <w:r w:rsidDel="00000000" w:rsidR="00000000" w:rsidRPr="00000000">
        <w:rPr>
          <w:rFonts w:ascii="ArialMT" w:cs="ArialMT" w:eastAsia="ArialMT" w:hAnsi="ArialMT"/>
          <w:color w:val="000000"/>
          <w:sz w:val="22"/>
          <w:szCs w:val="22"/>
          <w:rtl w:val="0"/>
        </w:rPr>
        <w:t xml:space="preserve">’ Kidney Int. in press.</w:t>
      </w:r>
      <w:r w:rsidDel="00000000" w:rsidR="00000000" w:rsidRPr="00000000">
        <w:rPr>
          <w:rtl w:val="0"/>
        </w:rPr>
      </w:r>
    </w:p>
    <w:p w:rsidR="00000000" w:rsidDel="00000000" w:rsidP="00000000" w:rsidRDefault="00000000" w:rsidRPr="00000000" w14:paraId="00000018">
      <w:pPr>
        <w:spacing w:after="280" w:before="280" w:lineRule="auto"/>
        <w:rPr>
          <w:rFonts w:ascii="Calibri" w:cs="Calibri" w:eastAsia="Calibri" w:hAnsi="Calibri"/>
          <w:color w:val="000000"/>
          <w:sz w:val="21"/>
          <w:szCs w:val="21"/>
        </w:rPr>
      </w:pPr>
      <w:r w:rsidDel="00000000" w:rsidR="00000000" w:rsidRPr="00000000">
        <w:rPr>
          <w:rFonts w:ascii="ArialMT" w:cs="ArialMT" w:eastAsia="ArialMT" w:hAnsi="ArialMT"/>
          <w:color w:val="000000"/>
          <w:sz w:val="22"/>
          <w:szCs w:val="22"/>
          <w:rtl w:val="0"/>
        </w:rPr>
        <w:t xml:space="preserve">*Kertes, J., et al. (2022) ‘</w:t>
      </w:r>
      <w:r w:rsidDel="00000000" w:rsidR="00000000" w:rsidRPr="00000000">
        <w:rPr>
          <w:rFonts w:ascii="ArialMT" w:cs="ArialMT" w:eastAsia="ArialMT" w:hAnsi="ArialMT"/>
          <w:color w:val="1155cc"/>
          <w:sz w:val="22"/>
          <w:szCs w:val="22"/>
          <w:rtl w:val="0"/>
        </w:rPr>
        <w:t xml:space="preserve">Association between AZD7442 (tixagevimab-cilgavimab) administration of SARS-CoV-2 infection, hospitalization and mortality</w:t>
      </w:r>
      <w:r w:rsidDel="00000000" w:rsidR="00000000" w:rsidRPr="00000000">
        <w:rPr>
          <w:rFonts w:ascii="ArialMT" w:cs="ArialMT" w:eastAsia="ArialMT" w:hAnsi="ArialMT"/>
          <w:color w:val="000000"/>
          <w:sz w:val="22"/>
          <w:szCs w:val="22"/>
          <w:rtl w:val="0"/>
        </w:rPr>
        <w:t xml:space="preserve">’ Clinical Infectious Diseases. in press.</w:t>
      </w:r>
      <w:r w:rsidDel="00000000" w:rsidR="00000000" w:rsidRPr="00000000">
        <w:rPr>
          <w:rtl w:val="0"/>
        </w:rPr>
      </w:r>
    </w:p>
    <w:p w:rsidR="00000000" w:rsidDel="00000000" w:rsidP="00000000" w:rsidRDefault="00000000" w:rsidRPr="00000000" w14:paraId="00000019">
      <w:pPr>
        <w:spacing w:after="280" w:before="280" w:lineRule="auto"/>
        <w:rPr>
          <w:rFonts w:ascii="Calibri" w:cs="Calibri" w:eastAsia="Calibri" w:hAnsi="Calibri"/>
          <w:color w:val="000000"/>
          <w:sz w:val="21"/>
          <w:szCs w:val="21"/>
        </w:rPr>
      </w:pPr>
      <w:r w:rsidDel="00000000" w:rsidR="00000000" w:rsidRPr="00000000">
        <w:rPr>
          <w:rFonts w:ascii="ArialMT" w:cs="ArialMT" w:eastAsia="ArialMT" w:hAnsi="ArialMT"/>
          <w:color w:val="000000"/>
          <w:sz w:val="22"/>
          <w:szCs w:val="22"/>
          <w:rtl w:val="0"/>
        </w:rPr>
        <w:t xml:space="preserve">Levin, M, J., et al. (2022) ‘</w:t>
      </w:r>
      <w:r w:rsidDel="00000000" w:rsidR="00000000" w:rsidRPr="00000000">
        <w:rPr>
          <w:rFonts w:ascii="ArialMT" w:cs="ArialMT" w:eastAsia="ArialMT" w:hAnsi="ArialMT"/>
          <w:color w:val="1155cc"/>
          <w:sz w:val="22"/>
          <w:szCs w:val="22"/>
          <w:rtl w:val="0"/>
        </w:rPr>
        <w:t xml:space="preserve">Intramuscular AZD7442 (Tixagevimab-Cilgavimab) for Prevention of Covid-19</w:t>
      </w:r>
      <w:r w:rsidDel="00000000" w:rsidR="00000000" w:rsidRPr="00000000">
        <w:rPr>
          <w:rFonts w:ascii="ArialMT" w:cs="ArialMT" w:eastAsia="ArialMT" w:hAnsi="ArialMT"/>
          <w:color w:val="000000"/>
          <w:sz w:val="22"/>
          <w:szCs w:val="22"/>
          <w:rtl w:val="0"/>
        </w:rPr>
        <w:t xml:space="preserve">’ The New England Journal of Medicine 386, pp.2188-2200.</w:t>
      </w:r>
      <w:r w:rsidDel="00000000" w:rsidR="00000000" w:rsidRPr="00000000">
        <w:rPr>
          <w:rtl w:val="0"/>
        </w:rPr>
      </w:r>
    </w:p>
    <w:p w:rsidR="00000000" w:rsidDel="00000000" w:rsidP="00000000" w:rsidRDefault="00000000" w:rsidRPr="00000000" w14:paraId="0000001A">
      <w:pPr>
        <w:spacing w:after="280" w:before="280" w:lineRule="auto"/>
        <w:rPr>
          <w:rFonts w:ascii="Calibri" w:cs="Calibri" w:eastAsia="Calibri" w:hAnsi="Calibri"/>
          <w:color w:val="000000"/>
          <w:sz w:val="21"/>
          <w:szCs w:val="21"/>
        </w:rPr>
      </w:pPr>
      <w:r w:rsidDel="00000000" w:rsidR="00000000" w:rsidRPr="00000000">
        <w:rPr>
          <w:rFonts w:ascii="ArialMT" w:cs="ArialMT" w:eastAsia="ArialMT" w:hAnsi="ArialMT"/>
          <w:color w:val="000000"/>
          <w:sz w:val="22"/>
          <w:szCs w:val="22"/>
          <w:rtl w:val="0"/>
        </w:rPr>
        <w:t xml:space="preserve">Nguyen, Y., et al. (2022) ‘</w:t>
      </w:r>
      <w:r w:rsidDel="00000000" w:rsidR="00000000" w:rsidRPr="00000000">
        <w:rPr>
          <w:rFonts w:ascii="ArialMT" w:cs="ArialMT" w:eastAsia="ArialMT" w:hAnsi="ArialMT"/>
          <w:color w:val="1155cc"/>
          <w:sz w:val="22"/>
          <w:szCs w:val="22"/>
          <w:rtl w:val="0"/>
        </w:rPr>
        <w:t xml:space="preserve">Pre-exposure prophylaxis with tixagevimab and cilgavimab (Evusheld) for COVID-19 among 1112 severely immunocompromised patients</w:t>
      </w:r>
      <w:r w:rsidDel="00000000" w:rsidR="00000000" w:rsidRPr="00000000">
        <w:rPr>
          <w:rFonts w:ascii="ArialMT" w:cs="ArialMT" w:eastAsia="ArialMT" w:hAnsi="ArialMT"/>
          <w:color w:val="000000"/>
          <w:sz w:val="22"/>
          <w:szCs w:val="22"/>
          <w:rtl w:val="0"/>
        </w:rPr>
        <w:t xml:space="preserve">’ Clinical Microbiology and Infection. in press.</w:t>
      </w:r>
      <w:r w:rsidDel="00000000" w:rsidR="00000000" w:rsidRPr="00000000">
        <w:rPr>
          <w:rtl w:val="0"/>
        </w:rPr>
      </w:r>
    </w:p>
    <w:p w:rsidR="00000000" w:rsidDel="00000000" w:rsidP="00000000" w:rsidRDefault="00000000" w:rsidRPr="00000000" w14:paraId="0000001B">
      <w:pPr>
        <w:spacing w:after="280" w:before="280" w:lineRule="auto"/>
        <w:rPr>
          <w:rFonts w:ascii="Calibri" w:cs="Calibri" w:eastAsia="Calibri" w:hAnsi="Calibri"/>
          <w:color w:val="000000"/>
          <w:sz w:val="21"/>
          <w:szCs w:val="21"/>
        </w:rPr>
      </w:pPr>
      <w:r w:rsidDel="00000000" w:rsidR="00000000" w:rsidRPr="00000000">
        <w:rPr>
          <w:rFonts w:ascii="ArialMT" w:cs="ArialMT" w:eastAsia="ArialMT" w:hAnsi="ArialMT"/>
          <w:color w:val="000000"/>
          <w:sz w:val="22"/>
          <w:szCs w:val="22"/>
          <w:rtl w:val="0"/>
        </w:rPr>
        <w:t xml:space="preserve">*Young-Xu, Y., et al. (forthcoming) ‘</w:t>
      </w:r>
      <w:r w:rsidDel="00000000" w:rsidR="00000000" w:rsidRPr="00000000">
        <w:rPr>
          <w:rFonts w:ascii="ArialMT" w:cs="ArialMT" w:eastAsia="ArialMT" w:hAnsi="ArialMT"/>
          <w:color w:val="1155cc"/>
          <w:sz w:val="22"/>
          <w:szCs w:val="22"/>
          <w:rtl w:val="0"/>
        </w:rPr>
        <w:t xml:space="preserve">Tixagevimab/Cilgavimab for Prevention of COVID-19 during the Omicron Surge: Retrospective Analysis of National VA Electronic Data</w:t>
      </w:r>
      <w:r w:rsidDel="00000000" w:rsidR="00000000" w:rsidRPr="00000000">
        <w:rPr>
          <w:rFonts w:ascii="ArialMT" w:cs="ArialMT" w:eastAsia="ArialMT" w:hAnsi="ArialMT"/>
          <w:color w:val="000000"/>
          <w:sz w:val="22"/>
          <w:szCs w:val="22"/>
          <w:rtl w:val="0"/>
        </w:rPr>
        <w:t xml:space="preserve">’ medRxiv.</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rialM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2D4E28"/>
    <w:rPr>
      <w:color w:val="0000ff"/>
      <w:u w:val="single"/>
    </w:rPr>
  </w:style>
  <w:style w:type="character" w:styleId="apple-converted-space" w:customStyle="1">
    <w:name w:val="apple-converted-space"/>
    <w:basedOn w:val="DefaultParagraphFont"/>
    <w:rsid w:val="002D4E2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cademic.oup.com/cid/advance-article/doi/10.1093/cid/ciac625/6651663" TargetMode="External"/><Relationship Id="rId8" Type="http://schemas.openxmlformats.org/officeDocument/2006/relationships/hyperlink" Target="https://www.gov.uk/government/publications/higher-risk-patients-eligible-for-covid-19-treatments-independent-advisory-group-report/defining-the-highest-risk-clinical-subgroups-upon-community-infection-with-sars-cov-2-when-considering-the-use-of-neutralising-monoclonal-antibod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WADnW3gtO0N7umbM4tccqlRHig==">AMUW2mUekV3lt6v2WmruSW2wLyvyxEjd/8boZy91E9e5HXw8621TYpGbaMzESQN/PiVG0rl10RFFrtyZ1TifjtLX3DauwW2Q+mFzGioJ+J7M+sImMs9nIXY=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2022-09-15T18:33:00Z</dcterms:created>
  <dc:creator>Nikola Brigden</dc:creator>
</cp:coreProperties>
</file>