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280" w:before="280"/>
      </w:pPr>
      <w:r>
        <w:rPr>
          <w:rFonts w:ascii="Arial" w:cs="Arial" w:hAnsi="Arial"/>
          <w:color w:val="000000"/>
          <w:sz w:val="20"/>
          <w:szCs w:val="20"/>
          <w:lang w:val="en-GB"/>
        </w:rPr>
        <w:t xml:space="preserve">A main concern for clinicians prior to applying a topical agent on an open wound is safety. Agents that are cytotoxic or cause delay in </w:t>
      </w:r>
      <w:r>
        <w:rPr>
          <w:rFonts w:ascii="Arial" w:cs="Arial" w:hAnsi="Arial"/>
          <w:color w:val="000000"/>
          <w:sz w:val="20"/>
          <w:szCs w:val="20"/>
          <w:vertAlign w:val="superscript"/>
          <w:lang w:val="en-GB"/>
        </w:rPr>
        <w:t>wound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healing are used with reservation. The strongest argument against the use of antiseptics on wounds is that antiseptics have been found, primarily using </w:t>
      </w:r>
      <w:r>
        <w:rPr>
          <w:rFonts w:ascii="Arial" w:cs="Arial" w:hAnsi="Arial"/>
          <w:i/>
          <w:iCs/>
          <w:color w:val="000000"/>
          <w:sz w:val="20"/>
          <w:szCs w:val="20"/>
          <w:shd w:fill="FFCC00" w:val="clear"/>
          <w:lang w:val="en-GB"/>
        </w:rPr>
        <w:t>in-vitro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models, to be cytotoxic to cells essential to the wound healing </w:t>
      </w:r>
      <w:r>
        <w:rPr>
          <w:rFonts w:ascii="Arial" w:cs="Arial" w:hAnsi="Arial"/>
          <w:color w:val="000000"/>
          <w:sz w:val="20"/>
          <w:szCs w:val="20"/>
          <w:vertAlign w:val="subscript"/>
          <w:lang w:val="en-GB"/>
        </w:rPr>
        <w:t>process</w:t>
      </w:r>
      <w:r>
        <w:rPr>
          <w:rFonts w:ascii="Arial" w:cs="Arial" w:hAnsi="Arial"/>
          <w:color w:val="000000"/>
          <w:sz w:val="20"/>
          <w:szCs w:val="20"/>
          <w:lang w:val="en-GB"/>
        </w:rPr>
        <w:t>, such as fibroblasts, keratinocytes, and leukocytes.</w:t>
      </w:r>
      <w:r>
        <w:rPr>
          <w:rFonts w:ascii="Arial" w:cs="Arial" w:hAnsi="Arial"/>
          <w:color w:val="000000"/>
          <w:sz w:val="17"/>
          <w:szCs w:val="17"/>
          <w:vertAlign w:val="superscript"/>
          <w:lang w:val="en-GB"/>
        </w:rPr>
        <w:t>[29-31]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However, this cytotoxicity appears to be concentration dependent, as several antiseptics in low concentrations are not cytotoxic, although they retain their antibacterial activity </w:t>
      </w:r>
      <w:r>
        <w:rPr>
          <w:rFonts w:ascii="Arial" w:cs="Arial" w:hAnsi="Arial"/>
          <w:i/>
          <w:iCs/>
          <w:color w:val="000000"/>
          <w:sz w:val="20"/>
          <w:szCs w:val="20"/>
          <w:shd w:fill="FFCC00" w:val="clear"/>
          <w:lang w:val="en-GB"/>
        </w:rPr>
        <w:t>in vitro.</w:t>
      </w:r>
      <w:r>
        <w:rPr>
          <w:rFonts w:ascii="Arial" w:cs="Arial" w:hAnsi="Arial"/>
          <w:color w:val="000000"/>
          <w:sz w:val="17"/>
          <w:szCs w:val="17"/>
          <w:vertAlign w:val="superscript"/>
          <w:lang w:val="en-GB"/>
        </w:rPr>
        <w:t>[27]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Since the </w:t>
      </w:r>
      <w:r>
        <w:rPr>
          <w:rFonts w:ascii="Arial" w:cs="Arial" w:hAnsi="Arial"/>
          <w:i/>
          <w:iCs/>
          <w:color w:val="000000"/>
          <w:sz w:val="20"/>
          <w:szCs w:val="20"/>
          <w:shd w:fill="FFCC00" w:val="clear"/>
          <w:lang w:val="en-GB"/>
        </w:rPr>
        <w:t>in-vitro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results are not always predictive of what may happen </w:t>
      </w:r>
      <w:r>
        <w:rPr>
          <w:rFonts w:ascii="Arial" w:cs="Arial" w:hAnsi="Arial"/>
          <w:i/>
          <w:iCs/>
          <w:color w:val="000000"/>
          <w:sz w:val="20"/>
          <w:szCs w:val="20"/>
          <w:shd w:fill="FFCC00" w:val="clear"/>
          <w:lang w:val="en-GB"/>
        </w:rPr>
        <w:t>in vivo,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 numerous studies have been conducted on animal and human models. The results of these studies are conflicting and will be presented later in the article.</w:t>
      </w:r>
    </w:p>
    <w:p>
      <w:pPr>
        <w:pStyle w:val="style21"/>
        <w:spacing w:after="280" w:before="280"/>
      </w:pPr>
      <w:r>
        <w:rPr>
          <w:rFonts w:ascii="Arial" w:cs="Arial" w:hAnsi="Arial"/>
          <w:b/>
          <w:bCs/>
          <w:color w:val="000000"/>
          <w:sz w:val="20"/>
          <w:szCs w:val="20"/>
          <w:vertAlign w:val="superscript"/>
          <w:lang w:val="en-GB"/>
        </w:rPr>
        <w:t>Results</w:t>
      </w:r>
      <w:r>
        <w:rPr>
          <w:rFonts w:ascii="Arial" w:cs="Arial" w:hAnsi="Arial"/>
          <w:color w:val="000000"/>
          <w:sz w:val="20"/>
          <w:szCs w:val="20"/>
          <w:vertAlign w:val="superscript"/>
          <w:lang w:val="en-GB"/>
        </w:rPr>
        <w:t xml:space="preserve"> </w:t>
      </w:r>
      <w:r>
        <w:rPr>
          <w:rFonts w:ascii="Arial" w:cs="Arial" w:hAnsi="Arial"/>
          <w:i/>
          <w:iCs/>
          <w:color w:val="000000"/>
          <w:sz w:val="20"/>
          <w:szCs w:val="20"/>
          <w:vertAlign w:val="superscript"/>
          <w:lang w:val="en-GB"/>
        </w:rPr>
        <w:t>of</w:t>
      </w:r>
      <w:r>
        <w:rPr>
          <w:rFonts w:ascii="Arial" w:cs="Arial" w:hAnsi="Arial"/>
          <w:color w:val="000000"/>
          <w:sz w:val="20"/>
          <w:szCs w:val="20"/>
          <w:vertAlign w:val="superscript"/>
          <w:lang w:val="en-GB"/>
        </w:rPr>
        <w:t xml:space="preserve"> </w:t>
      </w:r>
      <w:r>
        <w:rPr>
          <w:rFonts w:ascii="Arial" w:cs="Arial" w:hAnsi="Arial"/>
          <w:b/>
          <w:bCs/>
          <w:i/>
          <w:iCs/>
          <w:color w:val="000000"/>
          <w:sz w:val="20"/>
          <w:szCs w:val="20"/>
          <w:vertAlign w:val="superscript"/>
          <w:lang w:val="en-GB"/>
        </w:rPr>
        <w:t>these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Default Style"/>
    <w:next w:val="style20"/>
    <w:pPr>
      <w:widowControl/>
      <w:tabs>
        <w:tab w:leader="none" w:pos="709" w:val="left"/>
      </w:tabs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zh-CN" w:val="es-ES"/>
    </w:rPr>
  </w:style>
  <w:style w:styleId="style21" w:type="paragraph">
    <w:name w:val="Normal (Web)"/>
    <w:basedOn w:val="style20"/>
    <w:next w:val="style21"/>
    <w:pPr>
      <w:spacing w:after="280" w:before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2013-10-31T14:45:17.00Z</dcterms:created>
  <dc:creator>jos </dc:creator>
  <cp:revision>0</cp:revision>
</cp:coreProperties>
</file>