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after="280" w:before="280"/>
      </w:pPr>
      <w:r>
        <w:rPr>
          <w:rFonts w:ascii="Arial" w:cs="Arial" w:hAnsi="Arial"/>
          <w:color w:val="000000"/>
          <w:sz w:val="20"/>
          <w:szCs w:val="20"/>
          <w:lang w:val="en-GB"/>
        </w:rPr>
        <w:t xml:space="preserve">A main concern for clinicians prior to applying a topical agent on an open wound is safety. Agents that are cytotoxic or cause delay in wound healing are used with reservation. The strongest argument against the use of antiseptics on wounds is that antiseptics have been found, primarily using </w:t>
      </w:r>
      <w:r>
        <w:rPr>
          <w:rFonts w:ascii="Arial" w:cs="Arial" w:hAnsi="Arial"/>
          <w:i/>
          <w:iCs/>
          <w:color w:val="000000"/>
          <w:sz w:val="20"/>
          <w:szCs w:val="20"/>
          <w:shd w:fill="FFCC00" w:val="clear"/>
          <w:lang w:val="en-GB"/>
        </w:rPr>
        <w:t>in-vitro</w:t>
      </w:r>
      <w:r>
        <w:rPr>
          <w:rFonts w:ascii="Arial" w:cs="Arial" w:hAnsi="Arial"/>
          <w:color w:val="000000"/>
          <w:sz w:val="20"/>
          <w:szCs w:val="20"/>
          <w:lang w:val="en-GB"/>
        </w:rPr>
        <w:t xml:space="preserve"> models, to be cytotoxic to cells essential to the wound healing process, such as fibroblasts, keratinocytes, and leukocytes.</w:t>
      </w:r>
      <w:r>
        <w:rPr>
          <w:rFonts w:ascii="Arial" w:cs="Arial" w:hAnsi="Arial"/>
          <w:color w:val="000000"/>
          <w:sz w:val="17"/>
          <w:szCs w:val="17"/>
          <w:vertAlign w:val="superscript"/>
          <w:lang w:val="en-GB"/>
        </w:rPr>
        <w:t>[29-31]</w:t>
      </w:r>
      <w:r>
        <w:rPr>
          <w:rFonts w:ascii="Arial" w:cs="Arial" w:hAnsi="Arial"/>
          <w:color w:val="000000"/>
          <w:sz w:val="20"/>
          <w:szCs w:val="20"/>
          <w:lang w:val="en-GB"/>
        </w:rPr>
        <w:t xml:space="preserve"> However, this cytotoxicity appears to be concentration dependent, as several antiseptics in low concentrations are not cytotoxic, although they retain their antibacterial activity </w:t>
      </w:r>
      <w:r>
        <w:rPr>
          <w:rFonts w:ascii="Arial" w:cs="Arial" w:hAnsi="Arial"/>
          <w:i/>
          <w:iCs/>
          <w:color w:val="000000"/>
          <w:sz w:val="20"/>
          <w:szCs w:val="20"/>
          <w:shd w:fill="FFCC00" w:val="clear"/>
          <w:lang w:val="en-GB"/>
        </w:rPr>
        <w:t>in vitro.</w:t>
      </w:r>
      <w:r>
        <w:rPr>
          <w:rFonts w:ascii="Arial" w:cs="Arial" w:hAnsi="Arial"/>
          <w:color w:val="000000"/>
          <w:sz w:val="17"/>
          <w:szCs w:val="17"/>
          <w:vertAlign w:val="superscript"/>
          <w:lang w:val="en-GB"/>
        </w:rPr>
        <w:t>[27]</w:t>
      </w:r>
      <w:r>
        <w:rPr>
          <w:rFonts w:ascii="Arial" w:cs="Arial" w:hAnsi="Arial"/>
          <w:color w:val="000000"/>
          <w:sz w:val="20"/>
          <w:szCs w:val="20"/>
          <w:lang w:val="en-GB"/>
        </w:rPr>
        <w:t xml:space="preserve"> Since the </w:t>
      </w:r>
      <w:r>
        <w:rPr>
          <w:rFonts w:ascii="Arial" w:cs="Arial" w:hAnsi="Arial"/>
          <w:i/>
          <w:iCs/>
          <w:color w:val="000000"/>
          <w:sz w:val="20"/>
          <w:szCs w:val="20"/>
          <w:shd w:fill="FFCC00" w:val="clear"/>
          <w:lang w:val="en-GB"/>
        </w:rPr>
        <w:t>in-vitro</w:t>
      </w:r>
      <w:r>
        <w:rPr>
          <w:rFonts w:ascii="Arial" w:cs="Arial" w:hAnsi="Arial"/>
          <w:color w:val="000000"/>
          <w:sz w:val="20"/>
          <w:szCs w:val="20"/>
          <w:lang w:val="en-GB"/>
        </w:rPr>
        <w:t xml:space="preserve"> results are not always predictive of what may happen </w:t>
      </w:r>
      <w:r>
        <w:rPr>
          <w:rFonts w:ascii="Arial" w:cs="Arial" w:hAnsi="Arial"/>
          <w:i/>
          <w:iCs/>
          <w:color w:val="000000"/>
          <w:sz w:val="20"/>
          <w:szCs w:val="20"/>
          <w:shd w:fill="FFCC00" w:val="clear"/>
          <w:lang w:val="en-GB"/>
        </w:rPr>
        <w:t>in vivo,</w:t>
      </w:r>
      <w:r>
        <w:rPr>
          <w:rFonts w:ascii="Arial" w:cs="Arial" w:hAnsi="Arial"/>
          <w:color w:val="000000"/>
          <w:sz w:val="20"/>
          <w:szCs w:val="20"/>
          <w:lang w:val="en-GB"/>
        </w:rPr>
        <w:t xml:space="preserve"> numerous studies have been conducted on animal and human models. The results of these studies are conflicting and will be presented later in the article.</w:t>
      </w:r>
    </w:p>
    <w:p>
      <w:pPr>
        <w:pStyle w:val="style23"/>
      </w:pPr>
      <w:r>
        <w:rPr>
          <w:rFonts w:ascii="Arial" w:cs="Arial" w:hAnsi="Arial"/>
          <w:b/>
          <w:bCs/>
          <w:color w:val="000000"/>
          <w:sz w:val="20"/>
          <w:szCs w:val="20"/>
          <w:lang w:val="en-GB"/>
        </w:rPr>
        <w:t>Cadexomer iodine.</w:t>
      </w:r>
      <w:r>
        <w:rPr>
          <w:rFonts w:ascii="Arial" w:cs="Arial" w:hAnsi="Arial"/>
          <w:color w:val="000000"/>
          <w:sz w:val="20"/>
          <w:szCs w:val="20"/>
          <w:lang w:val="en-GB"/>
        </w:rPr>
        <w:t xml:space="preserve"> The efficacy of cadexomer iodine has been shown in both animal and human models (</w:t>
      </w:r>
      <w:hyperlink r:id="rId2">
        <w:r>
          <w:rPr>
            <w:rStyle w:val="style16"/>
            <w:rStyle w:val="style16"/>
            <w:rFonts w:ascii="Arial" w:cs="Arial" w:hAnsi="Arial"/>
            <w:sz w:val="20"/>
            <w:szCs w:val="20"/>
            <w:lang w:val="en-GB"/>
          </w:rPr>
          <w:t>Table 2</w:t>
        </w:r>
      </w:hyperlink>
      <w:r>
        <w:rPr>
          <w:rFonts w:ascii="Arial" w:cs="Arial" w:hAnsi="Arial"/>
          <w:color w:val="000000"/>
          <w:sz w:val="20"/>
          <w:szCs w:val="20"/>
          <w:lang w:val="en-GB"/>
        </w:rPr>
        <w:t>). Mertz, et al.,</w:t>
      </w:r>
      <w:r>
        <w:rPr>
          <w:rFonts w:ascii="Arial" w:cs="Arial" w:hAnsi="Arial"/>
          <w:color w:val="000000"/>
          <w:sz w:val="17"/>
          <w:szCs w:val="17"/>
          <w:vertAlign w:val="superscript"/>
          <w:lang w:val="en-GB"/>
        </w:rPr>
        <w:t>[48]</w:t>
      </w:r>
      <w:r>
        <w:rPr>
          <w:rFonts w:ascii="Arial" w:cs="Arial" w:hAnsi="Arial"/>
          <w:color w:val="000000"/>
          <w:sz w:val="20"/>
          <w:szCs w:val="20"/>
          <w:lang w:val="en-GB"/>
        </w:rPr>
        <w:t xml:space="preserve"> examined the effect of cadexomer iodine dressing on partial-thickness wounds in specific pathogen-free pigs contaminated with or without methicillin-resistant </w:t>
      </w:r>
      <w:r>
        <w:rPr>
          <w:rFonts w:ascii="Arial" w:cs="Arial" w:hAnsi="Arial"/>
          <w:i/>
          <w:iCs/>
          <w:color w:val="000000"/>
          <w:sz w:val="20"/>
          <w:szCs w:val="20"/>
          <w:shd w:fill="FFCC00" w:val="clear"/>
          <w:lang w:val="en-GB"/>
        </w:rPr>
        <w:t>Staphylococcus aureus</w:t>
      </w:r>
      <w:r>
        <w:rPr>
          <w:rFonts w:ascii="Arial" w:cs="Arial" w:hAnsi="Arial"/>
          <w:color w:val="000000"/>
          <w:sz w:val="20"/>
          <w:szCs w:val="20"/>
          <w:lang w:val="en-GB"/>
        </w:rPr>
        <w:t xml:space="preserve"> (MRSA). Applied daily, cadexomer iodine was found to significantly reduce MRSA and total bacteria in the wounds in comparison to no treatment control and vehicle (cadexomer) at all time points studied (1, 2, and 3 days after inoculation). The reduction was most pronounced at day 3.</w:t>
      </w:r>
    </w:p>
    <w:p>
      <w:pPr>
        <w:pStyle w:val="style23"/>
      </w:pPr>
      <w:r>
        <w:rPr>
          <w:rFonts w:ascii="Arial" w:cs="Arial" w:hAnsi="Arial"/>
          <w:color w:val="000000"/>
          <w:sz w:val="20"/>
          <w:szCs w:val="20"/>
          <w:lang w:val="en-GB"/>
        </w:rPr>
        <w:t>In an uncontrolled small study series (</w:t>
      </w:r>
      <w:r>
        <w:rPr>
          <w:rFonts w:ascii="Arial" w:cs="Arial" w:hAnsi="Arial"/>
          <w:i/>
          <w:iCs/>
          <w:color w:val="000000"/>
          <w:sz w:val="20"/>
          <w:szCs w:val="20"/>
          <w:shd w:fill="FFCC00" w:val="clear"/>
          <w:lang w:val="en-GB"/>
        </w:rPr>
        <w:t>n</w:t>
      </w:r>
      <w:r>
        <w:rPr>
          <w:rFonts w:ascii="Arial" w:cs="Arial" w:hAnsi="Arial"/>
          <w:color w:val="000000"/>
          <w:sz w:val="20"/>
          <w:szCs w:val="20"/>
          <w:lang w:val="en-GB"/>
        </w:rPr>
        <w:t xml:space="preserve"> = 19), Danielsen, et al.,</w:t>
      </w:r>
      <w:r>
        <w:rPr>
          <w:rFonts w:ascii="Arial" w:cs="Arial" w:hAnsi="Arial"/>
          <w:color w:val="000000"/>
          <w:sz w:val="17"/>
          <w:szCs w:val="17"/>
          <w:vertAlign w:val="superscript"/>
          <w:lang w:val="en-GB"/>
        </w:rPr>
        <w:t>[49]</w:t>
      </w:r>
      <w:r>
        <w:rPr>
          <w:rFonts w:ascii="Arial" w:cs="Arial" w:hAnsi="Arial"/>
          <w:color w:val="000000"/>
          <w:sz w:val="20"/>
          <w:szCs w:val="20"/>
          <w:lang w:val="en-GB"/>
        </w:rPr>
        <w:t xml:space="preserve"> used cadexomer iodine in ulcers colonized with </w:t>
      </w:r>
      <w:r>
        <w:rPr>
          <w:rFonts w:ascii="Arial" w:cs="Arial" w:hAnsi="Arial"/>
          <w:i/>
          <w:iCs/>
          <w:color w:val="000000"/>
          <w:sz w:val="20"/>
          <w:szCs w:val="20"/>
          <w:shd w:fill="FFCC00" w:val="clear"/>
          <w:lang w:val="en-GB"/>
        </w:rPr>
        <w:t>Pseudomonas aeruginosa</w:t>
      </w:r>
      <w:r>
        <w:rPr>
          <w:rFonts w:ascii="Arial" w:cs="Arial" w:hAnsi="Arial"/>
          <w:color w:val="000000"/>
          <w:sz w:val="20"/>
          <w:szCs w:val="20"/>
          <w:lang w:val="en-GB"/>
        </w:rPr>
        <w:t xml:space="preserve"> and found negative cultures in 65 percent and 75 percent of patients after 1 and 12 weeks of treatment, respectively.</w:t>
      </w:r>
    </w:p>
    <w:p>
      <w:pPr>
        <w:pStyle w:val="style3"/>
        <w:numPr>
          <w:ilvl w:val="2"/>
          <w:numId w:val="2"/>
        </w:numPr>
      </w:pPr>
      <w:r>
        <w:rPr/>
        <w:t>Table 3. Hydrogen peroxide</w:t>
      </w:r>
    </w:p>
    <w:p>
      <w:pPr>
        <w:pStyle w:val="style22"/>
      </w:pPr>
      <w:r>
        <w:rPr/>
      </w:r>
    </w:p>
    <w:tbl>
      <w:tblPr>
        <w:jc w:val="center"/>
        <w:tblBorders>
          <w:top w:color="C0C0C0" w:space="0" w:sz="6" w:val="thickThinLargeGap"/>
          <w:start w:color="C0C0C0" w:space="0" w:sz="6" w:val="thickThinLargeGap"/>
          <w:bottom w:color="C0C0C0" w:space="0" w:sz="6" w:val="thickThinLargeGap"/>
          <w:end w:color="C0C0C0" w:space="0" w:sz="6" w:val="single"/>
        </w:tblBorders>
      </w:tblPr>
      <w:tblGrid>
        <w:gridCol w:w="887"/>
        <w:gridCol w:w="1468"/>
        <w:gridCol w:w="890"/>
        <w:gridCol w:w="1056"/>
        <w:gridCol w:w="1269"/>
        <w:gridCol w:w="1679"/>
        <w:gridCol w:w="1126"/>
      </w:tblGrid>
      <w:tr>
        <w:trPr>
          <w:cantSplit w:val="false"/>
        </w:trPr>
        <w:tc>
          <w:tcPr>
            <w:tcW w:type="dxa" w:w="887"/>
            <w:tcBorders>
              <w:top w:color="C0C0C0" w:space="0" w:sz="6" w:val="thickThinLargeGap"/>
              <w:start w:color="C0C0C0" w:space="0" w:sz="6" w:val="thickThinLargeGap"/>
              <w:bottom w:color="C0C0C0" w:space="0" w:sz="6" w:val="thickThinLargeGap"/>
              <w:end w:color="C0C0C0" w:space="0" w:sz="6" w:val="single"/>
            </w:tcBorders>
            <w:shd w:fill="FFFFFF" w:val="clear"/>
            <w:tcMar>
              <w:top w:type="dxa" w:w="45"/>
              <w:start w:type="dxa" w:w="15"/>
              <w:bottom w:type="dxa" w:w="45"/>
              <w:end w:type="dxa" w:w="45"/>
            </w:tcMar>
            <w:vAlign w:val="bottom"/>
          </w:tcPr>
          <w:p>
            <w:pPr>
              <w:pStyle w:val="style22"/>
            </w:pPr>
            <w:r>
              <w:rPr>
                <w:rFonts w:ascii="Arial" w:cs="Arial" w:hAnsi="Arial"/>
                <w:b/>
                <w:bCs/>
                <w:color w:val="000000"/>
                <w:sz w:val="20"/>
                <w:szCs w:val="20"/>
              </w:rPr>
              <w:t>Author</w:t>
            </w:r>
          </w:p>
        </w:tc>
        <w:tc>
          <w:tcPr>
            <w:tcW w:type="dxa" w:w="1468"/>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vAlign w:val="bottom"/>
          </w:tcPr>
          <w:p>
            <w:pPr>
              <w:pStyle w:val="style22"/>
              <w:jc w:val="center"/>
            </w:pPr>
            <w:r>
              <w:rPr>
                <w:rFonts w:ascii="Arial" w:cs="Arial" w:hAnsi="Arial"/>
                <w:b/>
                <w:bCs/>
                <w:color w:val="000000"/>
                <w:sz w:val="20"/>
                <w:szCs w:val="20"/>
              </w:rPr>
              <w:t>Wound Type</w:t>
            </w:r>
          </w:p>
        </w:tc>
        <w:tc>
          <w:tcPr>
            <w:tcW w:type="dxa" w:w="890"/>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vAlign w:val="bottom"/>
          </w:tcPr>
          <w:p>
            <w:pPr>
              <w:pStyle w:val="style22"/>
              <w:jc w:val="center"/>
            </w:pPr>
            <w:r>
              <w:rPr>
                <w:rFonts w:ascii="Arial" w:cs="Arial" w:hAnsi="Arial"/>
                <w:b/>
                <w:bCs/>
                <w:color w:val="000000"/>
                <w:sz w:val="20"/>
                <w:szCs w:val="20"/>
              </w:rPr>
              <w:t>Species</w:t>
            </w:r>
          </w:p>
        </w:tc>
        <w:tc>
          <w:tcPr>
            <w:tcW w:type="dxa" w:w="105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vAlign w:val="bottom"/>
          </w:tcPr>
          <w:p>
            <w:pPr>
              <w:pStyle w:val="style22"/>
              <w:jc w:val="center"/>
            </w:pPr>
            <w:r>
              <w:rPr>
                <w:rFonts w:ascii="Arial" w:cs="Arial" w:hAnsi="Arial"/>
                <w:b/>
                <w:bCs/>
                <w:color w:val="000000"/>
                <w:sz w:val="20"/>
                <w:szCs w:val="20"/>
              </w:rPr>
              <w:t>Number of Wounds Treated</w:t>
            </w:r>
          </w:p>
        </w:tc>
        <w:tc>
          <w:tcPr>
            <w:tcW w:type="dxa" w:w="126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vAlign w:val="bottom"/>
          </w:tcPr>
          <w:p>
            <w:pPr>
              <w:pStyle w:val="style22"/>
              <w:jc w:val="center"/>
            </w:pPr>
            <w:r>
              <w:rPr>
                <w:rFonts w:ascii="Arial" w:cs="Arial" w:hAnsi="Arial"/>
                <w:b/>
                <w:bCs/>
                <w:color w:val="000000"/>
                <w:sz w:val="20"/>
                <w:szCs w:val="20"/>
              </w:rPr>
              <w:t>Control</w:t>
            </w:r>
          </w:p>
        </w:tc>
        <w:tc>
          <w:tcPr>
            <w:tcW w:type="dxa" w:w="167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vAlign w:val="bottom"/>
          </w:tcPr>
          <w:p>
            <w:pPr>
              <w:pStyle w:val="style22"/>
              <w:jc w:val="center"/>
            </w:pPr>
            <w:r>
              <w:rPr>
                <w:rFonts w:ascii="Arial" w:cs="Arial" w:hAnsi="Arial"/>
                <w:b/>
                <w:bCs/>
                <w:color w:val="000000"/>
                <w:sz w:val="20"/>
                <w:szCs w:val="20"/>
              </w:rPr>
              <w:t>Effect on Healing</w:t>
            </w:r>
          </w:p>
        </w:tc>
        <w:tc>
          <w:tcPr>
            <w:tcW w:type="dxa" w:w="112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vAlign w:val="bottom"/>
          </w:tcPr>
          <w:p>
            <w:pPr>
              <w:pStyle w:val="style22"/>
              <w:jc w:val="center"/>
            </w:pPr>
            <w:r>
              <w:rPr>
                <w:rFonts w:ascii="Arial" w:cs="Arial" w:hAnsi="Arial"/>
                <w:b/>
                <w:bCs/>
                <w:color w:val="000000"/>
                <w:sz w:val="20"/>
                <w:szCs w:val="20"/>
              </w:rPr>
              <w:t>Effect on Infection</w:t>
            </w:r>
          </w:p>
        </w:tc>
      </w:tr>
      <w:tr>
        <w:trPr>
          <w:cantSplit w:val="false"/>
        </w:trPr>
        <w:tc>
          <w:tcPr>
            <w:tcW w:type="dxa" w:w="887"/>
            <w:tcBorders>
              <w:top w:color="C0C0C0" w:space="0" w:sz="6" w:val="thickThinLargeGap"/>
              <w:start w:color="C0C0C0" w:space="0" w:sz="6" w:val="thickThinLargeGap"/>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Bennett, et al.</w:t>
            </w:r>
            <w:r>
              <w:rPr>
                <w:rFonts w:ascii="Arial" w:cs="Arial" w:hAnsi="Arial"/>
                <w:color w:val="000000"/>
                <w:sz w:val="17"/>
                <w:szCs w:val="17"/>
                <w:vertAlign w:val="superscript"/>
              </w:rPr>
              <w:t>[107]</w:t>
            </w:r>
          </w:p>
        </w:tc>
        <w:tc>
          <w:tcPr>
            <w:tcW w:type="dxa" w:w="1468"/>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Partial thickness</w:t>
            </w:r>
          </w:p>
        </w:tc>
        <w:tc>
          <w:tcPr>
            <w:tcW w:type="dxa" w:w="890"/>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Pigs</w:t>
            </w:r>
          </w:p>
        </w:tc>
        <w:tc>
          <w:tcPr>
            <w:tcW w:type="dxa" w:w="105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48 (8 wounds for each group)</w:t>
            </w:r>
          </w:p>
        </w:tc>
        <w:tc>
          <w:tcPr>
            <w:tcW w:type="dxa" w:w="126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Mafenide acetate; sodium hypochlorite; povidone iodine; acetic acid; no treatment</w:t>
            </w:r>
          </w:p>
        </w:tc>
        <w:tc>
          <w:tcPr>
            <w:tcW w:type="dxa" w:w="167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No effect (69% reepithelialization after 4 days vs. 69% for the no treatment group)</w:t>
            </w:r>
          </w:p>
        </w:tc>
        <w:tc>
          <w:tcPr>
            <w:tcW w:type="dxa" w:w="112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Decreased bacterial counts, (&lt;105 vs. &gt;105 at the control group, statistical difference not calculated)</w:t>
            </w:r>
          </w:p>
        </w:tc>
      </w:tr>
      <w:tr>
        <w:trPr>
          <w:cantSplit w:val="true"/>
        </w:trPr>
        <w:tc>
          <w:tcPr>
            <w:tcW w:type="dxa" w:w="887"/>
            <w:vMerge w:val="restart"/>
            <w:tcBorders>
              <w:top w:color="C0C0C0" w:space="0" w:sz="6" w:val="thickThinLargeGap"/>
              <w:start w:color="C0C0C0" w:space="0" w:sz="6" w:val="thickThinLargeGap"/>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Gruber, et al.</w:t>
            </w:r>
            <w:r>
              <w:rPr>
                <w:rFonts w:ascii="Arial" w:cs="Arial" w:hAnsi="Arial"/>
                <w:color w:val="000000"/>
                <w:sz w:val="17"/>
                <w:szCs w:val="17"/>
                <w:vertAlign w:val="superscript"/>
              </w:rPr>
              <w:t>[52]</w:t>
            </w:r>
          </w:p>
        </w:tc>
        <w:tc>
          <w:tcPr>
            <w:tcW w:type="dxa" w:w="1468"/>
            <w:vMerge w:val="restart"/>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Partial and full thickness</w:t>
            </w:r>
          </w:p>
        </w:tc>
        <w:tc>
          <w:tcPr>
            <w:tcW w:type="dxa" w:w="890"/>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Rats</w:t>
            </w:r>
          </w:p>
        </w:tc>
        <w:tc>
          <w:tcPr>
            <w:tcW w:type="dxa" w:w="105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40 (20 for each group)</w:t>
            </w:r>
          </w:p>
        </w:tc>
        <w:tc>
          <w:tcPr>
            <w:tcW w:type="dxa" w:w="1269"/>
            <w:vMerge w:val="restart"/>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Saline</w:t>
            </w:r>
          </w:p>
        </w:tc>
        <w:tc>
          <w:tcPr>
            <w:tcW w:type="dxa" w:w="1679"/>
            <w:vMerge w:val="restart"/>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 xml:space="preserve">Increase (10.2 and 8.4 days mean healing time vs. 12.4 and 9.5 for saline in partial-thickness wounds in rats and humans; 17 vs. 19.5 in full-thickness wounds in rats, </w:t>
            </w:r>
            <w:r>
              <w:rPr>
                <w:rFonts w:ascii="Arial" w:cs="Arial" w:hAnsi="Arial"/>
                <w:i/>
                <w:iCs/>
                <w:color w:val="000000"/>
                <w:sz w:val="20"/>
                <w:szCs w:val="20"/>
                <w:shd w:fill="FFCC00" w:val="clear"/>
              </w:rPr>
              <w:t>p</w:t>
            </w:r>
            <w:r>
              <w:rPr>
                <w:rFonts w:ascii="Arial" w:cs="Arial" w:hAnsi="Arial"/>
                <w:color w:val="000000"/>
                <w:sz w:val="20"/>
                <w:szCs w:val="20"/>
              </w:rPr>
              <w:t xml:space="preserve"> &lt; 0.05 for the animal study, nonsignificant difference for the human study)</w:t>
            </w:r>
          </w:p>
        </w:tc>
        <w:tc>
          <w:tcPr>
            <w:tcW w:type="dxa" w:w="1126"/>
            <w:vMerge w:val="restart"/>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N/A</w:t>
            </w:r>
          </w:p>
        </w:tc>
      </w:tr>
      <w:tr>
        <w:trPr>
          <w:cantSplit w:val="true"/>
        </w:trPr>
        <w:tc>
          <w:tcPr>
            <w:tcW w:type="dxa" w:w="887"/>
            <w:vMerge w:val="continue"/>
            <w:tcBorders>
              <w:top w:color="C0C0C0" w:space="0" w:sz="6" w:val="thickThinLargeGap"/>
              <w:start w:color="C0C0C0" w:space="0" w:sz="6" w:val="thickThinLargeGap"/>
              <w:bottom w:color="C0C0C0" w:space="0" w:sz="6" w:val="thickThinLargeGap"/>
              <w:end w:color="C0C0C0" w:space="0" w:sz="6" w:val="single"/>
            </w:tcBorders>
            <w:shd w:fill="FFFFFF" w:val="clear"/>
            <w:tcMar>
              <w:top w:type="dxa" w:w="45"/>
              <w:start w:type="dxa" w:w="15"/>
              <w:bottom w:type="dxa" w:w="45"/>
              <w:end w:type="dxa" w:w="45"/>
            </w:tcMar>
            <w:vAlign w:val="center"/>
          </w:tcPr>
          <w:p>
            <w:pPr>
              <w:pStyle w:val="style22"/>
            </w:pPr>
            <w:r>
              <w:rPr/>
            </w:r>
          </w:p>
        </w:tc>
        <w:tc>
          <w:tcPr>
            <w:tcW w:type="dxa" w:w="1468"/>
            <w:vMerge w:val="continue"/>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vAlign w:val="center"/>
          </w:tcPr>
          <w:p>
            <w:pPr>
              <w:pStyle w:val="style22"/>
            </w:pPr>
            <w:r>
              <w:rPr/>
            </w:r>
          </w:p>
        </w:tc>
        <w:tc>
          <w:tcPr>
            <w:tcW w:type="dxa" w:w="890"/>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Humans</w:t>
            </w:r>
          </w:p>
        </w:tc>
        <w:tc>
          <w:tcPr>
            <w:tcW w:type="dxa" w:w="105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20 (10 for each group)</w:t>
            </w:r>
          </w:p>
        </w:tc>
        <w:tc>
          <w:tcPr>
            <w:tcW w:type="dxa" w:w="1269"/>
            <w:vMerge w:val="continue"/>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
          </w:p>
        </w:tc>
        <w:tc>
          <w:tcPr>
            <w:tcW w:type="dxa" w:w="1679"/>
            <w:vMerge w:val="continue"/>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
          </w:p>
        </w:tc>
        <w:tc>
          <w:tcPr>
            <w:tcW w:type="dxa" w:w="1126"/>
            <w:vMerge w:val="continue"/>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
          </w:p>
        </w:tc>
      </w:tr>
      <w:tr>
        <w:trPr>
          <w:cantSplit w:val="false"/>
        </w:trPr>
        <w:tc>
          <w:tcPr>
            <w:tcW w:type="dxa" w:w="887"/>
            <w:tcBorders>
              <w:top w:color="C0C0C0" w:space="0" w:sz="6" w:val="thickThinLargeGap"/>
              <w:start w:color="C0C0C0" w:space="0" w:sz="6" w:val="thickThinLargeGap"/>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Lau, et al.</w:t>
            </w:r>
            <w:r>
              <w:rPr>
                <w:rFonts w:ascii="Arial" w:cs="Arial" w:hAnsi="Arial"/>
                <w:color w:val="000000"/>
                <w:sz w:val="17"/>
                <w:szCs w:val="17"/>
                <w:vertAlign w:val="superscript"/>
              </w:rPr>
              <w:t>[81]</w:t>
            </w:r>
          </w:p>
        </w:tc>
        <w:tc>
          <w:tcPr>
            <w:tcW w:type="dxa" w:w="1468"/>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Appendectomy</w:t>
            </w:r>
          </w:p>
        </w:tc>
        <w:tc>
          <w:tcPr>
            <w:tcW w:type="dxa" w:w="890"/>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Humans</w:t>
            </w:r>
          </w:p>
        </w:tc>
        <w:tc>
          <w:tcPr>
            <w:tcW w:type="dxa" w:w="105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217 (109 HP, 108 control)</w:t>
            </w:r>
          </w:p>
        </w:tc>
        <w:tc>
          <w:tcPr>
            <w:tcW w:type="dxa" w:w="126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No treatment</w:t>
            </w:r>
          </w:p>
        </w:tc>
        <w:tc>
          <w:tcPr>
            <w:tcW w:type="dxa" w:w="167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N/A</w:t>
            </w:r>
          </w:p>
        </w:tc>
        <w:tc>
          <w:tcPr>
            <w:tcW w:type="dxa" w:w="112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No effect (21 pt developed infection vs. 26 of the control group)</w:t>
            </w:r>
          </w:p>
        </w:tc>
      </w:tr>
      <w:tr>
        <w:trPr>
          <w:cantSplit w:val="false"/>
        </w:trPr>
        <w:tc>
          <w:tcPr>
            <w:tcW w:type="dxa" w:w="887"/>
            <w:tcBorders>
              <w:top w:color="C0C0C0" w:space="0" w:sz="6" w:val="thickThinLargeGap"/>
              <w:start w:color="C0C0C0" w:space="0" w:sz="6" w:val="thickThinLargeGap"/>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Leyden, et al.</w:t>
            </w:r>
            <w:r>
              <w:rPr>
                <w:rFonts w:ascii="Arial" w:cs="Arial" w:hAnsi="Arial"/>
                <w:color w:val="000000"/>
                <w:sz w:val="17"/>
                <w:szCs w:val="17"/>
                <w:vertAlign w:val="superscript"/>
              </w:rPr>
              <w:t>[82]</w:t>
            </w:r>
          </w:p>
        </w:tc>
        <w:tc>
          <w:tcPr>
            <w:tcW w:type="dxa" w:w="1468"/>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Blister wounds (contaminated)</w:t>
            </w:r>
          </w:p>
        </w:tc>
        <w:tc>
          <w:tcPr>
            <w:tcW w:type="dxa" w:w="890"/>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Humans</w:t>
            </w:r>
          </w:p>
        </w:tc>
        <w:tc>
          <w:tcPr>
            <w:tcW w:type="dxa" w:w="105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144 (24 volunteers with 3 wounds per forearm)</w:t>
            </w:r>
          </w:p>
        </w:tc>
        <w:tc>
          <w:tcPr>
            <w:tcW w:type="dxa" w:w="126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No treatment, triple antibiotic</w:t>
            </w:r>
          </w:p>
        </w:tc>
        <w:tc>
          <w:tcPr>
            <w:tcW w:type="dxa" w:w="167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No effect (14.3 days for healing vs. 13.2 and 9.4 in the no treatment and triple antibiotic group)</w:t>
            </w:r>
          </w:p>
        </w:tc>
        <w:tc>
          <w:tcPr>
            <w:tcW w:type="dxa" w:w="112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 xml:space="preserve">No effect (6.7 log </w:t>
            </w:r>
            <w:r>
              <w:rPr>
                <w:rFonts w:ascii="Arial" w:cs="Arial" w:hAnsi="Arial"/>
                <w:i/>
                <w:iCs/>
                <w:color w:val="000000"/>
                <w:sz w:val="20"/>
                <w:szCs w:val="20"/>
                <w:shd w:fill="FFCC00" w:val="clear"/>
              </w:rPr>
              <w:t>S. aureus</w:t>
            </w:r>
            <w:r>
              <w:rPr>
                <w:rFonts w:ascii="Arial" w:cs="Arial" w:hAnsi="Arial"/>
                <w:color w:val="000000"/>
                <w:sz w:val="20"/>
                <w:szCs w:val="20"/>
              </w:rPr>
              <w:t xml:space="preserve"> counts vs. 7.1 and 0.4 in the no treatment and triple antibiotic group)</w:t>
            </w:r>
          </w:p>
        </w:tc>
      </w:tr>
      <w:tr>
        <w:trPr>
          <w:cantSplit w:val="false"/>
        </w:trPr>
        <w:tc>
          <w:tcPr>
            <w:tcW w:type="dxa" w:w="887"/>
            <w:tcBorders>
              <w:top w:color="C0C0C0" w:space="0" w:sz="6" w:val="thickThinLargeGap"/>
              <w:start w:color="C0C0C0" w:space="0" w:sz="6" w:val="thickThinLargeGap"/>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Tur, et al.</w:t>
            </w:r>
            <w:r>
              <w:rPr>
                <w:rFonts w:ascii="Arial" w:cs="Arial" w:hAnsi="Arial"/>
                <w:color w:val="000000"/>
                <w:sz w:val="17"/>
                <w:szCs w:val="17"/>
                <w:vertAlign w:val="superscript"/>
              </w:rPr>
              <w:t>[80]</w:t>
            </w:r>
          </w:p>
        </w:tc>
        <w:tc>
          <w:tcPr>
            <w:tcW w:type="dxa" w:w="1468"/>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Ischemic ulcers</w:t>
            </w:r>
          </w:p>
        </w:tc>
        <w:tc>
          <w:tcPr>
            <w:tcW w:type="dxa" w:w="890"/>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Guinea pigs</w:t>
            </w:r>
          </w:p>
        </w:tc>
        <w:tc>
          <w:tcPr>
            <w:tcW w:type="dxa" w:w="105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34</w:t>
            </w:r>
          </w:p>
        </w:tc>
        <w:tc>
          <w:tcPr>
            <w:tcW w:type="dxa" w:w="126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Placebo cream</w:t>
            </w:r>
          </w:p>
        </w:tc>
        <w:tc>
          <w:tcPr>
            <w:tcW w:type="dxa" w:w="1679"/>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 xml:space="preserve">No effect (visual evaluation of percent nonnecrotic wound surface showed no difference between groups); increased blood flow (vascular perfusion measured with laser Doppler velocimeter was increased, </w:t>
            </w:r>
            <w:r>
              <w:rPr>
                <w:rFonts w:ascii="Arial" w:cs="Arial" w:hAnsi="Arial"/>
                <w:i/>
                <w:iCs/>
                <w:color w:val="000000"/>
                <w:sz w:val="20"/>
                <w:szCs w:val="20"/>
                <w:shd w:fill="FFCC00" w:val="clear"/>
              </w:rPr>
              <w:t>p</w:t>
            </w:r>
            <w:r>
              <w:rPr>
                <w:rFonts w:ascii="Arial" w:cs="Arial" w:hAnsi="Arial"/>
                <w:color w:val="000000"/>
                <w:sz w:val="20"/>
                <w:szCs w:val="20"/>
              </w:rPr>
              <w:t xml:space="preserve"> &lt; 0.01)</w:t>
            </w:r>
          </w:p>
        </w:tc>
        <w:tc>
          <w:tcPr>
            <w:tcW w:type="dxa" w:w="1126"/>
            <w:tcBorders>
              <w:top w:color="C0C0C0" w:space="0" w:sz="6" w:val="thickThinLargeGap"/>
              <w:start w:color="C0C0C0" w:space="0" w:sz="6" w:val="single"/>
              <w:bottom w:color="C0C0C0" w:space="0" w:sz="6" w:val="thickThinLargeGap"/>
              <w:end w:color="C0C0C0" w:space="0" w:sz="6" w:val="single"/>
            </w:tcBorders>
            <w:shd w:fill="FFFFFF" w:val="clear"/>
            <w:tcMar>
              <w:top w:type="dxa" w:w="45"/>
              <w:start w:type="dxa" w:w="15"/>
              <w:bottom w:type="dxa" w:w="45"/>
              <w:end w:type="dxa" w:w="45"/>
            </w:tcMar>
          </w:tcPr>
          <w:p>
            <w:pPr>
              <w:pStyle w:val="style22"/>
            </w:pPr>
            <w:r>
              <w:rPr>
                <w:rFonts w:ascii="Arial" w:cs="Arial" w:hAnsi="Arial"/>
                <w:color w:val="000000"/>
                <w:sz w:val="20"/>
                <w:szCs w:val="20"/>
              </w:rPr>
              <w:t>N/A</w:t>
            </w:r>
          </w:p>
        </w:tc>
      </w:tr>
    </w:tbl>
    <w:p>
      <w:pPr>
        <w:pStyle w:val="style22"/>
      </w:pPr>
      <w:r>
        <w:rPr/>
      </w:r>
    </w:p>
    <w:p>
      <w:pPr>
        <w:pStyle w:val="style3"/>
        <w:numPr>
          <w:ilvl w:val="2"/>
          <w:numId w:val="2"/>
        </w:numPr>
      </w:pPr>
      <w:r>
        <w:rPr/>
        <w:t>References</w:t>
      </w:r>
    </w:p>
    <w:p>
      <w:pPr>
        <w:pStyle w:val="style22"/>
        <w:numPr>
          <w:ilvl w:val="0"/>
          <w:numId w:val="2"/>
        </w:numPr>
        <w:spacing w:after="0" w:before="0"/>
      </w:pPr>
      <w:r>
        <w:rPr>
          <w:rFonts w:ascii="Arial" w:cs="Arial" w:hAnsi="Arial"/>
          <w:color w:val="000000"/>
          <w:sz w:val="20"/>
          <w:szCs w:val="20"/>
        </w:rPr>
        <w:t xml:space="preserve">McDonnell G, Russell AD. Antiseptics and disinfectants: Activity, action and resistance. </w:t>
      </w:r>
      <w:r>
        <w:rPr>
          <w:rFonts w:ascii="Arial" w:cs="Arial" w:hAnsi="Arial"/>
          <w:i/>
          <w:iCs/>
          <w:color w:val="000000"/>
          <w:sz w:val="20"/>
          <w:szCs w:val="20"/>
          <w:shd w:fill="FFCC00" w:val="clear"/>
        </w:rPr>
        <w:t>Clinical Microbiology Reviews</w:t>
      </w:r>
      <w:r>
        <w:rPr>
          <w:rFonts w:ascii="Arial" w:cs="Arial" w:hAnsi="Arial"/>
          <w:color w:val="000000"/>
          <w:sz w:val="20"/>
          <w:szCs w:val="20"/>
        </w:rPr>
        <w:t xml:space="preserve"> 1999;12(1):147-79. </w:t>
      </w:r>
    </w:p>
    <w:p>
      <w:pPr>
        <w:pStyle w:val="style22"/>
        <w:numPr>
          <w:ilvl w:val="0"/>
          <w:numId w:val="2"/>
        </w:numPr>
        <w:spacing w:after="0" w:before="0"/>
      </w:pPr>
      <w:r>
        <w:rPr>
          <w:rFonts w:ascii="Arial" w:cs="Arial" w:hAnsi="Arial"/>
          <w:color w:val="000000"/>
          <w:sz w:val="20"/>
          <w:szCs w:val="20"/>
        </w:rPr>
        <w:t xml:space="preserve">Taylor DM. Inactivation of unconventional agents of the transmissible degenerative encephalopathies. In: Russell AD, Hugo WB, Ayliffe GAJ (eds). </w:t>
      </w:r>
      <w:r>
        <w:rPr>
          <w:rFonts w:ascii="Arial" w:cs="Arial" w:hAnsi="Arial"/>
          <w:i/>
          <w:iCs/>
          <w:color w:val="000000"/>
          <w:sz w:val="20"/>
          <w:szCs w:val="20"/>
          <w:shd w:fill="FFCC00" w:val="clear"/>
        </w:rPr>
        <w:t>Principles and Practice of Disinfection, Preservation and Sterilization, Third Edition.</w:t>
      </w:r>
      <w:r>
        <w:rPr>
          <w:rFonts w:ascii="Arial" w:cs="Arial" w:hAnsi="Arial"/>
          <w:color w:val="000000"/>
          <w:sz w:val="20"/>
          <w:szCs w:val="20"/>
        </w:rPr>
        <w:t xml:space="preserve"> Oxford, England: Blackwell Science, 1999. </w:t>
      </w:r>
    </w:p>
    <w:p>
      <w:pPr>
        <w:pStyle w:val="style22"/>
        <w:numPr>
          <w:ilvl w:val="0"/>
          <w:numId w:val="2"/>
        </w:numPr>
        <w:spacing w:after="0" w:before="0"/>
      </w:pPr>
      <w:r>
        <w:rPr>
          <w:rFonts w:ascii="Arial" w:cs="Arial" w:hAnsi="Arial"/>
          <w:color w:val="000000"/>
          <w:sz w:val="20"/>
          <w:szCs w:val="20"/>
        </w:rPr>
        <w:t xml:space="preserve">Niedner R. Cytotoxicity and sensitization of povidone iodine and other frequently used anti-infective agents. </w:t>
      </w:r>
      <w:r>
        <w:rPr>
          <w:rFonts w:ascii="Arial" w:cs="Arial" w:hAnsi="Arial"/>
          <w:i/>
          <w:iCs/>
          <w:color w:val="000000"/>
          <w:sz w:val="20"/>
          <w:szCs w:val="20"/>
          <w:shd w:fill="FFCC00" w:val="clear"/>
        </w:rPr>
        <w:t>Dermatology</w:t>
      </w:r>
      <w:r>
        <w:rPr>
          <w:rFonts w:ascii="Arial" w:cs="Arial" w:hAnsi="Arial"/>
          <w:color w:val="000000"/>
          <w:sz w:val="20"/>
          <w:szCs w:val="20"/>
        </w:rPr>
        <w:t xml:space="preserve"> 1997;195(Suppl 2):89-92. </w:t>
      </w:r>
    </w:p>
    <w:p>
      <w:pPr>
        <w:pStyle w:val="style22"/>
        <w:numPr>
          <w:ilvl w:val="0"/>
          <w:numId w:val="2"/>
        </w:numPr>
        <w:spacing w:after="0" w:before="0"/>
      </w:pPr>
      <w:r>
        <w:rPr>
          <w:rFonts w:ascii="Arial" w:cs="Arial" w:hAnsi="Arial"/>
          <w:color w:val="000000"/>
          <w:sz w:val="20"/>
          <w:szCs w:val="20"/>
        </w:rPr>
        <w:t xml:space="preserve">56 Federal Register 33644 at 33662. </w:t>
      </w:r>
    </w:p>
    <w:p>
      <w:pPr>
        <w:pStyle w:val="style22"/>
        <w:numPr>
          <w:ilvl w:val="0"/>
          <w:numId w:val="2"/>
        </w:numPr>
        <w:spacing w:after="0" w:before="0"/>
      </w:pPr>
      <w:r>
        <w:rPr>
          <w:rFonts w:ascii="Arial" w:cs="Arial" w:hAnsi="Arial"/>
          <w:color w:val="000000"/>
          <w:sz w:val="20"/>
          <w:szCs w:val="20"/>
          <w:lang w:val="en-GB"/>
        </w:rPr>
        <w:t xml:space="preserve">Bergstrom N, Bennet MA, Carlson CE, et al. </w:t>
      </w:r>
      <w:r>
        <w:rPr>
          <w:rFonts w:ascii="Arial" w:cs="Arial" w:hAnsi="Arial"/>
          <w:i/>
          <w:iCs/>
          <w:color w:val="000000"/>
          <w:sz w:val="20"/>
          <w:szCs w:val="20"/>
          <w:shd w:fill="FFCC00" w:val="clear"/>
          <w:lang w:val="en-GB"/>
        </w:rPr>
        <w:t>Clinical Practice Guideline Number 15: Treatment of Pressure Ulcers.</w:t>
      </w:r>
      <w:r>
        <w:rPr>
          <w:rFonts w:ascii="Arial" w:cs="Arial" w:hAnsi="Arial"/>
          <w:color w:val="000000"/>
          <w:sz w:val="20"/>
          <w:szCs w:val="20"/>
          <w:lang w:val="en-GB"/>
        </w:rPr>
        <w:t xml:space="preserve"> Rockville, MD: US Department of Health and Human Services. Agency for Health Care Policy and Research; 1994. AHCPR Publication 95-0652. </w:t>
      </w:r>
    </w:p>
    <w:p>
      <w:pPr>
        <w:pStyle w:val="style22"/>
        <w:spacing w:after="0" w:before="0"/>
      </w:pPr>
      <w:r>
        <w:rPr/>
      </w:r>
    </w:p>
    <w:p>
      <w:pPr>
        <w:pStyle w:val="style22"/>
        <w:spacing w:after="0" w:before="0"/>
      </w:pPr>
      <w:r>
        <w:rPr/>
      </w:r>
    </w:p>
    <w:p>
      <w:pPr>
        <w:pStyle w:val="style23"/>
      </w:pPr>
      <w:r>
        <w:rPr/>
      </w:r>
    </w:p>
    <w:p>
      <w:pPr>
        <w:pStyle w:val="style23"/>
        <w:spacing w:after="280" w:before="28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none"/>
      <w:suff w:val="nothing"/>
      <w:lvlText w:val=""/>
      <w:lvlJc w:val="start"/>
      <w:pPr>
        <w:tabs>
          <w:tab w:pos="432" w:val="num"/>
        </w:tabs>
        <w:ind w:hanging="432" w:start="720"/>
      </w:pPr>
    </w:lvl>
    <w:lvl w:ilvl="1">
      <w:start w:val="1"/>
      <w:numFmt w:val="none"/>
      <w:suff w:val="nothing"/>
      <w:lvlText w:val=""/>
      <w:lvlJc w:val="start"/>
      <w:pPr>
        <w:tabs>
          <w:tab w:pos="576" w:val="num"/>
        </w:tabs>
        <w:ind w:hanging="576" w:start="1080"/>
      </w:pPr>
    </w:lvl>
    <w:lvl w:ilvl="2">
      <w:start w:val="1"/>
      <w:numFmt w:val="none"/>
      <w:suff w:val="nothing"/>
      <w:lvlText w:val=""/>
      <w:lvlJc w:val="start"/>
      <w:pPr>
        <w:tabs>
          <w:tab w:pos="720" w:val="num"/>
        </w:tabs>
        <w:ind w:hanging="720" w:start="1440"/>
      </w:pPr>
    </w:lvl>
    <w:lvl w:ilvl="3">
      <w:start w:val="1"/>
      <w:numFmt w:val="none"/>
      <w:suff w:val="nothing"/>
      <w:lvlText w:val=""/>
      <w:lvlJc w:val="start"/>
      <w:pPr>
        <w:tabs>
          <w:tab w:pos="864" w:val="num"/>
        </w:tabs>
        <w:ind w:hanging="864" w:start="1800"/>
      </w:pPr>
    </w:lvl>
    <w:lvl w:ilvl="4">
      <w:start w:val="1"/>
      <w:numFmt w:val="none"/>
      <w:suff w:val="nothing"/>
      <w:lvlText w:val=""/>
      <w:lvlJc w:val="start"/>
      <w:pPr>
        <w:tabs>
          <w:tab w:pos="1008" w:val="num"/>
        </w:tabs>
        <w:ind w:hanging="1008" w:start="2160"/>
      </w:pPr>
    </w:lvl>
    <w:lvl w:ilvl="5">
      <w:start w:val="1"/>
      <w:numFmt w:val="none"/>
      <w:suff w:val="nothing"/>
      <w:lvlText w:val=""/>
      <w:lvlJc w:val="start"/>
      <w:pPr>
        <w:tabs>
          <w:tab w:pos="1152" w:val="num"/>
        </w:tabs>
        <w:ind w:hanging="1152" w:start="2520"/>
      </w:pPr>
    </w:lvl>
    <w:lvl w:ilvl="6">
      <w:start w:val="1"/>
      <w:numFmt w:val="none"/>
      <w:suff w:val="nothing"/>
      <w:lvlText w:val=""/>
      <w:lvlJc w:val="start"/>
      <w:pPr>
        <w:tabs>
          <w:tab w:pos="1296" w:val="num"/>
        </w:tabs>
        <w:ind w:hanging="1296" w:start="2880"/>
      </w:pPr>
    </w:lvl>
    <w:lvl w:ilvl="7">
      <w:start w:val="1"/>
      <w:numFmt w:val="none"/>
      <w:suff w:val="nothing"/>
      <w:lvlText w:val=""/>
      <w:lvlJc w:val="start"/>
      <w:pPr>
        <w:tabs>
          <w:tab w:pos="1440" w:val="num"/>
        </w:tabs>
        <w:ind w:hanging="1440" w:start="3240"/>
      </w:pPr>
    </w:lvl>
    <w:lvl w:ilvl="8">
      <w:start w:val="1"/>
      <w:numFmt w:val="none"/>
      <w:suff w:val="nothing"/>
      <w:lvlText w:val=""/>
      <w:lvlJc w:val="start"/>
      <w:pPr>
        <w:tabs>
          <w:tab w:pos="1584" w:val="num"/>
        </w:tabs>
        <w:ind w:hanging="1584" w:star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3" w:type="paragraph">
    <w:name w:val="Heading 3"/>
    <w:basedOn w:val="style22"/>
    <w:next w:val="style18"/>
    <w:pPr>
      <w:numPr>
        <w:ilvl w:val="2"/>
        <w:numId w:val="1"/>
      </w:numPr>
      <w:spacing w:after="280" w:before="280"/>
      <w:outlineLvl w:val="2"/>
    </w:pPr>
    <w:rPr>
      <w:rFonts w:ascii="Arial" w:cs="Arial" w:hAnsi="Arial"/>
      <w:b/>
      <w:bCs/>
      <w:color w:val="000000"/>
      <w:sz w:val="23"/>
      <w:szCs w:val="23"/>
    </w:rPr>
  </w:style>
  <w:style w:styleId="style15" w:type="character">
    <w:name w:val="Default Paragraph Font"/>
    <w:next w:val="style15"/>
    <w:rPr/>
  </w:style>
  <w:style w:styleId="style16" w:type="character">
    <w:name w:val="Internet Link"/>
    <w:basedOn w:val="style15"/>
    <w:next w:val="style16"/>
    <w:rPr>
      <w:color w:val="000066"/>
      <w:u w:val="single"/>
      <w:lang w:bidi="en-US" w:eastAsia="en-US" w:val="en-US"/>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Default Style"/>
    <w:next w:val="style22"/>
    <w:pPr>
      <w:widowControl/>
      <w:tabs>
        <w:tab w:leader="none" w:pos="709" w:val="left"/>
      </w:tabs>
      <w:suppressAutoHyphens w:val="true"/>
    </w:pPr>
    <w:rPr>
      <w:rFonts w:ascii="Times New Roman" w:cs="Times New Roman" w:eastAsia="Times New Roman" w:hAnsi="Times New Roman"/>
      <w:color w:val="00000A"/>
      <w:sz w:val="24"/>
      <w:szCs w:val="24"/>
      <w:lang w:bidi="ar-SA" w:eastAsia="zh-CN" w:val="es-ES"/>
    </w:rPr>
  </w:style>
  <w:style w:styleId="style23" w:type="paragraph">
    <w:name w:val="Normal (Web)"/>
    <w:basedOn w:val="style22"/>
    <w:next w:val="style23"/>
    <w:pPr>
      <w:spacing w:after="280" w:before="280"/>
    </w:pPr>
    <w:rPr/>
  </w:style>
  <w:style w:styleId="style24" w:type="paragraph">
    <w:name w:val="Text Body"/>
    <w:basedOn w:val="style22"/>
    <w:next w:val="style24"/>
    <w:pPr>
      <w:jc w:val="both"/>
    </w:pPr>
    <w:rPr>
      <w:rFonts w:ascii="Comic Sans MS" w:cs="Comic Sans MS" w:hAnsi="Comic Sans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2013-10-28T12:15:59.00Z</dcterms:created>
  <dc:creator>jos </dc:creator>
  <cp:lastModifiedBy>jos </cp:lastModifiedBy>
  <dcterms:modified xsi:type="dcterms:W3CDTF">2013-10-28T12:22:08.00Z</dcterms:modified>
  <cp:revision>1</cp:revision>
</cp:coreProperties>
</file>