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UTA Independent Scoring Pilot – Participant Anonymization Statement</w:t>
      </w:r>
    </w:p>
    <w:p>
      <w:r>
        <w:t>To protect participant privacy and support objective analysis, all pilot participants were assigned unique participant identification codes. Analytical procedures, calculations, tables, figures, and statistical summaries were performed using these coded identifiers rather than participant names.</w:t>
      </w:r>
    </w:p>
    <w:p>
      <w:r>
        <w:t>Examples of participant identifiers include: MP01, WR01, SH01, HT01, DV01, SI01, LO01, CA01, FY01, and DC01.</w:t>
      </w:r>
    </w:p>
    <w:p>
      <w:r>
        <w:t>The participant identification codes were assigned solely for internal tracking of delayed-repeatability responses and quality assurance procedures.</w:t>
      </w:r>
    </w:p>
    <w:p>
      <w:r>
        <w:t>The participant name field was optional during data collection and was not required for any analytical procedure. Any name-to-identifier correspondence, where available, was maintained separately from the analytical dataset and was not used in the calculation of repeatability, stability, or event-signature metrics.</w:t>
      </w:r>
    </w:p>
    <w:p>
      <w:r>
        <w:t>All published analyses, audit reports, and UBv1 entries derived from the pilot dataset use participant identifiers only, and do not contain participant names or other direct personal identifiers.</w:t>
      </w:r>
    </w:p>
    <w:p>
      <w:r>
        <w:t>This anonymization approach supports participant confidentiality while preserving the ability to perform delayed-repeatability tracking, quality assurance audits, and longitudinal comparisons within the pilot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