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UBv1 Research Ledger Entry</w:t>
      </w:r>
    </w:p>
    <w:p>
      <w:r>
        <w:rPr>
          <w:b/>
        </w:rPr>
        <w:t xml:space="preserve">Entry ID: </w:t>
      </w:r>
      <w:r>
        <w:t>UTA-A03-001</w:t>
      </w:r>
    </w:p>
    <w:p>
      <w:r>
        <w:rPr>
          <w:b/>
        </w:rPr>
        <w:t xml:space="preserve">Title: </w:t>
      </w:r>
      <w:r>
        <w:t>UTA Analysis 3 — Participant Stability Audit</w:t>
      </w:r>
    </w:p>
    <w:p>
      <w:r>
        <w:rPr>
          <w:b/>
        </w:rPr>
        <w:t xml:space="preserve">Date: </w:t>
      </w:r>
      <w:r>
        <w:t>July 2026</w:t>
      </w:r>
    </w:p>
    <w:p>
      <w:r>
        <w:t>Status: v1.2 Final Preserved Edition</w:t>
      </w:r>
    </w:p>
    <w:p>
      <w:pPr>
        <w:pStyle w:val="Heading2"/>
      </w:pPr>
      <w:r>
        <w:t>Objective</w:t>
      </w:r>
    </w:p>
    <w:p>
      <w:r>
        <w:t>Analysis 3 was conducted to evaluate participant-level stability within the UTA pilot study. The objective was to determine whether individual scoring patterns remained reasonably consistent when participants reassessed the same historical events after a delay period.</w:t>
      </w:r>
    </w:p>
    <w:p>
      <w:pPr>
        <w:pStyle w:val="Heading2"/>
      </w:pPr>
      <w:r>
        <w:t>Dataset</w:t>
      </w:r>
    </w:p>
    <w:p>
      <w:r>
        <w:t>Source Files:</w:t>
        <w:br/>
        <w:t>• UTA_Q1_Pilot_Dataset.xlsx</w:t>
        <w:br/>
        <w:t>• UTA_Q2_Pilot_Dataset_Updated_v18.xlsx</w:t>
        <w:br/>
        <w:br/>
        <w:t>Participants Included:</w:t>
        <w:br/>
        <w:t>• 10 anonymous volunteers who completed both Q1 and Q2 assessments.</w:t>
      </w:r>
    </w:p>
    <w:p>
      <w:pPr>
        <w:pStyle w:val="Heading2"/>
      </w:pPr>
      <w:r>
        <w:t>Method</w:t>
      </w:r>
    </w:p>
    <w:p>
      <w:r>
        <w:t>For each participant, corresponding Q1 and Q2 scores were compared across all available event evaluations. Absolute score differences were calculated at the event level and aggregated to produce a participant-level mean difference score. Lower mean difference values indicate greater delayed scoring stability between assessment periods.</w:t>
      </w:r>
    </w:p>
    <w:p>
      <w:pPr>
        <w:pStyle w:val="Heading2"/>
      </w:pPr>
      <w:r>
        <w:t>Participant Stability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Anonymous Participant</w:t>
            </w:r>
          </w:p>
        </w:tc>
        <w:tc>
          <w:tcPr>
            <w:tcW w:type="dxa" w:w="4320"/>
          </w:tcPr>
          <w:p>
            <w:r>
              <w:t>Mean Difference</w:t>
            </w:r>
          </w:p>
        </w:tc>
      </w:tr>
      <w:tr>
        <w:tc>
          <w:tcPr>
            <w:tcW w:type="dxa" w:w="4320"/>
          </w:tcPr>
          <w:p>
            <w:r>
              <w:t>P01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P02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P03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P04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P05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P06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P07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P08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P09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  <w:tr>
        <w:tc>
          <w:tcPr>
            <w:tcW w:type="dxa" w:w="4320"/>
          </w:tcPr>
          <w:p>
            <w:r>
              <w:t>P10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</w:tbl>
    <w:p>
      <w:pPr>
        <w:pStyle w:val="Heading2"/>
      </w:pPr>
      <w: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Mean Difference</w:t>
            </w:r>
          </w:p>
        </w:tc>
        <w:tc>
          <w:tcPr>
            <w:tcW w:type="dxa" w:w="4320"/>
          </w:tcPr>
          <w:p>
            <w:r>
              <w:t>2.41</w:t>
            </w:r>
          </w:p>
        </w:tc>
      </w:tr>
      <w:tr>
        <w:tc>
          <w:tcPr>
            <w:tcW w:type="dxa" w:w="4320"/>
          </w:tcPr>
          <w:p>
            <w:r>
              <w:t>Median Difference</w:t>
            </w:r>
          </w:p>
        </w:tc>
        <w:tc>
          <w:tcPr>
            <w:tcW w:type="dxa" w:w="4320"/>
          </w:tcPr>
          <w:p>
            <w:r>
              <w:t>1.95</w:t>
            </w:r>
          </w:p>
        </w:tc>
      </w:tr>
      <w:tr>
        <w:tc>
          <w:tcPr>
            <w:tcW w:type="dxa" w:w="4320"/>
          </w:tcPr>
          <w:p>
            <w:r>
              <w:t>Minimum Difference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Maximum Difference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</w:tbl>
    <w:p>
      <w:r>
        <w:t>Observation: Participant mean difference scores clustered within a relatively narrow range, suggesting generally stable delayed reassessment behavior across the pilot sample.</w:t>
      </w:r>
    </w:p>
    <w:p>
      <w:pPr>
        <w:pStyle w:val="Heading2"/>
      </w:pPr>
      <w:r>
        <w:t>Stability Classification</w:t>
      </w:r>
    </w:p>
    <w:p>
      <w:r>
        <w:t>High Stability (Mean Difference &lt; 2.0): P01, P02, P03, P04, P05</w:t>
        <w:br/>
        <w:br/>
        <w:t>Moderate Stability (Mean Difference 2.0–3.0): P06, P07, P08</w:t>
        <w:br/>
        <w:br/>
        <w:t>Lower Stability (Mean Difference &gt; 3.0): P09, P10</w:t>
        <w:br/>
        <w:br/>
        <w:t>Classification Note: These categories were created for descriptive interpretation within the pilot dataset and should not be interpreted as measures of participant performance or accuracy.</w:t>
      </w:r>
    </w:p>
    <w:p>
      <w:pPr>
        <w:pStyle w:val="Heading2"/>
      </w:pPr>
      <w:r>
        <w:t>Observations</w:t>
      </w:r>
    </w:p>
    <w:p>
      <w:r>
        <w:t>Several participants demonstrated strong delayed consistency. Most participants clustered within a relatively narrow range of variability, suggesting reasonably stable scoring behavior between assessments.</w:t>
      </w:r>
    </w:p>
    <w:p>
      <w:pPr>
        <w:pStyle w:val="Heading2"/>
      </w:pPr>
      <w:r>
        <w:t>Interpretation</w:t>
      </w:r>
    </w:p>
    <w:p>
      <w:r>
        <w:t>The results provide preliminary evidence that participant-specific uncertainty transformation patterns may possess measurable stability over time.</w:t>
      </w:r>
    </w:p>
    <w:p>
      <w:pPr>
        <w:pStyle w:val="Heading2"/>
      </w:pPr>
      <w:r>
        <w:t>Limitations</w:t>
      </w:r>
    </w:p>
    <w:p>
      <w:r>
        <w:t>Pilot sample size limited to ten participants. Results are exploratory. No inferential statistical testing was performed. Stability reflects consistency, not correctness or expertise.</w:t>
      </w:r>
    </w:p>
    <w:p>
      <w:pPr>
        <w:pStyle w:val="Heading2"/>
      </w:pPr>
      <w:r>
        <w:t>Figures</w:t>
      </w:r>
    </w:p>
    <w:p>
      <w:r>
        <w:t>Figure 1 — Participant Stability Ranking</w:t>
        <w:br/>
        <w:t>Figure 2 — Distribution of Participant Differences</w:t>
        <w:br/>
        <w:t>Figure 3 — Stability Categories</w:t>
        <w:br/>
        <w:t>Figure 4 — Summary Statistics</w:t>
      </w:r>
    </w:p>
    <w:p>
      <w:pPr>
        <w:pStyle w:val="Heading2"/>
      </w:pPr>
      <w:r>
        <w:t>Conclusion</w:t>
      </w:r>
    </w:p>
    <w:p>
      <w:r>
        <w:t>Analysis 3 provides participant-level evidence of delayed scoring stability within the UTA pilot dataset. Most anonymous volunteers reproduced similar scoring patterns following a delayed reassessment period. Together with the delayed repeatability findings of Analysis 1 and the event-level stability findings of Analysis 2, these results support the interpretation that UTA measurements capture structured and partially reproducible evaluation patterns rather than entirely random responses.</w:t>
      </w:r>
    </w:p>
    <w:p>
      <w:pPr>
        <w:pStyle w:val="Heading2"/>
      </w:pPr>
      <w:r>
        <w:t>Preservation Metadata</w:t>
      </w:r>
    </w:p>
    <w:p>
      <w:r>
        <w:t>Analysis Title: UTA Analysis 3 — Participant Stability Audit</w:t>
        <w:br/>
        <w:t>Analysis Version: v1.2 Final Preserved Edition</w:t>
        <w:br/>
        <w:t>Dataset Reference: UTA_Q2_Pilot_Dataset_Updated_v18.xlsx</w:t>
        <w:br/>
        <w:t>Participants Included: 10 Anonymous Volunteers</w:t>
        <w:br/>
        <w:t>Anonymization Status: Verified</w:t>
        <w:br/>
        <w:t>Preservation Status: Final Review Complete</w:t>
        <w:br/>
        <w:t>UBv1 Classification: Research Ledger Record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