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casi el 89 % (Anthropic, 2026b): de uno de cada siete casos a casi nueve de cada diez en dos años, aunque el </w:t>
      </w:r>
      <w:r>
        <w:rPr>
          <w:i/>
        </w:rPr>
        <w:t>benchmark</w:t>
      </w:r>
      <w:r>
        <w:t xml:space="preserve"> empieza a saturarse. En junio de 2026 aparecieron modelos aún más capaces —Claude Fable 5 y Mythos 5—, pero una directiva del gobierno de EE. UU. suspendió su acceso a los pocos días (Anthropic, 2026a, 2026c). La adopción acompaña esa capacidad: GitHub Copilot superó los veinte millones de usuarios en 2025; Sundar Pichai (2026) afirmó que el 75 % del código nuevo en Google se genera con IA y lo aprueban ingenieros, y Satya Nadella lo estimó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~89 % (2026) en SWE-bench. Fuente: elaboración propia a partir de Anthropic (2026b)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Dong et al., 2026);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Guo y Li, 2026).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Los cajeros automáticos son ilustrativos: al abaratar la sucursal, los bancos abrieron más y el empleo de cajeros creció dos décadas —antes de revertirse con la banca móvil—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cayó cerca del 65 % en las grandes tecnológicas y un 76 % en las startups respecto de 2019, porque la IA absorbe las tareas con que los juniors aprendían (SignalFire, 2026).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«tus herramientas están cambiando, pero tus problemas no» (Booch, 2026).</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2025b). Es la hipótesis de este trabajo en boca de un protagonista del cambio: la IA no anula al ingeniero, sino que amplifica al que sabe usarla. Existen, es cierto, posiciones más radicales, pero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spacing w:line="360" w:lineRule="auto" w:after="120"/>
        <w:ind w:firstLine="576"/>
        <w:jc w:val="both"/>
      </w:pPr>
      <w:r>
        <w:t>A esa incertidumbre se añade la del propio modelo económico del sector. Hoy el precio de usar la IA está en parte subsidiado: cae con rapidez —unas diez veces por año, según Altman (2025a)—, pero apuntalado por capital de riesgo, pues OpenAI proyecta quemar cerca de 115.000 millones de dólares antes de ser rentable (Fortune, 2025). La inversión en cómputo es, además, tan colosal que el Fondo Monetario Internacional (2025) comparó las valuaciones bursátiles con el pico de la burbuja puntocom, mientras un estudio del MIT halló que el 95 % de los pilotos empresariales de IA generativa no rinde un retorno medible (Project NANDA, 2025). No es el escenario de 2000 —hay ingresos reales y en rápido crecimiento—, pero sí una incógnita sobre el ritmo de la transición que, lejos de invalidar la tesis, la refuerza: si la productividad de hoy se apoya en una IA subsidiada, a precio pleno el mercado premiará todavía más al ingeniero capaz y menos a quien solo abarata el tecleo de código.</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enteramente favorable: la puerta de entrada junior se estrecha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(2025a, 9 de febrero). </w:t>
      </w:r>
      <w:r>
        <w:rPr>
          <w:i/>
        </w:rPr>
        <w:t>Three observations</w:t>
      </w:r>
      <w:r>
        <w:t>. https://blog.samaltman.com/three-observations</w:t>
      </w:r>
    </w:p>
    <w:p>
      <w:pPr>
        <w:spacing w:line="360" w:lineRule="auto" w:after="120"/>
        <w:ind w:left="720" w:hanging="720"/>
        <w:jc w:val="left"/>
      </w:pPr>
      <w:r>
        <w:t xml:space="preserve">Altman, S. (2025b, 10 de junio). </w:t>
      </w:r>
      <w:r>
        <w:rPr>
          <w:i/>
        </w:rPr>
        <w:t>The gentle singularity</w:t>
      </w:r>
      <w:r>
        <w:t>. https://blog.samaltman.com/the-gentle-singularity</w:t>
      </w:r>
    </w:p>
    <w:p>
      <w:pPr>
        <w:spacing w:line="360" w:lineRule="auto" w:after="120"/>
        <w:ind w:left="720" w:hanging="720"/>
        <w:jc w:val="left"/>
      </w:pPr>
      <w:r>
        <w:t xml:space="preserve">Anthropic. (2026a, 9 de junio). </w:t>
      </w:r>
      <w:r>
        <w:rPr>
          <w:i/>
        </w:rPr>
        <w:t>Claude Fable 5 and Claude Mythos 5</w:t>
      </w:r>
      <w:r>
        <w:t>. https://www.anthropic.com/news/claude-fable-5-mythos-5</w:t>
      </w:r>
    </w:p>
    <w:p>
      <w:pPr>
        <w:spacing w:line="360" w:lineRule="auto" w:after="120"/>
        <w:ind w:left="720" w:hanging="720"/>
        <w:jc w:val="left"/>
      </w:pPr>
      <w:r>
        <w:t xml:space="preserve">Anthropic. (2026b, 28 de mayo). </w:t>
      </w:r>
      <w:r>
        <w:rPr>
          <w:i/>
        </w:rPr>
        <w:t>Claude Opus 4.8</w:t>
      </w:r>
      <w:r>
        <w:t>. https://www.anthropic.com/news/claude-opus-4-8</w:t>
      </w:r>
    </w:p>
    <w:p>
      <w:pPr>
        <w:spacing w:line="360" w:lineRule="auto" w:after="120"/>
        <w:ind w:left="720" w:hanging="720"/>
        <w:jc w:val="left"/>
      </w:pPr>
      <w:r>
        <w:t xml:space="preserve">Anthropic. (2026c, 12 de junio). </w:t>
      </w:r>
      <w:r>
        <w:rPr>
          <w:i/>
        </w:rPr>
        <w:t>Statement on the US government directive to suspend access to Fable 5 and Mythos 5</w:t>
      </w:r>
      <w:r>
        <w:t>. https://www.anthropic.com/news/fable-mythos-access</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https://www.imf.org/external/pubs/ft/fandd/2015/03/bessen.htm</w:t>
      </w:r>
    </w:p>
    <w:p>
      <w:pPr>
        <w:spacing w:line="360" w:lineRule="auto" w:after="120"/>
        <w:ind w:left="720" w:hanging="720"/>
        <w:jc w:val="left"/>
      </w:pPr>
      <w:r>
        <w:t xml:space="preserve">Booch, G. (2026, 4 de febrero). The third golden age of software engineering — Thanks to AI, with Grady Booch [Episodio de podcast]. </w:t>
      </w:r>
      <w:r>
        <w:rPr>
          <w:i/>
        </w:rPr>
        <w:t>The Pragmatic Engineer</w:t>
      </w:r>
      <w:r>
        <w:t xml:space="preserve"> (G. Orosz, anfitrión).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Dong, Y., Xiao, J., Jiang, X., Guo, X., Fan, Z., Qian, J., Zhang, K., Li, J., Jin, Z., &amp; Li, G. (2026). </w:t>
      </w:r>
      <w:r>
        <w:rPr>
          <w:i/>
        </w:rPr>
        <w:t>Evaluating the formal reasoning capabilities of large language models through Chomsky hierarchy</w:t>
      </w:r>
      <w:r>
        <w:t xml:space="preserve"> [Preprint]. arXiv. https://doi.org/10.48550/arXiv.2604.02709</w:t>
      </w:r>
    </w:p>
    <w:p>
      <w:pPr>
        <w:spacing w:line="360" w:lineRule="auto" w:after="120"/>
        <w:ind w:left="720" w:hanging="720"/>
        <w:jc w:val="left"/>
      </w:pPr>
      <w:r>
        <w:t xml:space="preserve">Fortune. (2025, 12 de noviembre). </w:t>
      </w:r>
      <w:r>
        <w:rPr>
          <w:i/>
        </w:rPr>
        <w:t>OpenAI's annual losses and cash burn through 2028, per financial documents</w:t>
      </w:r>
      <w:r>
        <w:t>. https://fortune.com/2025/11/12/openai-cash-burn-rate-annual-losses-2028-profitable-2030-financial-documents/</w:t>
      </w:r>
    </w:p>
    <w:p>
      <w:pPr>
        <w:spacing w:line="360" w:lineRule="auto" w:after="120"/>
        <w:ind w:left="720" w:hanging="720"/>
        <w:jc w:val="left"/>
      </w:pPr>
      <w:r>
        <w:t xml:space="preserve">Guo, A., &amp; Li, J. (2026). </w:t>
      </w:r>
      <w:r>
        <w:rPr>
          <w:i/>
        </w:rPr>
        <w:t>Hallucination is a consequence of space-optimality: A rate-distortion theorem for membership testing</w:t>
      </w:r>
      <w:r>
        <w:t xml:space="preserve"> [Preprint]. arXiv. https://doi.org/10.48550/arXiv.2602.00906</w:t>
      </w:r>
    </w:p>
    <w:p>
      <w:pPr>
        <w:spacing w:line="360" w:lineRule="auto" w:after="120"/>
        <w:ind w:left="720" w:hanging="720"/>
        <w:jc w:val="left"/>
      </w:pPr>
      <w:r>
        <w:t xml:space="preserve">International Monetary Fund. (2025). </w:t>
      </w:r>
      <w:r>
        <w:rPr>
          <w:i/>
        </w:rPr>
        <w:t>Global financial stability report: October 2025</w:t>
      </w:r>
      <w:r>
        <w:t>. https://www.imf.org/en/publications/gfsr/issues/2025/10/14/global-financial-stability-report-october-2025</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[Preprint]. arXiv. https://doi.org/10.48550/arXiv.2302.06590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Pichai, S. (2026, 22 de abril). </w:t>
      </w:r>
      <w:r>
        <w:rPr>
          <w:i/>
        </w:rPr>
        <w:t>Sundar Pichai shares news from Google Cloud Next 2026</w:t>
      </w:r>
      <w:r>
        <w:t>. Google. https://blog.google/innovation-and-ai/infrastructure-and-cloud/google-cloud/cloud-next-2026-sundar-pichai/</w:t>
      </w:r>
    </w:p>
    <w:p>
      <w:pPr>
        <w:spacing w:line="360" w:lineRule="auto" w:after="120"/>
        <w:ind w:left="720" w:hanging="720"/>
        <w:jc w:val="left"/>
      </w:pPr>
      <w:r>
        <w:t xml:space="preserve">Project NANDA. (2025). </w:t>
      </w:r>
      <w:r>
        <w:rPr>
          <w:i/>
        </w:rPr>
        <w:t>The GenAI divide: State of AI in business 2025</w:t>
      </w:r>
      <w:r>
        <w:t xml:space="preserve"> [Informe]. Massachusetts Institute of Technology. https://mlq.ai/media/quarterly_decks/v0.1_State_of_AI_in_Business_2025_Report.pdf</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(2026, 22 de junio). </w:t>
      </w:r>
      <w:r>
        <w:rPr>
          <w:i/>
        </w:rPr>
        <w:t>The SignalFire state of tech talent report — 2026</w:t>
      </w:r>
      <w:r>
        <w:t>. https://www.signalfire.com/blog/signalfire-state-of-talent-report-2026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xml:space="preserve"> [Informe].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[Preprint]. arXiv. https://doi.org/10.48550/arXiv.2401.11817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