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centrarse en la ejecución técnica para abarcar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un dato relevante.</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 La teoría de lenguajes formales y la complejidad describen,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w:t>
      </w:r>
      <w:r>
        <w:rPr>
          <w:i/>
        </w:rPr>
        <w:t>vibe coding</w:t>
      </w:r>
      <w:r>
        <w:t xml:space="preserve">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conservará su lugar, pero no su forma de trabajo: el centro de gravedad de la profesión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