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Reflection on Iteration # </w:t>
      </w:r>
      <w:r>
        <w:rPr>
          <w:rFonts w:ascii="Helvetica Neue"/>
          <w:rtl w:val="0"/>
          <w:lang w:val="en-US"/>
        </w:rPr>
        <w:t>3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Context Project: </w:t>
      </w:r>
      <w:r>
        <w:rPr>
          <w:rFonts w:ascii="Helvetica Neue"/>
          <w:rtl w:val="0"/>
          <w:lang w:val="en-US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Group: </w:t>
      </w:r>
      <w:r>
        <w:rPr>
          <w:rFonts w:ascii="Helvetica Neue"/>
          <w:rtl w:val="0"/>
          <w:lang w:val="en-US"/>
        </w:rPr>
        <w:t>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Logger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Shirley&amp;Sander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We did found a bug, which is unsolved, but was not part of this task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7f7f7f" w:sz="2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Half way there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7f7f7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7f7f7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7f7f7f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34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Documentation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2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2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bfbfbf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pt-PT"/>
        </w:rPr>
        <w:t>Problem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</w:rPr>
        <w:t>Problem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Adjustments for the next Sprint Plan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/>
          <w:rtl w:val="0"/>
          <w:lang w:val="en-US"/>
        </w:rPr>
        <w:t>Motivate any adjustments that will be made for the next Sprint Plan.</w:t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