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rFonts w:ascii="Helvetica Neue" w:hAnsi="Helvetica Neue"/>
          <w:sz w:val="60"/>
          <w:szCs w:val="60"/>
          <w:lang w:val="en-US"/>
        </w:rPr>
      </w:pPr>
      <w:r>
        <w:rPr>
          <w:rFonts w:ascii="Helvetica Neue" w:hAnsi="Helvetica Neue"/>
          <w:sz w:val="60"/>
          <w:szCs w:val="60"/>
          <w:lang w:val="en-US"/>
        </w:rPr>
        <w:t>Sprint Plan # 4</w:t>
      </w:r>
    </w:p>
    <w:p>
      <w:pPr>
        <w:pStyle w:val="Body"/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Context Project: Search and Rescue</w:t>
      </w:r>
    </w:p>
    <w:p>
      <w:pPr>
        <w:pStyle w:val="Body"/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Group: 1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jc w:val="left"/>
        <w:tblInd w:w="78" w:type="dxa"/>
        <w:tblBorders>
          <w:top w:val="single" w:sz="24" w:space="0" w:color="000001"/>
          <w:left w:val="single" w:sz="24" w:space="0" w:color="000001"/>
          <w:bottom w:val="single" w:sz="24" w:space="0" w:color="000001"/>
          <w:insideH w:val="single" w:sz="24" w:space="0" w:color="000001"/>
          <w:right w:val="single" w:sz="24" w:space="0" w:color="000001"/>
          <w:insideV w:val="single" w:sz="24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594"/>
        <w:gridCol w:w="778"/>
        <w:gridCol w:w="4977"/>
        <w:gridCol w:w="2676"/>
        <w:gridCol w:w="3264"/>
      </w:tblGrid>
      <w:tr>
        <w:trPr>
          <w:tblHeader w:val="true"/>
          <w:trHeight w:val="374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User Story</w:t>
            </w:r>
          </w:p>
        </w:tc>
        <w:tc>
          <w:tcPr>
            <w:tcW w:w="11695" w:type="dxa"/>
            <w:gridSpan w:val="4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Task</w:t>
            </w:r>
          </w:p>
        </w:tc>
      </w:tr>
      <w:tr>
        <w:trPr>
          <w:tblHeader w:val="true"/>
          <w:trHeight w:val="37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Id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Description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Assigned to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Estimated effort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Logger - fix bugs we found previous sprint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1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Find when do you know bot entered room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Sander&amp;Jan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2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Logging in different files when using restart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Shirley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Client Testing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3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GUI Package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4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Startup package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5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Light" w:hAnsi="Helvetica Neue Light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Environment package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6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Handler</w:t>
            </w:r>
            <w:r>
              <w:rPr/>
              <w:t xml:space="preserve"> package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Martin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nil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7</w:t>
            </w:r>
          </w:p>
        </w:tc>
        <w:tc>
          <w:tcPr>
            <w:tcW w:w="4977" w:type="dxa"/>
            <w:tcBorders>
              <w:top w:val="nil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Controller</w:t>
            </w:r>
          </w:p>
        </w:tc>
        <w:tc>
          <w:tcPr>
            <w:tcW w:w="2676" w:type="dxa"/>
            <w:tcBorders>
              <w:top w:val="nil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Martin</w:t>
            </w:r>
          </w:p>
        </w:tc>
        <w:tc>
          <w:tcPr>
            <w:tcW w:w="3264" w:type="dxa"/>
            <w:tcBorders>
              <w:top w:val="nil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ascii="Helvetica Neue Medium" w:hAnsi="Helvetica Neue Medium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Checkstyle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nl-NL"/>
              </w:rPr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nl-NL"/>
              </w:rPr>
              <w:t>8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Checkstyle warning for method to long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/>
            </w:pPr>
            <w:r>
              <w:rPr/>
              <w:t>Unit complexity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9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find major problems (length of functions)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Shirley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</w:t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stijl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split found functions to team members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Shirley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1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Split ClientMapController :: handlepercepts()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Daniel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  <w:tr>
        <w:trPr>
          <w:trHeight w:val="435" w:hRule="atLeast"/>
          <w:cantSplit w:val="false"/>
        </w:trPr>
        <w:tc>
          <w:tcPr>
            <w:tcW w:w="259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10101"/>
              <w:insideH w:val="single" w:sz="24" w:space="0" w:color="0101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2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10101"/>
              <w:insideH w:val="single" w:sz="24" w:space="0" w:color="0101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Fix unit complexity of packages 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10101"/>
              <w:insideH w:val="single" w:sz="24" w:space="0" w:color="0101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Task9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10101"/>
              <w:insideH w:val="single" w:sz="24" w:space="0" w:color="0101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10101"/>
              <w:insideV w:val="single" w:sz="24" w:space="0" w:color="010101"/>
            </w:tcBorders>
            <w:shd w:fill="E2E4E3" w:val="clear"/>
            <w:tcMar>
              <w:left w:w="50" w:type="dxa"/>
            </w:tcMar>
          </w:tcPr>
          <w:p>
            <w:pPr>
              <w:pStyle w:val="Hoofdtekst"/>
              <w:rPr>
                <w:b/>
                <w:bCs/>
              </w:rPr>
            </w:pPr>
            <w:r>
              <w:rPr>
                <w:b/>
                <w:bCs/>
              </w:rPr>
              <w:t>Modeling coupling</w:t>
            </w:r>
          </w:p>
        </w:tc>
        <w:tc>
          <w:tcPr>
            <w:tcW w:w="778" w:type="dxa"/>
            <w:tcBorders>
              <w:top w:val="single" w:sz="24" w:space="0" w:color="010101"/>
              <w:left w:val="single" w:sz="24" w:space="0" w:color="010101"/>
              <w:bottom w:val="single" w:sz="2" w:space="0" w:color="000001"/>
              <w:insideH w:val="single" w:sz="2" w:space="0" w:color="000001"/>
              <w:right w:val="single" w:sz="24" w:space="0" w:color="010101"/>
              <w:insideV w:val="single" w:sz="24" w:space="0" w:color="0101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3</w:t>
            </w:r>
          </w:p>
        </w:tc>
        <w:tc>
          <w:tcPr>
            <w:tcW w:w="4977" w:type="dxa"/>
            <w:tcBorders>
              <w:top w:val="single" w:sz="24" w:space="0" w:color="010101"/>
              <w:left w:val="single" w:sz="24" w:space="0" w:color="010101"/>
              <w:bottom w:val="single" w:sz="2" w:space="0" w:color="000001"/>
              <w:insideH w:val="single" w:sz="2" w:space="0" w:color="000001"/>
              <w:right w:val="single" w:sz="24" w:space="0" w:color="010101"/>
              <w:insideV w:val="single" w:sz="24" w:space="0" w:color="0101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Make dependency graph</w:t>
            </w:r>
          </w:p>
        </w:tc>
        <w:tc>
          <w:tcPr>
            <w:tcW w:w="2676" w:type="dxa"/>
            <w:tcBorders>
              <w:top w:val="single" w:sz="24" w:space="0" w:color="010101"/>
              <w:left w:val="single" w:sz="24" w:space="0" w:color="010101"/>
              <w:bottom w:val="single" w:sz="2" w:space="0" w:color="000001"/>
              <w:insideH w:val="single" w:sz="2" w:space="0" w:color="000001"/>
              <w:right w:val="single" w:sz="24" w:space="0" w:color="010101"/>
              <w:insideV w:val="single" w:sz="24" w:space="0" w:color="0101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Shirley</w:t>
            </w:r>
          </w:p>
        </w:tc>
        <w:tc>
          <w:tcPr>
            <w:tcW w:w="3264" w:type="dxa"/>
            <w:tcBorders>
              <w:top w:val="single" w:sz="24" w:space="0" w:color="010101"/>
              <w:left w:val="single" w:sz="24" w:space="0" w:color="010101"/>
              <w:bottom w:val="single" w:sz="2" w:space="0" w:color="000001"/>
              <w:insideH w:val="single" w:sz="2" w:space="0" w:color="000001"/>
              <w:right w:val="single" w:sz="24" w:space="0" w:color="010101"/>
              <w:insideV w:val="single" w:sz="24" w:space="0" w:color="0101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</w:t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4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Find major problems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tcBorders>
              <w:top w:val="single" w:sz="8" w:space="0" w:color="BFBFBF"/>
              <w:left w:val="single" w:sz="24" w:space="0" w:color="010101"/>
              <w:bottom w:val="single" w:sz="24" w:space="0" w:color="010101"/>
              <w:insideH w:val="single" w:sz="24" w:space="0" w:color="0101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adjust sprint plan accordingly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tcBorders>
              <w:top w:val="single" w:sz="24" w:space="0" w:color="010101"/>
              <w:left w:val="single" w:sz="24" w:space="0" w:color="010101"/>
              <w:bottom w:val="single" w:sz="8" w:space="0" w:color="BFBFBF"/>
              <w:insideH w:val="single" w:sz="8" w:space="0" w:color="BFBFBF"/>
              <w:right w:val="single" w:sz="24" w:space="0" w:color="010101"/>
              <w:insideV w:val="single" w:sz="24" w:space="0" w:color="010101"/>
            </w:tcBorders>
            <w:shd w:fill="E2E4E3" w:val="clear"/>
            <w:tcMar>
              <w:left w:w="50" w:type="dxa"/>
            </w:tcMar>
          </w:tcPr>
          <w:p>
            <w:pPr>
              <w:pStyle w:val="Hoofdtekst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101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6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Make appointment with Koen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Martin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  <w:tr>
        <w:trPr>
          <w:trHeight w:val="404" w:hRule="atLeast"/>
          <w:cantSplit w:val="false"/>
        </w:trPr>
        <w:tc>
          <w:tcPr>
            <w:tcW w:w="2594" w:type="dxa"/>
            <w:tcBorders>
              <w:top w:val="single" w:sz="8" w:space="0" w:color="BFBFBF"/>
              <w:left w:val="single" w:sz="24" w:space="0" w:color="010101"/>
              <w:bottom w:val="single" w:sz="24" w:space="0" w:color="010101"/>
              <w:insideH w:val="single" w:sz="24" w:space="0" w:color="0101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7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Make appointment with Bacchelli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Jan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</w:t>
            </w:r>
          </w:p>
        </w:tc>
      </w:tr>
    </w:tbl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  <w:b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709" w:top="766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envoettekst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envoettekst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Kopenvoettekst">
    <w:name w:val="Kop- en voettekst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Title">
    <w:name w:val="Title"/>
    <w:basedOn w:val="Heading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60"/>
      <w:sz w:val="60"/>
      <w:szCs w:val="60"/>
      <w:u w:val="none" w:color="000000"/>
      <w:vertAlign w:val="baseline"/>
      <w:lang w:val="en-US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TableStyle1">
    <w:name w:val="Table Style 1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TableStyle2">
    <w:name w:val="Table Style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Hoofdtekst">
    <w:name w:val="Hoofdtekst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HoofdtekstA">
    <w:name w:val="Hoofdtekst A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nl-NL" w:eastAsia="zh-CN" w:bidi="hi-IN"/>
    </w:rPr>
  </w:style>
  <w:style w:type="paragraph" w:styleId="Tabelstijl2">
    <w:name w:val="Tabelstijl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