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6 July 2026 (the "Effective Date") between Fictional Co Ltd, a company registered in England and Wales with company number 09876543, whose registered office is at Example House, 1 Sample Street, London EC1A 1AA ("Fictional Co"), and Quantix Labs Inc., 500 Howard Street, San Francisco, CA 94105, USA, ("Counterparty"). Each party may disclose ("Discloser") or receive ("Recipient") Confidential Information under this Agreement.</w:t>
      </w:r>
    </w:p>
    <w:p>
      <w:r>
        <w:rPr>
          <w:b/>
        </w:rPr>
        <w:t xml:space="preserve">1. Purpose. </w:t>
      </w:r>
      <w:r>
        <w:t>The parties intend to evaluate a potential commercial collaboration relating to data analytics services (the "Purpose"), and in connection therewith each party may make Confidential Information available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r>
        <w:rPr>
          <w:b/>
        </w:rPr>
        <w:t xml:space="preserve">6. Confidentiality Period. </w:t>
      </w:r>
      <w:r>
        <w:t>The Recipient's obligations under this Agreement survive indefinitely with respect to all Confidential Information, without limitation in time.</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Residuals. </w:t>
      </w:r>
      <w:r>
        <w:t>Notwithstanding anything to the contrary herein, the Recipient may use for any purpose the Residuals resulting from access to the Confidential Information, where "Residuals" means information retained in the unaided memory of the Recipient's personnel.</w:t>
      </w:r>
    </w:p>
    <w:p>
      <w:r>
        <w:rPr>
          <w:b/>
        </w:rPr>
        <w:t xml:space="preserve">10. No Warranty. </w:t>
      </w:r>
      <w:r>
        <w:t>All Confidential Information is provided "as is". Neither party warrants the accuracy or completeness of any Confidential Information disclosed under this Agreement.</w:t>
      </w:r>
    </w:p>
    <w:p>
      <w:r>
        <w:rPr>
          <w:b/>
        </w:rPr>
        <w:t xml:space="preserve">11.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12. Non-Solicitation. </w:t>
      </w:r>
      <w:r>
        <w:t>During the term of this Agreement and for two (2) years thereafter, neither party shall directly or indirectly solicit for employment any employee of the other party.</w:t>
      </w:r>
    </w:p>
    <w:p>
      <w:r>
        <w:rPr>
          <w:b/>
        </w:rPr>
        <w:t xml:space="preserve">13. Governing Law. </w:t>
      </w:r>
      <w:r>
        <w:t>This Agreement is governed by the laws of England and Wales, and the courts of England shall have exclusive jurisdiction over any dispute arising out of or in connection with it.</w:t>
      </w:r>
    </w:p>
    <w:p>
      <w:r>
        <w:rPr>
          <w:b/>
        </w:rPr>
        <w:t xml:space="preserve">14.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