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Attribution"/>
        <w:bidi w:val="0"/>
      </w:pPr>
      <w:r>
        <w:rPr>
          <w:rtl w:val="0"/>
        </w:rPr>
        <w:t>Jake Jongejans</w:t>
      </w:r>
    </w:p>
    <w:p>
      <w:pPr>
        <w:pStyle w:val="Attribution"/>
        <w:bidi w:val="0"/>
      </w:pPr>
      <w:r>
        <w:rPr>
          <w:rtl w:val="0"/>
        </w:rPr>
        <w:t xml:space="preserve">Filosofie Lesbrief PO </w:t>
      </w:r>
      <w:r>
        <w:rPr>
          <w:rtl w:val="0"/>
        </w:rPr>
        <w:t xml:space="preserve">— </w:t>
      </w:r>
      <w:r>
        <w:rPr>
          <w:rtl w:val="0"/>
        </w:rPr>
        <w:t>Martin Struik</w:t>
      </w:r>
    </w:p>
    <w:p>
      <w:pPr>
        <w:pStyle w:val="Attribution"/>
        <w:bidi w:val="0"/>
      </w:pPr>
      <w:r>
        <w:rPr/>
        <w:fldChar w:fldCharType="begin" w:fldLock="0"/>
      </w:r>
      <w:r>
        <w:instrText xml:space="preserve"> DATE \@ "d MMMM y" </w:instrText>
      </w:r>
      <w:r>
        <w:rPr/>
        <w:fldChar w:fldCharType="separate" w:fldLock="0"/>
      </w:r>
      <w:r>
        <w:rPr>
          <w:rtl w:val="0"/>
        </w:rPr>
        <w:t>13 March 2020</w:t>
      </w:r>
      <w:r>
        <w:rPr/>
        <w:fldChar w:fldCharType="end" w:fldLock="1"/>
      </w:r>
    </w:p>
    <w:p>
      <w:pPr>
        <w:pStyle w:val="Attribution"/>
        <w:bidi w:val="0"/>
      </w:pPr>
    </w:p>
    <w:p>
      <w:pPr>
        <w:pStyle w:val="Attribution"/>
        <w:bidi w:val="0"/>
      </w:pPr>
    </w:p>
    <w:p>
      <w:pPr>
        <w:pStyle w:val="Subtitle"/>
        <w:bidi w:val="0"/>
      </w:pPr>
      <w:r>
        <w:rPr>
          <w:rtl w:val="0"/>
        </w:rPr>
        <w:t xml:space="preserve">Het bereiken van het goede leven </w:t>
      </w:r>
    </w:p>
    <w:p>
      <w:pPr>
        <w:pStyle w:val="Subheading"/>
        <w:bidi w:val="0"/>
      </w:pPr>
      <w:r>
        <w:rPr>
          <w:rtl w:val="0"/>
        </w:rPr>
        <w:t>Over de leer van de Stoa en het boeddhisme</w:t>
      </w:r>
    </w:p>
    <w:p>
      <w:pPr>
        <w:pStyle w:val="Body"/>
        <w:bidi w:val="0"/>
      </w:pPr>
    </w:p>
    <w:p>
      <w:pPr>
        <w:pStyle w:val="Body"/>
        <w:keepNext w:val="1"/>
        <w:keepLines w:val="0"/>
        <w:pageBreakBefore w:val="0"/>
        <w:framePr w:hSpace="0" w:hAnchor="text" w:vAnchor="text" w:wrap="around" w:dropCap="drop" w:lines="2"/>
        <w:widowControl w:val="1"/>
        <w:pBdr>
          <w:bottom w:val="nil"/>
          <w:right w:val="nil"/>
        </w:pBdr>
        <w:shd w:val="clear" w:color="auto" w:fill="auto"/>
        <w:suppressAutoHyphens w:val="0"/>
        <w:bidi w:val="0"/>
        <w:spacing w:before="0" w:after="0" w:line="823" w:lineRule="exact"/>
        <w:ind w:left="540" w:right="0" w:firstLine="0"/>
        <w:jc w:val="both"/>
        <w:outlineLvl w:val="9"/>
        <w:textAlignment w:val="baseline"/>
        <w:rPr>
          <w:rtl w:val="0"/>
        </w:rPr>
      </w:pPr>
      <w:r>
        <w:rPr>
          <w:rFonts w:ascii="Baskerville" w:cs="Baskerville" w:hAnsi="Baskerville" w:eastAsia="Baskerville"/>
          <w:b w:val="0"/>
          <w:bCs w:val="0"/>
          <w:i w:val="0"/>
          <w:iCs w:val="0"/>
          <w:caps w:val="0"/>
          <w:smallCaps w:val="0"/>
          <w:strike w:val="0"/>
          <w:dstrike w:val="0"/>
          <w:outline w:val="0"/>
          <w:color w:val="000000"/>
          <w:spacing w:val="0"/>
          <w:kern w:val="0"/>
          <w:position w:val="3"/>
          <w:sz w:val="86"/>
          <w:szCs w:val="86"/>
          <w:u w:val="none"/>
          <w:shd w:val="nil" w:color="auto" w:fill="auto"/>
          <w:vertAlign w:val="baseline"/>
          <w:rtl w:val="0"/>
          <w:lang w:val="en-US"/>
          <w14:textOutline>
            <w14:noFill/>
          </w14:textOutline>
          <w14:textFill>
            <w14:solidFill>
              <w14:srgbClr w14:val="000000"/>
            </w14:solidFill>
          </w14:textFill>
        </w:rPr>
        <w:t>B</w:t>
      </w:r>
    </w:p>
    <w:p>
      <w:pPr>
        <w:pStyle w:val="Body"/>
        <w:bidi w:val="0"/>
      </w:pPr>
      <w:r>
        <w:rPr>
          <w:rFonts w:cs="Arial Unicode MS" w:eastAsia="Arial Unicode MS"/>
          <w:rtl w:val="0"/>
          <w:lang w:val="en-US"/>
        </w:rPr>
        <w:t>ij zowel de Stoa als het boeddhisme hebt is er een doel om gelukkig te worden. In deze lesbrief zal gekeken worden naar de verschillen en de overeenkomsten van beide filosofie</w:t>
      </w:r>
      <w:r>
        <w:rPr>
          <w:rFonts w:cs="Arial Unicode MS" w:eastAsia="Arial Unicode MS" w:hint="default"/>
          <w:rtl w:val="0"/>
          <w:lang w:val="en-US"/>
        </w:rPr>
        <w:t>ë</w:t>
      </w:r>
      <w:r>
        <w:rPr>
          <w:rFonts w:cs="Arial Unicode MS" w:eastAsia="Arial Unicode MS"/>
          <w:rtl w:val="0"/>
          <w:lang w:val="en-US"/>
        </w:rPr>
        <w:t>n.</w:t>
      </w:r>
      <w:r>
        <w:rPr>
          <w:rFonts w:ascii="Baskerville" w:cs="Baskerville" w:hAnsi="Baskerville" w:eastAsia="Baskerville"/>
          <w:b w:val="0"/>
          <w:bCs w:val="0"/>
          <w:i w:val="0"/>
          <w:iCs w:val="0"/>
          <w:vertAlign w:val="superscript"/>
        </w:rPr>
        <w:footnoteReference w:id="1"/>
      </w:r>
      <w:r>
        <w:rPr>
          <w:rFonts w:cs="Arial Unicode MS" w:eastAsia="Arial Unicode MS"/>
          <w:rtl w:val="0"/>
          <w:lang w:val="en-US"/>
        </w:rPr>
        <w:t xml:space="preserve"> Er zal in het detail gekeken worden naar beide filosofie</w:t>
      </w:r>
      <w:r>
        <w:rPr>
          <w:rFonts w:cs="Arial Unicode MS" w:eastAsia="Arial Unicode MS" w:hint="default"/>
          <w:rtl w:val="0"/>
          <w:lang w:val="en-US"/>
        </w:rPr>
        <w:t>ë</w:t>
      </w:r>
      <w:r>
        <w:rPr>
          <w:rFonts w:cs="Arial Unicode MS" w:eastAsia="Arial Unicode MS"/>
          <w:rtl w:val="0"/>
          <w:lang w:val="en-US"/>
        </w:rPr>
        <w:t>n omdat ze dicht bij elkaar liggen. Beide filosofie</w:t>
      </w:r>
      <w:r>
        <w:rPr>
          <w:rFonts w:cs="Arial Unicode MS" w:eastAsia="Arial Unicode MS" w:hint="default"/>
          <w:rtl w:val="0"/>
          <w:lang w:val="en-US"/>
        </w:rPr>
        <w:t>ë</w:t>
      </w:r>
      <w:r>
        <w:rPr>
          <w:rFonts w:cs="Arial Unicode MS" w:eastAsia="Arial Unicode MS"/>
          <w:rtl w:val="0"/>
          <w:lang w:val="en-US"/>
        </w:rPr>
        <w:t>n zullen dus grondig uitgelegd worden. Met deze kennis zal uiteindelijk ook een video gemaakt worden.</w:t>
      </w:r>
    </w:p>
    <w:p>
      <w:pPr>
        <w:pStyle w:val="Body"/>
        <w:bidi w:val="0"/>
      </w:pPr>
    </w:p>
    <w:p>
      <w:pPr>
        <w:pStyle w:val="Heading 2"/>
        <w:bidi w:val="0"/>
      </w:pPr>
      <w:r>
        <w:rPr>
          <w:rtl w:val="0"/>
        </w:rPr>
        <w:t>De Stoa</w:t>
      </w:r>
    </w:p>
    <w:p>
      <w:pPr>
        <w:pStyle w:val="Body"/>
        <w:keepNext w:val="1"/>
        <w:keepLines w:val="0"/>
        <w:pageBreakBefore w:val="0"/>
        <w:framePr w:hSpace="0" w:hAnchor="text" w:vAnchor="text" w:wrap="around" w:dropCap="drop" w:lines="2"/>
        <w:widowControl w:val="1"/>
        <w:pBdr>
          <w:bottom w:val="nil"/>
          <w:right w:val="nil"/>
        </w:pBdr>
        <w:shd w:val="clear" w:color="auto" w:fill="auto"/>
        <w:suppressAutoHyphens w:val="0"/>
        <w:bidi w:val="0"/>
        <w:spacing w:before="0" w:after="0" w:line="823" w:lineRule="exact"/>
        <w:ind w:left="540" w:right="0" w:firstLine="0"/>
        <w:jc w:val="both"/>
        <w:outlineLvl w:val="9"/>
        <w:textAlignment w:val="baseline"/>
        <w:rPr>
          <w:rtl w:val="0"/>
        </w:rPr>
      </w:pPr>
      <w:r>
        <w:rPr>
          <w:rFonts w:ascii="Baskerville" w:cs="Baskerville" w:hAnsi="Baskerville" w:eastAsia="Baskerville"/>
          <w:b w:val="0"/>
          <w:bCs w:val="0"/>
          <w:i w:val="0"/>
          <w:iCs w:val="0"/>
          <w:caps w:val="0"/>
          <w:smallCaps w:val="0"/>
          <w:strike w:val="0"/>
          <w:dstrike w:val="0"/>
          <w:outline w:val="0"/>
          <w:color w:val="000000"/>
          <w:spacing w:val="0"/>
          <w:kern w:val="0"/>
          <w:position w:val="4"/>
          <w:sz w:val="83"/>
          <w:szCs w:val="83"/>
          <w:u w:val="none"/>
          <w:shd w:val="nil" w:color="auto" w:fill="auto"/>
          <w:vertAlign w:val="baseline"/>
          <w:rtl w:val="0"/>
          <w:lang w:val="en-US"/>
          <w14:textOutline>
            <w14:noFill/>
          </w14:textOutline>
          <w14:textFill>
            <w14:solidFill>
              <w14:srgbClr w14:val="000000"/>
            </w14:solidFill>
          </w14:textFill>
        </w:rPr>
        <w:t>O</w:t>
      </w:r>
    </w:p>
    <w:p>
      <w:pPr>
        <w:pStyle w:val="Body"/>
        <w:bidi w:val="0"/>
      </w:pPr>
      <w:r>
        <w:rPr>
          <w:rFonts w:cs="Arial Unicode MS" w:eastAsia="Arial Unicode MS"/>
          <w:rtl w:val="0"/>
          <w:lang w:val="en-US"/>
        </w:rPr>
        <w:t>m te beginnen, gaan we kijken naar de Stoa. De Stoa is een filosofische stroming begonnen rond 300 v.Chr. in Griekenland, door de filosoof Zeno van Citium. Er zijn verscheidene stadia waardoorheen het sto</w:t>
      </w:r>
      <w:r>
        <w:rPr>
          <w:rFonts w:cs="Arial Unicode MS" w:eastAsia="Arial Unicode MS" w:hint="default"/>
          <w:rtl w:val="0"/>
          <w:lang w:val="en-US"/>
        </w:rPr>
        <w:t>ï</w:t>
      </w:r>
      <w:r>
        <w:rPr>
          <w:rFonts w:cs="Arial Unicode MS" w:eastAsia="Arial Unicode MS"/>
          <w:rtl w:val="0"/>
          <w:lang w:val="en-US"/>
        </w:rPr>
        <w:t>cisme is gegaan, waaronder door de filosofen Zeno, Chrysippus, en uiteindelijk door Marcus Aurelius en Seneca. Van de vroege Stoa hebben we geen of nauwelijks bronnen over. Daarom zal gefocust worden op het sto</w:t>
      </w:r>
      <w:r>
        <w:rPr>
          <w:rFonts w:cs="Arial Unicode MS" w:eastAsia="Arial Unicode MS" w:hint="default"/>
          <w:rtl w:val="0"/>
          <w:lang w:val="en-US"/>
        </w:rPr>
        <w:t>ï</w:t>
      </w:r>
      <w:r>
        <w:rPr>
          <w:rFonts w:cs="Arial Unicode MS" w:eastAsia="Arial Unicode MS"/>
          <w:rtl w:val="0"/>
          <w:lang w:val="en-US"/>
        </w:rPr>
        <w:t>cisme van Seneca. De Stoa geloofde in dat het menselijk lichaam dualistisch was, wat te merken valt aan het feit dat het doel van het sto</w:t>
      </w:r>
      <w:r>
        <w:rPr>
          <w:rFonts w:cs="Arial Unicode MS" w:eastAsia="Arial Unicode MS" w:hint="default"/>
          <w:rtl w:val="0"/>
          <w:lang w:val="en-US"/>
        </w:rPr>
        <w:t>ï</w:t>
      </w:r>
      <w:r>
        <w:rPr>
          <w:rFonts w:cs="Arial Unicode MS" w:eastAsia="Arial Unicode MS"/>
          <w:rtl w:val="0"/>
          <w:lang w:val="en-US"/>
        </w:rPr>
        <w:t xml:space="preserve">cisme is om jezelf, oftewel je ziel of ratio, niet te hechten aan je lichaam. Door dit te doen kon je ziel terugkeren naar de wereldziel, anders bleef het namelijk gehecht aan het lichaam en kon het niet terugkeren. Om dit te doen werd verwacht dat iemand alle lichamelijke invloeden losliet, dus hevige emoties, pijn, maar ook materie. Daarbij werd ook gedacht aan het determinisme: de wereldziel zou een plan hebben voor iedere ratio. Een normaal persoon zou dit plan niet kennen, maar ook niet willen volgen. De </w:t>
      </w:r>
      <w:r>
        <w:rPr>
          <w:rFonts w:cs="Arial Unicode MS" w:eastAsia="Arial Unicode MS"/>
          <w:i w:val="1"/>
          <w:iCs w:val="1"/>
          <w:rtl w:val="0"/>
          <w:lang w:val="en-US"/>
        </w:rPr>
        <w:t xml:space="preserve">proficiens </w:t>
      </w:r>
      <w:r>
        <w:rPr>
          <w:rFonts w:cs="Arial Unicode MS" w:eastAsia="Arial Unicode MS"/>
          <w:rtl w:val="0"/>
          <w:lang w:val="en-US"/>
        </w:rPr>
        <w:t xml:space="preserve">zou accepteren dat er een soort lot is en deze met tegenzin volgen. De </w:t>
      </w:r>
      <w:r>
        <w:rPr>
          <w:rFonts w:cs="Arial Unicode MS" w:eastAsia="Arial Unicode MS"/>
          <w:i w:val="1"/>
          <w:iCs w:val="1"/>
          <w:rtl w:val="0"/>
          <w:lang w:val="en-US"/>
        </w:rPr>
        <w:t xml:space="preserve">sapiens </w:t>
      </w:r>
      <w:r>
        <w:rPr>
          <w:rFonts w:cs="Arial Unicode MS" w:eastAsia="Arial Unicode MS"/>
          <w:rtl w:val="0"/>
          <w:lang w:val="en-US"/>
        </w:rPr>
        <w:t xml:space="preserve">zag het plan van de wereldziel in en accepteerde deze helemaal. Nauwelijks iemand zou het ooit bereiken een </w:t>
      </w:r>
      <w:r>
        <w:rPr>
          <w:rFonts w:cs="Arial Unicode MS" w:eastAsia="Arial Unicode MS"/>
          <w:i w:val="1"/>
          <w:iCs w:val="1"/>
          <w:rtl w:val="0"/>
          <w:lang w:val="en-US"/>
        </w:rPr>
        <w:t>sapiens</w:t>
      </w:r>
      <w:r>
        <w:rPr>
          <w:rFonts w:cs="Arial Unicode MS" w:eastAsia="Arial Unicode MS"/>
          <w:rtl w:val="0"/>
          <w:lang w:val="en-US"/>
        </w:rPr>
        <w:t xml:space="preserve"> te zijn. Een </w:t>
      </w:r>
      <w:r>
        <w:rPr>
          <w:rFonts w:cs="Arial Unicode MS" w:eastAsia="Arial Unicode MS"/>
          <w:i w:val="1"/>
          <w:iCs w:val="1"/>
          <w:rtl w:val="0"/>
          <w:lang w:val="en-US"/>
        </w:rPr>
        <w:t>proficiens</w:t>
      </w:r>
      <w:r>
        <w:rPr>
          <w:rFonts w:cs="Arial Unicode MS" w:eastAsia="Arial Unicode MS"/>
          <w:rtl w:val="0"/>
          <w:lang w:val="en-US"/>
        </w:rPr>
        <w:t xml:space="preserve"> zou een acceptabel leven leven, omdat hij het lot (dan wel met tegenzin) zou accepteren, waar een </w:t>
      </w:r>
      <w:r>
        <w:rPr>
          <w:rFonts w:cs="Arial Unicode MS" w:eastAsia="Arial Unicode MS"/>
          <w:i w:val="1"/>
          <w:iCs w:val="1"/>
          <w:rtl w:val="0"/>
          <w:lang w:val="en-US"/>
        </w:rPr>
        <w:t>sapiens</w:t>
      </w:r>
      <w:r>
        <w:rPr>
          <w:rFonts w:cs="Arial Unicode MS" w:eastAsia="Arial Unicode MS"/>
          <w:rtl w:val="0"/>
          <w:lang w:val="en-US"/>
        </w:rPr>
        <w:t xml:space="preserve"> gelukkig zou leven doordat die wist waarom alles gebeurde. Bij de Stoa volg je dus het lot, en hecht je je niet aan het lichaam. Als we nog even kijken naar de hevige emoties, dan is daar wel iets mee aan de hand. De Sto</w:t>
      </w:r>
      <w:r>
        <w:rPr>
          <w:rFonts w:cs="Arial Unicode MS" w:eastAsia="Arial Unicode MS" w:hint="default"/>
          <w:rtl w:val="0"/>
          <w:lang w:val="en-US"/>
        </w:rPr>
        <w:t>ï</w:t>
      </w:r>
      <w:r>
        <w:rPr>
          <w:rFonts w:cs="Arial Unicode MS" w:eastAsia="Arial Unicode MS"/>
          <w:rtl w:val="0"/>
          <w:lang w:val="en-US"/>
        </w:rPr>
        <w:t xml:space="preserve">cijnen spraken over drie </w:t>
      </w:r>
      <w:r>
        <w:rPr>
          <w:rFonts w:cs="Arial Unicode MS" w:eastAsia="Arial Unicode MS" w:hint="default"/>
          <w:rtl w:val="0"/>
          <w:lang w:val="en-US"/>
        </w:rPr>
        <w:t>‘</w:t>
      </w:r>
      <w:r>
        <w:rPr>
          <w:rFonts w:cs="Arial Unicode MS" w:eastAsia="Arial Unicode MS"/>
          <w:rtl w:val="0"/>
          <w:lang w:val="en-US"/>
        </w:rPr>
        <w:t>rationele</w:t>
      </w:r>
      <w:r>
        <w:rPr>
          <w:rFonts w:cs="Arial Unicode MS" w:eastAsia="Arial Unicode MS" w:hint="default"/>
          <w:rtl w:val="0"/>
          <w:lang w:val="en-US"/>
        </w:rPr>
        <w:t xml:space="preserve">’ </w:t>
      </w:r>
      <w:r>
        <w:rPr>
          <w:rFonts w:cs="Arial Unicode MS" w:eastAsia="Arial Unicode MS"/>
          <w:rtl w:val="0"/>
          <w:lang w:val="en-US"/>
        </w:rPr>
        <w:t xml:space="preserve">emoties, </w:t>
      </w:r>
      <w:r>
        <w:rPr>
          <w:rFonts w:cs="Arial Unicode MS" w:eastAsia="Arial Unicode MS"/>
          <w:i w:val="1"/>
          <w:iCs w:val="1"/>
          <w:rtl w:val="0"/>
          <w:lang w:val="en-US"/>
        </w:rPr>
        <w:t>eulabeia</w:t>
      </w:r>
      <w:r>
        <w:rPr>
          <w:rFonts w:cs="Arial Unicode MS" w:eastAsia="Arial Unicode MS"/>
          <w:rtl w:val="0"/>
          <w:lang w:val="en-US"/>
        </w:rPr>
        <w:t xml:space="preserve">, </w:t>
      </w:r>
      <w:r>
        <w:rPr>
          <w:rFonts w:cs="Arial Unicode MS" w:eastAsia="Arial Unicode MS"/>
          <w:i w:val="1"/>
          <w:iCs w:val="1"/>
          <w:rtl w:val="0"/>
          <w:lang w:val="en-US"/>
        </w:rPr>
        <w:t>boulesis</w:t>
      </w:r>
      <w:r>
        <w:rPr>
          <w:rFonts w:cs="Arial Unicode MS" w:eastAsia="Arial Unicode MS"/>
          <w:rtl w:val="0"/>
          <w:lang w:val="en-US"/>
        </w:rPr>
        <w:t xml:space="preserve">, en </w:t>
      </w:r>
      <w:r>
        <w:rPr>
          <w:rFonts w:cs="Arial Unicode MS" w:eastAsia="Arial Unicode MS"/>
          <w:i w:val="1"/>
          <w:iCs w:val="1"/>
          <w:rtl w:val="0"/>
          <w:lang w:val="en-US"/>
        </w:rPr>
        <w:t>khara</w:t>
      </w:r>
      <w:r>
        <w:rPr>
          <w:rFonts w:cs="Arial Unicode MS" w:eastAsia="Arial Unicode MS"/>
          <w:rtl w:val="0"/>
          <w:lang w:val="en-US"/>
        </w:rPr>
        <w:t xml:space="preserve">. Deze drie emoties, of eerder hoeveelheden van een bepaalde emotie, waren de enige drie emoties die niet gezien werden als negatief. Dit waren rationele emoties, er was dus geen overvloed ervan. </w:t>
      </w:r>
    </w:p>
    <w:p>
      <w:pPr>
        <w:pStyle w:val="Body"/>
        <w:bidi w:val="0"/>
      </w:pPr>
    </w:p>
    <w:p>
      <w:pPr>
        <w:pStyle w:val="Heading 2"/>
        <w:bidi w:val="0"/>
      </w:pPr>
      <w:r>
        <w:rPr>
          <w:rtl w:val="0"/>
        </w:rPr>
        <w:t>Het boeddhisme</w:t>
      </w:r>
    </w:p>
    <w:p>
      <w:pPr>
        <w:pStyle w:val="Body"/>
        <w:keepNext w:val="1"/>
        <w:keepLines w:val="0"/>
        <w:pageBreakBefore w:val="0"/>
        <w:framePr w:hSpace="0" w:hAnchor="text" w:vAnchor="text" w:wrap="around" w:dropCap="drop" w:lines="2"/>
        <w:widowControl w:val="1"/>
        <w:pBdr>
          <w:bottom w:val="nil"/>
          <w:right w:val="nil"/>
        </w:pBdr>
        <w:shd w:val="clear" w:color="auto" w:fill="auto"/>
        <w:suppressAutoHyphens w:val="0"/>
        <w:bidi w:val="0"/>
        <w:spacing w:before="0" w:after="0" w:line="823" w:lineRule="exact"/>
        <w:ind w:left="540" w:right="0" w:firstLine="0"/>
        <w:jc w:val="both"/>
        <w:outlineLvl w:val="9"/>
        <w:textAlignment w:val="baseline"/>
        <w:rPr>
          <w:rtl w:val="0"/>
        </w:rPr>
      </w:pPr>
      <w:r>
        <w:rPr>
          <w:rFonts w:ascii="Baskerville" w:cs="Baskerville" w:hAnsi="Baskerville" w:eastAsia="Baskerville"/>
          <w:b w:val="0"/>
          <w:bCs w:val="0"/>
          <w:i w:val="0"/>
          <w:iCs w:val="0"/>
          <w:caps w:val="0"/>
          <w:smallCaps w:val="0"/>
          <w:strike w:val="0"/>
          <w:dstrike w:val="0"/>
          <w:outline w:val="0"/>
          <w:color w:val="000000"/>
          <w:spacing w:val="0"/>
          <w:kern w:val="0"/>
          <w:position w:val="3"/>
          <w:sz w:val="86"/>
          <w:szCs w:val="86"/>
          <w:u w:val="none"/>
          <w:shd w:val="nil" w:color="auto" w:fill="auto"/>
          <w:vertAlign w:val="baseline"/>
          <w:rtl w:val="0"/>
          <w:lang w:val="en-US"/>
          <w14:textOutline>
            <w14:noFill/>
          </w14:textOutline>
          <w14:textFill>
            <w14:solidFill>
              <w14:srgbClr w14:val="000000"/>
            </w14:solidFill>
          </w14:textFill>
        </w:rPr>
        <w:t>H</w:t>
      </w:r>
    </w:p>
    <w:p>
      <w:pPr>
        <w:pStyle w:val="Body"/>
        <w:bidi w:val="0"/>
      </w:pPr>
      <w:r>
        <w:rPr>
          <w:rFonts w:cs="Arial Unicode MS" w:eastAsia="Arial Unicode MS"/>
          <w:rtl w:val="0"/>
          <w:lang w:val="en-US"/>
        </w:rPr>
        <w:t xml:space="preserve">et boeddhisme is een religieuze filosofie waar men zijn tekortkomingen overkomt en zijn vermogens ontwikkelt. Iemand die dit volledig doet, is in het boeddhisme een </w:t>
      </w:r>
      <w:r>
        <w:rPr>
          <w:rFonts w:cs="Arial Unicode MS" w:eastAsia="Arial Unicode MS"/>
          <w:i w:val="1"/>
          <w:iCs w:val="1"/>
          <w:rtl w:val="0"/>
          <w:lang w:val="en-US"/>
        </w:rPr>
        <w:t>Buddha</w:t>
      </w:r>
      <w:r>
        <w:rPr>
          <w:rFonts w:cs="Arial Unicode MS" w:eastAsia="Arial Unicode MS"/>
          <w:rtl w:val="0"/>
          <w:lang w:val="en-US"/>
        </w:rPr>
        <w:t xml:space="preserve">, een bron van blijheid voor zichzelf en de mensen om hem heen. Dit behaalden zij door te realiseren dat hun voorstelling van de wereld niet is zoals ze denken. Door een sterke wil om vrij te zijn van lijden wisten zij te stoppen met het geloven van de projecties van het verstand. Ze stopten met het voelen van gevoelens die pijn meebrachten en verlosten zich van alle lijden. Terwijl ze dit probeerden te bereiken, versterkten ze hun positieve emoties, zoals liefde en mededogen. Daarnaast hielpen ze anderen zoveel als ze konden. Ze begonnen de connectie en </w:t>
      </w:r>
      <w:r>
        <w:rPr>
          <w:rFonts w:cs="Arial Unicode MS" w:eastAsia="Arial Unicode MS"/>
          <w:rtl w:val="0"/>
          <w:lang w:val="nl-NL"/>
        </w:rPr>
        <w:t>afhankelijkheid</w:t>
      </w:r>
      <w:r>
        <w:rPr>
          <w:rFonts w:cs="Arial Unicode MS" w:eastAsia="Arial Unicode MS"/>
          <w:rtl w:val="0"/>
          <w:lang w:val="en-US"/>
        </w:rPr>
        <w:t xml:space="preserve"> tussen alles te zien, De </w:t>
      </w:r>
      <w:r>
        <w:rPr>
          <w:rFonts w:cs="Arial Unicode MS" w:eastAsia="Arial Unicode MS"/>
          <w:i w:val="1"/>
          <w:iCs w:val="1"/>
          <w:rtl w:val="0"/>
          <w:lang w:val="en-US"/>
        </w:rPr>
        <w:t>cosmos</w:t>
      </w:r>
      <w:r>
        <w:rPr>
          <w:rFonts w:cs="Arial Unicode MS" w:eastAsia="Arial Unicode MS"/>
          <w:rtl w:val="0"/>
          <w:lang w:val="en-US"/>
        </w:rPr>
        <w:t xml:space="preserve"> ziet als oneindig. Deze </w:t>
      </w:r>
      <w:r>
        <w:rPr>
          <w:rFonts w:cs="Arial Unicode MS" w:eastAsia="Arial Unicode MS"/>
          <w:i w:val="1"/>
          <w:iCs w:val="1"/>
          <w:rtl w:val="0"/>
          <w:lang w:val="en-US"/>
        </w:rPr>
        <w:t xml:space="preserve">cosmos </w:t>
      </w:r>
      <w:r>
        <w:rPr>
          <w:rFonts w:cs="Arial Unicode MS" w:eastAsia="Arial Unicode MS"/>
          <w:rtl w:val="0"/>
          <w:lang w:val="en-US"/>
        </w:rPr>
        <w:t>bestaat uit drie vlakken van existentie, een soort dimensionale vlakken. Het laagste vlak is het rijk van begeerte. Deze bestaat op zijn beurt weer uit zes domeinen of niveau</w:t>
      </w:r>
      <w:r>
        <w:rPr>
          <w:rFonts w:cs="Arial Unicode MS" w:eastAsia="Arial Unicode MS" w:hint="default"/>
          <w:rtl w:val="0"/>
          <w:lang w:val="en-US"/>
        </w:rPr>
        <w:t>’</w:t>
      </w:r>
      <w:r>
        <w:rPr>
          <w:rFonts w:cs="Arial Unicode MS" w:eastAsia="Arial Unicode MS"/>
          <w:rtl w:val="0"/>
          <w:lang w:val="en-US"/>
        </w:rPr>
        <w:t xml:space="preserve">s: die van de goden, demigoden, mensen, dieren, uitgehongerde geesten en wezens van hel. </w:t>
      </w:r>
    </w:p>
    <w:p>
      <w:pPr>
        <w:pStyle w:val="Body"/>
        <w:bidi w:val="0"/>
      </w:pPr>
    </w:p>
    <w:p>
      <w:pPr>
        <w:pStyle w:val="Heading 2"/>
        <w:bidi w:val="0"/>
      </w:pPr>
      <w:r>
        <w:rPr>
          <w:rtl w:val="0"/>
        </w:rPr>
        <w:t>Verheldering van begrippen</w:t>
      </w:r>
    </w:p>
    <w:p>
      <w:pPr>
        <w:pStyle w:val="Body"/>
        <w:bidi w:val="0"/>
      </w:pPr>
      <w:r>
        <w:rPr>
          <w:rFonts w:cs="Arial Unicode MS" w:eastAsia="Arial Unicode MS"/>
          <w:rtl w:val="0"/>
          <w:lang w:val="en-US"/>
        </w:rPr>
        <w:t>Verscheidene begrippen zijn in deze lesbrief aan bod gekomen. Voor de cursieve woorden zijn hier de betekenissen te vinden:</w:t>
      </w:r>
    </w:p>
    <w:p>
      <w:pPr>
        <w:pStyle w:val="Body"/>
        <w:numPr>
          <w:ilvl w:val="1"/>
          <w:numId w:val="2"/>
        </w:numPr>
        <w:rPr>
          <w:lang w:val="en-US"/>
        </w:rPr>
      </w:pPr>
      <w:r>
        <w:rPr>
          <w:rtl w:val="0"/>
          <w:lang w:val="en-US"/>
        </w:rPr>
        <w:t>Begrippen horende bij de Stoa:</w:t>
      </w:r>
    </w:p>
    <w:p>
      <w:pPr>
        <w:pStyle w:val="Body"/>
        <w:numPr>
          <w:ilvl w:val="2"/>
          <w:numId w:val="2"/>
        </w:numPr>
        <w:rPr>
          <w:i w:val="1"/>
          <w:iCs w:val="1"/>
          <w:lang w:val="en-US"/>
        </w:rPr>
      </w:pPr>
      <w:r>
        <w:rPr>
          <w:i w:val="1"/>
          <w:iCs w:val="1"/>
          <w:rtl w:val="0"/>
          <w:lang w:val="en-US"/>
        </w:rPr>
        <w:t>Procifiens</w:t>
      </w:r>
      <w:r>
        <w:rPr>
          <w:i w:val="0"/>
          <w:iCs w:val="0"/>
          <w:rtl w:val="0"/>
          <w:lang w:val="en-US"/>
        </w:rPr>
        <w:t xml:space="preserve"> is Latijn voor een gevorderde. Bij de Stoa is dit iemand die zich actief inzet om de Sto</w:t>
      </w:r>
      <w:r>
        <w:rPr>
          <w:i w:val="0"/>
          <w:iCs w:val="0"/>
          <w:rtl w:val="0"/>
          <w:lang w:val="en-US"/>
        </w:rPr>
        <w:t>ï</w:t>
      </w:r>
      <w:r>
        <w:rPr>
          <w:i w:val="0"/>
          <w:iCs w:val="0"/>
          <w:rtl w:val="0"/>
          <w:lang w:val="en-US"/>
        </w:rPr>
        <w:t>sche weg te volgen.</w:t>
      </w:r>
    </w:p>
    <w:p>
      <w:pPr>
        <w:pStyle w:val="Body"/>
        <w:numPr>
          <w:ilvl w:val="2"/>
          <w:numId w:val="2"/>
        </w:numPr>
        <w:rPr>
          <w:i w:val="1"/>
          <w:iCs w:val="1"/>
          <w:lang w:val="en-US"/>
        </w:rPr>
      </w:pPr>
      <w:r>
        <w:rPr>
          <w:i w:val="1"/>
          <w:iCs w:val="1"/>
          <w:rtl w:val="0"/>
          <w:lang w:val="en-US"/>
        </w:rPr>
        <w:t>Sapiens</w:t>
      </w:r>
      <w:r>
        <w:rPr>
          <w:i w:val="0"/>
          <w:iCs w:val="0"/>
          <w:rtl w:val="0"/>
          <w:lang w:val="en-US"/>
        </w:rPr>
        <w:t xml:space="preserve"> is Latijn voor een wijze, oftewel iemand die zich geheel gewijd heeft aan de filosofie en inziet wat het lot inhoudt. Dit is wat de sto</w:t>
      </w:r>
      <w:r>
        <w:rPr>
          <w:i w:val="0"/>
          <w:iCs w:val="0"/>
          <w:rtl w:val="0"/>
          <w:lang w:val="en-US"/>
        </w:rPr>
        <w:t>ï</w:t>
      </w:r>
      <w:r>
        <w:rPr>
          <w:i w:val="0"/>
          <w:iCs w:val="0"/>
          <w:rtl w:val="0"/>
          <w:lang w:val="en-US"/>
        </w:rPr>
        <w:t>cijnen wilden bereiken.</w:t>
      </w:r>
    </w:p>
    <w:p>
      <w:pPr>
        <w:pStyle w:val="Body"/>
        <w:numPr>
          <w:ilvl w:val="2"/>
          <w:numId w:val="2"/>
        </w:numPr>
        <w:rPr>
          <w:i w:val="1"/>
          <w:iCs w:val="1"/>
          <w:lang w:val="en-US"/>
        </w:rPr>
      </w:pPr>
      <w:r>
        <w:rPr>
          <w:i w:val="1"/>
          <w:iCs w:val="1"/>
          <w:rtl w:val="0"/>
          <w:lang w:val="en-US"/>
        </w:rPr>
        <w:t>Eulabeia</w:t>
      </w:r>
      <w:r>
        <w:rPr>
          <w:i w:val="0"/>
          <w:iCs w:val="0"/>
          <w:rtl w:val="0"/>
          <w:lang w:val="en-US"/>
        </w:rPr>
        <w:t xml:space="preserve"> is de rationele emotie voor angst, of voorzichtigheid.</w:t>
      </w:r>
    </w:p>
    <w:p>
      <w:pPr>
        <w:pStyle w:val="Body"/>
        <w:numPr>
          <w:ilvl w:val="2"/>
          <w:numId w:val="2"/>
        </w:numPr>
        <w:rPr>
          <w:i w:val="1"/>
          <w:iCs w:val="1"/>
          <w:lang w:val="en-US"/>
        </w:rPr>
      </w:pPr>
      <w:r>
        <w:rPr>
          <w:i w:val="1"/>
          <w:iCs w:val="1"/>
          <w:rtl w:val="0"/>
          <w:lang w:val="en-US"/>
        </w:rPr>
        <w:t xml:space="preserve">Boulesis </w:t>
      </w:r>
      <w:r>
        <w:rPr>
          <w:i w:val="0"/>
          <w:iCs w:val="0"/>
          <w:rtl w:val="0"/>
          <w:lang w:val="en-US"/>
        </w:rPr>
        <w:t>is de rationele emotie voor verlangen.</w:t>
      </w:r>
    </w:p>
    <w:p>
      <w:pPr>
        <w:pStyle w:val="Body"/>
        <w:numPr>
          <w:ilvl w:val="2"/>
          <w:numId w:val="2"/>
        </w:numPr>
        <w:rPr>
          <w:i w:val="1"/>
          <w:iCs w:val="1"/>
          <w:lang w:val="en-US"/>
        </w:rPr>
      </w:pPr>
      <w:r>
        <w:rPr>
          <w:i w:val="1"/>
          <w:iCs w:val="1"/>
          <w:rtl w:val="0"/>
          <w:lang w:val="en-US"/>
        </w:rPr>
        <w:t>Khara</w:t>
      </w:r>
      <w:r>
        <w:rPr>
          <w:i w:val="0"/>
          <w:iCs w:val="0"/>
          <w:rtl w:val="0"/>
          <w:lang w:val="en-US"/>
        </w:rPr>
        <w:t xml:space="preserve"> is de derde rationele emotie, deze voor vreugde.</w:t>
      </w:r>
    </w:p>
    <w:p>
      <w:pPr>
        <w:pStyle w:val="Body"/>
        <w:numPr>
          <w:ilvl w:val="1"/>
          <w:numId w:val="3"/>
        </w:numPr>
        <w:rPr>
          <w:i w:val="1"/>
          <w:iCs w:val="1"/>
          <w:lang w:val="en-US"/>
        </w:rPr>
      </w:pPr>
      <w:r>
        <w:rPr>
          <w:i w:val="0"/>
          <w:iCs w:val="0"/>
          <w:rtl w:val="0"/>
          <w:lang w:val="en-US"/>
        </w:rPr>
        <w:t>Begrippen horende bij het Boeddhisme:</w:t>
      </w:r>
    </w:p>
    <w:p>
      <w:pPr>
        <w:pStyle w:val="Body"/>
        <w:numPr>
          <w:ilvl w:val="2"/>
          <w:numId w:val="3"/>
        </w:numPr>
        <w:rPr>
          <w:i w:val="1"/>
          <w:iCs w:val="1"/>
          <w:lang w:val="en-US"/>
        </w:rPr>
      </w:pPr>
      <w:r>
        <w:rPr>
          <w:i w:val="1"/>
          <w:iCs w:val="1"/>
          <w:rtl w:val="0"/>
          <w:lang w:val="en-US"/>
        </w:rPr>
        <w:t xml:space="preserve">Het boeddhisme is een andere filosofische stroming, begonnen rond 450 v.Chr. in India. Het doel van het boeddhisme is het behalen van de </w:t>
      </w:r>
      <w:r>
        <w:rPr>
          <w:i w:val="1"/>
          <w:iCs w:val="1"/>
          <w:rtl w:val="0"/>
          <w:lang w:val="en-US"/>
        </w:rPr>
        <w:t>Nirvana</w:t>
      </w:r>
      <w:r>
        <w:rPr>
          <w:i w:val="1"/>
          <w:iCs w:val="1"/>
          <w:rtl w:val="0"/>
          <w:lang w:val="en-US"/>
        </w:rPr>
        <w:t xml:space="preserve">, het losbreken van de cyclus dat je herboren wordt. Hoe dit bereikt wordt, is door je te ontdoen van de het bedrog van de </w:t>
      </w:r>
      <w:r>
        <w:rPr>
          <w:i w:val="1"/>
          <w:iCs w:val="1"/>
          <w:rtl w:val="0"/>
          <w:lang w:val="en-US"/>
        </w:rPr>
        <w:t>ego</w:t>
      </w:r>
      <w:r>
        <w:rPr>
          <w:i w:val="1"/>
          <w:iCs w:val="1"/>
          <w:rtl w:val="0"/>
          <w:lang w:val="en-US"/>
        </w:rPr>
        <w:t>.</w:t>
      </w:r>
    </w:p>
    <w:p>
      <w:pPr>
        <w:pStyle w:val="Default"/>
        <w:bidi w:val="0"/>
        <w:spacing w:after="0" w:line="240" w:lineRule="auto"/>
        <w:ind w:left="0" w:right="0" w:firstLine="0"/>
        <w:jc w:val="left"/>
        <w:rPr>
          <w:rtl w:val="0"/>
        </w:rPr>
      </w:pPr>
      <w:r>
        <w:rPr>
          <w:rFonts w:ascii="Helvetica" w:hAnsi="Helvetica"/>
          <w:outline w:val="0"/>
          <w:color w:val="0563c0"/>
          <w:sz w:val="29"/>
          <w:szCs w:val="29"/>
          <w:u w:val="single" w:color="0563c0"/>
          <w:rtl w:val="0"/>
          <w:lang w:val="en-US"/>
          <w14:textFill>
            <w14:solidFill>
              <w14:srgbClr w14:val="0563C1"/>
            </w14:solidFill>
          </w14:textFill>
        </w:rPr>
        <w:t>632d0838-d0af-4753-b946-e1ae7b504b64</w:t>
      </w:r>
      <w:r>
        <w:rPr>
          <w:rFonts w:ascii="Arial Unicode MS" w:cs="Arial Unicode MS" w:hAnsi="Arial Unicode MS" w:eastAsia="Arial Unicode MS"/>
          <w:b w:val="0"/>
          <w:bCs w:val="0"/>
          <w:i w:val="0"/>
          <w:iCs w:val="0"/>
          <w:outline w:val="0"/>
          <w:color w:val="0563c0"/>
          <w:sz w:val="29"/>
          <w:szCs w:val="29"/>
          <w:u w:val="single" w:color="0563c0"/>
          <w:rtl w:val="0"/>
          <w14:textFill>
            <w14:solidFill>
              <w14:srgbClr w14:val="0563C1"/>
            </w14:solidFill>
          </w14:textFill>
        </w:rPr>
        <w:br w:type="page"/>
      </w:r>
    </w:p>
    <w:p>
      <w:pPr>
        <w:pStyle w:val="Heading 2"/>
        <w:bidi w:val="0"/>
      </w:pPr>
      <w:r>
        <w:rPr>
          <w:rtl w:val="0"/>
        </w:rPr>
        <w:t>Bibliografie</w:t>
      </w:r>
    </w:p>
    <w:p>
      <w:pPr>
        <w:pStyle w:val="Body 2"/>
        <w:bidi w:val="0"/>
      </w:pPr>
      <w:r>
        <w:rPr>
          <w:rtl w:val="0"/>
        </w:rPr>
        <w:t xml:space="preserve">Kitagawa, J. M.; Lopez, D. S.; Tucci, G.; Reynolds, F. E.; Nakamura, H.; Snellgrove, D. L. (1998, edits up to 2019) Buddhism, opgehaald van </w:t>
      </w:r>
      <w:r>
        <w:rPr>
          <w:rStyle w:val="Hyperlink.0"/>
        </w:rPr>
        <w:fldChar w:fldCharType="begin" w:fldLock="0"/>
      </w:r>
      <w:r>
        <w:rPr>
          <w:rStyle w:val="Hyperlink.0"/>
        </w:rPr>
        <w:instrText xml:space="preserve"> HYPERLINK "https://www.britannica.com/topic/Buddhism"</w:instrText>
      </w:r>
      <w:r>
        <w:rPr>
          <w:rStyle w:val="Hyperlink.0"/>
        </w:rPr>
        <w:fldChar w:fldCharType="separate" w:fldLock="0"/>
      </w:r>
      <w:r>
        <w:rPr>
          <w:rStyle w:val="Hyperlink.0"/>
          <w:rtl w:val="0"/>
        </w:rPr>
        <w:t>https://www.britannica.com/topic/Buddhism</w:t>
      </w:r>
      <w:r>
        <w:rPr/>
        <w:fldChar w:fldCharType="end" w:fldLock="0"/>
      </w:r>
    </w:p>
    <w:p>
      <w:pPr>
        <w:pStyle w:val="Body 2"/>
        <w:bidi w:val="0"/>
      </w:pPr>
      <w:r>
        <w:rPr>
          <w:rtl w:val="0"/>
        </w:rPr>
        <w:t xml:space="preserve">Thittila, B. U (Februari 1958) The Meaning of Buddhism, opgehaald van </w:t>
      </w:r>
      <w:r>
        <w:rPr>
          <w:rStyle w:val="Hyperlink.0"/>
        </w:rPr>
        <w:fldChar w:fldCharType="begin" w:fldLock="0"/>
      </w:r>
      <w:r>
        <w:rPr>
          <w:rStyle w:val="Hyperlink.0"/>
        </w:rPr>
        <w:instrText xml:space="preserve"> HYPERLINK "https://www.theatlantic.com/magazine/archive/1958/02/the-meaning-of-buddhism/306832/"</w:instrText>
      </w:r>
      <w:r>
        <w:rPr>
          <w:rStyle w:val="Hyperlink.0"/>
        </w:rPr>
        <w:fldChar w:fldCharType="separate" w:fldLock="0"/>
      </w:r>
      <w:r>
        <w:rPr>
          <w:rStyle w:val="Hyperlink.0"/>
          <w:rtl w:val="0"/>
        </w:rPr>
        <w:t>https://www.theatlantic.com/magazine/archive/1958/02/the-meaning-of-buddhism/306832/</w:t>
      </w:r>
      <w:r>
        <w:rPr/>
        <w:fldChar w:fldCharType="end" w:fldLock="0"/>
      </w:r>
    </w:p>
    <w:p>
      <w:pPr>
        <w:pStyle w:val="Body 2"/>
        <w:bidi w:val="0"/>
      </w:pPr>
      <w:r>
        <w:rPr>
          <w:rtl w:val="0"/>
        </w:rPr>
        <w:t>Seneca, L. A. (circa 65 v.Chr.) Ad Lucilium Epistulae Morales</w:t>
      </w:r>
    </w:p>
    <w:p>
      <w:pPr>
        <w:pStyle w:val="Body 2"/>
        <w:bidi w:val="0"/>
      </w:pPr>
      <w:r>
        <w:rPr>
          <w:rtl w:val="0"/>
        </w:rPr>
        <w:t>Turk, A. C. (2019) Filosofie in de oudheid</w:t>
      </w:r>
    </w:p>
    <w:p>
      <w:pPr>
        <w:pStyle w:val="Body 2"/>
        <w:bidi w:val="0"/>
      </w:pPr>
      <w:r>
        <w:rPr>
          <w:rtl w:val="0"/>
        </w:rPr>
        <w:t xml:space="preserve">Berzin, A. (s.d.) Everyone Can Become a Buddha, opgehaald van </w:t>
      </w:r>
      <w:r>
        <w:rPr>
          <w:rStyle w:val="Hyperlink.0"/>
        </w:rPr>
        <w:fldChar w:fldCharType="begin" w:fldLock="0"/>
      </w:r>
      <w:r>
        <w:rPr>
          <w:rStyle w:val="Hyperlink.0"/>
        </w:rPr>
        <w:instrText xml:space="preserve"> HYPERLINK "https://studybuddhism.com/en/tibetan-buddhism/about-buddhism/buddha-s-basic-message/everyone-can-become-a-buddha"</w:instrText>
      </w:r>
      <w:r>
        <w:rPr>
          <w:rStyle w:val="Hyperlink.0"/>
        </w:rPr>
        <w:fldChar w:fldCharType="separate" w:fldLock="0"/>
      </w:r>
      <w:r>
        <w:rPr>
          <w:rStyle w:val="Hyperlink.0"/>
          <w:rtl w:val="0"/>
        </w:rPr>
        <w:t>https://studybuddhism.com/en/tibetan-buddhism/about-buddhism/buddha-s-basic-message/everyone-can-become-a-buddha</w:t>
      </w:r>
      <w:r>
        <w:rPr/>
        <w:fldChar w:fldCharType="end" w:fldLock="0"/>
      </w:r>
      <w:r/>
    </w:p>
    <w:sectPr>
      <w:headerReference w:type="default" r:id="rId4"/>
      <w:footerReference w:type="default" r:id="rId5"/>
      <w:pgSz w:w="11900" w:h="16840" w:orient="portrait"/>
      <w:pgMar w:top="1440" w:right="1440" w:bottom="1440" w:left="1440" w:header="720" w:footer="72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Baskerville">
    <w:charset w:val="00"/>
    <w:family w:val="roman"/>
    <w:pitch w:val="default"/>
  </w:font>
  <w:font w:name="Helvetica">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tabs>
        <w:tab w:val="center" w:pos="4510"/>
      </w:tabs>
      <w:jc w:val="left"/>
    </w:pPr>
    <w:r>
      <w:rPr>
        <w:rtl w:val="0"/>
        <w:lang w:val="en-US"/>
      </w:rPr>
      <w:t>Het bereiken van het goede leven</w:t>
    </w:r>
    <w:r>
      <w:tab/>
      <w:tab/>
    </w:r>
    <w:r>
      <w:rPr/>
      <w:fldChar w:fldCharType="begin" w:fldLock="0"/>
    </w:r>
    <w:r>
      <w:instrText xml:space="preserve"> PAGE </w:instrText>
    </w:r>
    <w:r>
      <w:rPr/>
      <w:fldChar w:fldCharType="separate" w:fldLock="0"/>
    </w:r>
    <w:r/>
    <w:r>
      <w:rPr/>
      <w:fldChar w:fldCharType="end" w:fldLock="0"/>
    </w:r>
  </w:p>
</w:ftr>
</file>

<file path=word/footnotes.xml><?xml version="1.0" encoding="utf-8"?>
<w:footnotes xmlns:w="http://schemas.openxmlformats.org/wordprocessingml/2006/main" xmlns:r="http://schemas.openxmlformats.org/officeDocument/2006/relationships" xmlns:w14="http://schemas.microsoft.com/office/word/2010/wordml" xmlns:wp="http://schemas.openxmlformats.org/drawingml/2006/wordprocessingDrawing" xmlns:m="http://schemas.openxmlformats.org/officeDocument/2006/math">
  <w:footnote w:type="separator" w:id="-1">
    <w:p>
      <w:r>
        <w:separator/>
      </w:r>
    </w:p>
  </w:footnote>
  <w:footnote w:type="continuationSeparator" w:id="0">
    <w:p>
      <w:r>
        <w:continuationSeparator/>
      </w:r>
    </w:p>
  </w:footnote>
  <w:footnote w:type="continuationNotice" w:id="-2">
    <w:p>
      <w:r>
        <w:t/>
      </w:r>
    </w:p>
  </w:footnote>
  <w:footnote w:id="1">
    <w:p>
      <w:pPr>
        <w:pStyle w:val="Footnote"/>
        <w:bidi w:val="0"/>
      </w:pPr>
      <w:r>
        <w:rPr>
          <w:vertAlign w:val="superscript"/>
        </w:rPr>
        <w:footnoteRef/>
      </w:r>
      <w:r>
        <w:rPr>
          <w:rFonts w:cs="Arial Unicode MS" w:eastAsia="Arial Unicode MS"/>
          <w:rtl w:val="0"/>
        </w:rPr>
        <w:t xml:space="preserve"> </w:t>
      </w:r>
      <w:r>
        <w:rPr>
          <w:rFonts w:cs="Arial Unicode MS" w:eastAsia="Arial Unicode MS"/>
          <w:rtl w:val="0"/>
          <w:lang w:val="en-US"/>
        </w:rPr>
        <w:t>Het boeddhisme is een godsdienstige wijsbegeerte, en dus een filosofie volgens de originele betekenis van het woord filosofie: liefde voor wijsheid; wijsbegeerte.</w:t>
      </w:r>
    </w:p>
  </w:footnote>
</w:footnotes>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Bullet"/>
  </w:abstractNum>
  <w:abstractNum w:abstractNumId="1">
    <w:multiLevelType w:val="hybridMultilevel"/>
    <w:styleLink w:val="Bullet"/>
    <w:lvl w:ilvl="0">
      <w:start w:val="1"/>
      <w:numFmt w:val="bullet"/>
      <w:suff w:val="tab"/>
      <w:lvlText w:val="•"/>
      <w:lvlJc w:val="left"/>
      <w:pPr>
        <w:tabs>
          <w:tab w:val="num" w:pos="724"/>
        </w:tabs>
        <w:ind w:left="180" w:firstLine="364"/>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num" w:pos="904"/>
        </w:tabs>
        <w:ind w:left="360" w:firstLine="364"/>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num" w:pos="1084"/>
        </w:tabs>
        <w:ind w:left="540" w:firstLine="364"/>
      </w:pPr>
      <w:rPr>
        <w:rFonts w:hAnsi="Arial Unicode MS"/>
        <w:i w:val="1"/>
        <w:iCs w:val="1"/>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num" w:pos="1264"/>
        </w:tabs>
        <w:ind w:left="720" w:firstLine="364"/>
      </w:pPr>
      <w:rPr>
        <w:rFonts w:hAnsi="Arial Unicode MS"/>
        <w:i w:val="1"/>
        <w:iCs w:val="1"/>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num" w:pos="1444"/>
        </w:tabs>
        <w:ind w:left="900" w:firstLine="364"/>
      </w:pPr>
      <w:rPr>
        <w:rFonts w:hAnsi="Arial Unicode MS"/>
        <w:i w:val="1"/>
        <w:iCs w:val="1"/>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num" w:pos="1624"/>
        </w:tabs>
        <w:ind w:left="1080" w:firstLine="364"/>
      </w:pPr>
      <w:rPr>
        <w:rFonts w:hAnsi="Arial Unicode MS"/>
        <w:i w:val="1"/>
        <w:iCs w:val="1"/>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num" w:pos="1804"/>
        </w:tabs>
        <w:ind w:left="1260" w:firstLine="364"/>
      </w:pPr>
      <w:rPr>
        <w:rFonts w:hAnsi="Arial Unicode MS"/>
        <w:i w:val="1"/>
        <w:iCs w:val="1"/>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num" w:pos="1984"/>
        </w:tabs>
        <w:ind w:left="1440" w:firstLine="364"/>
      </w:pPr>
      <w:rPr>
        <w:rFonts w:hAnsi="Arial Unicode MS"/>
        <w:i w:val="1"/>
        <w:iCs w:val="1"/>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num" w:pos="2164"/>
        </w:tabs>
        <w:ind w:left="1620" w:firstLine="364"/>
      </w:pPr>
      <w:rPr>
        <w:rFonts w:hAnsi="Arial Unicode MS"/>
        <w:i w:val="1"/>
        <w:iCs w:val="1"/>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 w:numId="3">
    <w:abstractNumId w:val="0"/>
    <w:lvlOverride w:ilvl="0">
      <w:lvl w:ilvl="0">
        <w:start w:val="1"/>
        <w:numFmt w:val="bullet"/>
        <w:suff w:val="tab"/>
        <w:lvlText w:val="•"/>
        <w:lvlJc w:val="left"/>
        <w:pPr>
          <w:tabs>
            <w:tab w:val="num" w:pos="724"/>
          </w:tabs>
          <w:ind w:left="180" w:firstLine="364"/>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tabs>
            <w:tab w:val="num" w:pos="904"/>
          </w:tabs>
          <w:ind w:left="360" w:firstLine="364"/>
        </w:pPr>
        <w:rPr>
          <w:rFonts w:hAnsi="Arial Unicode MS"/>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tabs>
            <w:tab w:val="num" w:pos="1084"/>
          </w:tabs>
          <w:ind w:left="540" w:firstLine="364"/>
        </w:pPr>
        <w:rPr>
          <w:rFonts w:hAnsi="Arial Unicode MS"/>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tabs>
            <w:tab w:val="num" w:pos="1264"/>
          </w:tabs>
          <w:ind w:left="720" w:firstLine="364"/>
        </w:pPr>
        <w:rPr>
          <w:rFonts w:hAnsi="Arial Unicode MS"/>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tabs>
            <w:tab w:val="num" w:pos="1444"/>
          </w:tabs>
          <w:ind w:left="900" w:firstLine="364"/>
        </w:pPr>
        <w:rPr>
          <w:rFonts w:hAnsi="Arial Unicode MS"/>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tabs>
            <w:tab w:val="num" w:pos="1624"/>
          </w:tabs>
          <w:ind w:left="1080" w:firstLine="364"/>
        </w:pPr>
        <w:rPr>
          <w:rFonts w:hAnsi="Arial Unicode MS"/>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tabs>
            <w:tab w:val="num" w:pos="1804"/>
          </w:tabs>
          <w:ind w:left="1260" w:firstLine="364"/>
        </w:pPr>
        <w:rPr>
          <w:rFonts w:hAnsi="Arial Unicode MS"/>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tabs>
            <w:tab w:val="num" w:pos="1984"/>
          </w:tabs>
          <w:ind w:left="1440" w:firstLine="364"/>
        </w:pPr>
        <w:rPr>
          <w:rFonts w:hAnsi="Arial Unicode MS"/>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tabs>
            <w:tab w:val="num" w:pos="2164"/>
          </w:tabs>
          <w:ind w:left="1620" w:firstLine="364"/>
        </w:pPr>
        <w:rPr>
          <w:rFonts w:hAnsi="Arial Unicode MS"/>
          <w:i w:val="1"/>
          <w:iCs w:val="1"/>
          <w:caps w:val="0"/>
          <w:smallCaps w:val="0"/>
          <w:strike w:val="0"/>
          <w:dstrike w:val="0"/>
          <w:outline w:val="0"/>
          <w:emboss w:val="0"/>
          <w:imprint w:val="0"/>
          <w:spacing w:val="0"/>
          <w:w w:val="100"/>
          <w:kern w:val="0"/>
          <w:position w:val="0"/>
          <w:highlight w:val="none"/>
          <w:vertAlign w:val="baseline"/>
        </w:rPr>
      </w:lvl>
    </w:lvlOverride>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footnotePr>
    <w:numFmt w:val="decimal"/>
    <w:numStart w:val="1"/>
    <w:numRestart w:val="continuous"/>
    <w:footnote w:id="-1"/>
    <w:footnote w:id="0"/>
    <w:footnote w:id="-2"/>
  </w:footnotePr>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1"/>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Baskerville" w:cs="Arial Unicode MS" w:hAnsi="Baskerville" w:eastAsia="Arial Unicode MS"/>
      <w:b w:val="0"/>
      <w:bCs w:val="0"/>
      <w:i w:val="0"/>
      <w:iCs w:val="0"/>
      <w:caps w:val="1"/>
      <w:strike w:val="0"/>
      <w:dstrike w:val="0"/>
      <w:outline w:val="0"/>
      <w:color w:val="000000"/>
      <w:spacing w:val="0"/>
      <w:kern w:val="0"/>
      <w:position w:val="0"/>
      <w:sz w:val="20"/>
      <w:szCs w:val="20"/>
      <w:u w:val="none"/>
      <w:shd w:val="nil" w:color="auto" w:fill="auto"/>
      <w:vertAlign w:val="baseline"/>
      <w:lang w:val="en-US"/>
      <w14:textOutline>
        <w14:noFill/>
      </w14:textOutline>
      <w14:textFill>
        <w14:solidFill>
          <w14:srgbClr w14:val="000000"/>
        </w14:solidFill>
      </w14:textFill>
    </w:rPr>
  </w:style>
  <w:style w:type="paragraph" w:styleId="Attribution">
    <w:name w:val="Attribution"/>
    <w:next w:val="Body 2"/>
    <w:pPr>
      <w:keepNext w:val="0"/>
      <w:keepLines w:val="0"/>
      <w:pageBreakBefore w:val="0"/>
      <w:widowControl w:val="1"/>
      <w:shd w:val="clear" w:color="auto" w:fill="auto"/>
      <w:suppressAutoHyphens w:val="0"/>
      <w:bidi w:val="0"/>
      <w:spacing w:before="0" w:after="0" w:line="312" w:lineRule="auto"/>
      <w:ind w:left="0" w:right="0" w:firstLine="0"/>
      <w:jc w:val="left"/>
      <w:outlineLvl w:val="0"/>
    </w:pPr>
    <w:rPr>
      <w:rFonts w:ascii="Baskerville" w:cs="Arial Unicode MS" w:hAnsi="Baskerville" w:eastAsia="Arial Unicode MS"/>
      <w:b w:val="0"/>
      <w:bCs w:val="0"/>
      <w:i w:val="0"/>
      <w:iCs w:val="0"/>
      <w:caps w:val="0"/>
      <w:smallCaps w:val="0"/>
      <w:strike w:val="0"/>
      <w:dstrike w:val="0"/>
      <w:outline w:val="0"/>
      <w:color w:val="000000"/>
      <w:spacing w:val="0"/>
      <w:kern w:val="0"/>
      <w:position w:val="0"/>
      <w:sz w:val="26"/>
      <w:szCs w:val="26"/>
      <w:u w:val="none"/>
      <w:shd w:val="nil" w:color="auto" w:fill="auto"/>
      <w:vertAlign w:val="baseline"/>
      <w:lang w:val="en-US"/>
      <w14:textOutline>
        <w14:noFill/>
      </w14:textOutline>
      <w14:textFill>
        <w14:solidFill>
          <w14:srgbClr w14:val="000000"/>
        </w14:solidFill>
      </w14:textFill>
    </w:rPr>
  </w:style>
  <w:style w:type="paragraph" w:styleId="Body 2">
    <w:name w:val="Body 2"/>
    <w:next w:val="Body 2"/>
    <w:pPr>
      <w:keepNext w:val="0"/>
      <w:keepLines w:val="0"/>
      <w:pageBreakBefore w:val="0"/>
      <w:widowControl w:val="1"/>
      <w:shd w:val="clear" w:color="auto" w:fill="auto"/>
      <w:suppressAutoHyphens w:val="0"/>
      <w:bidi w:val="0"/>
      <w:spacing w:before="0" w:after="80" w:line="288" w:lineRule="auto"/>
      <w:ind w:left="0" w:right="0" w:firstLine="0"/>
      <w:jc w:val="left"/>
      <w:outlineLvl w:val="9"/>
    </w:pPr>
    <w:rPr>
      <w:rFonts w:ascii="Baskerville" w:cs="Arial Unicode MS" w:hAnsi="Baskerville" w:eastAsia="Arial Unicode MS"/>
      <w:b w:val="0"/>
      <w:bCs w:val="0"/>
      <w:i w:val="0"/>
      <w:iCs w:val="0"/>
      <w:caps w:val="0"/>
      <w:smallCaps w:val="0"/>
      <w:strike w:val="0"/>
      <w:dstrike w:val="0"/>
      <w:outline w:val="0"/>
      <w:color w:val="434343"/>
      <w:spacing w:val="0"/>
      <w:kern w:val="0"/>
      <w:position w:val="0"/>
      <w:sz w:val="24"/>
      <w:szCs w:val="24"/>
      <w:u w:val="none"/>
      <w:shd w:val="nil" w:color="auto" w:fill="auto"/>
      <w:vertAlign w:val="baseline"/>
      <w:lang w:val="en-US"/>
      <w14:textOutline>
        <w14:noFill/>
      </w14:textOutline>
      <w14:textFill>
        <w14:solidFill>
          <w14:srgbClr w14:val="444444"/>
        </w14:solidFill>
      </w14:textFill>
    </w:rPr>
  </w:style>
  <w:style w:type="paragraph" w:styleId="Subtitle">
    <w:name w:val="Subtitle"/>
    <w:next w:val="Body 2"/>
    <w:pPr>
      <w:keepNext w:val="0"/>
      <w:keepLines w:val="0"/>
      <w:pageBreakBefore w:val="0"/>
      <w:widowControl w:val="1"/>
      <w:shd w:val="clear" w:color="auto" w:fill="auto"/>
      <w:suppressAutoHyphens w:val="0"/>
      <w:bidi w:val="0"/>
      <w:spacing w:before="0" w:after="0" w:line="240" w:lineRule="auto"/>
      <w:ind w:left="0" w:right="0" w:firstLine="0"/>
      <w:jc w:val="center"/>
      <w:outlineLvl w:val="9"/>
    </w:pPr>
    <w:rPr>
      <w:rFonts w:ascii="Baskerville" w:cs="Arial Unicode MS" w:hAnsi="Baskerville" w:eastAsia="Arial Unicode MS"/>
      <w:b w:val="0"/>
      <w:bCs w:val="0"/>
      <w:i w:val="0"/>
      <w:iCs w:val="0"/>
      <w:caps w:val="0"/>
      <w:smallCaps w:val="0"/>
      <w:strike w:val="0"/>
      <w:dstrike w:val="0"/>
      <w:outline w:val="0"/>
      <w:color w:val="dc5921"/>
      <w:spacing w:val="6"/>
      <w:kern w:val="0"/>
      <w:position w:val="0"/>
      <w:sz w:val="64"/>
      <w:szCs w:val="64"/>
      <w:u w:val="none"/>
      <w:shd w:val="nil" w:color="auto" w:fill="auto"/>
      <w:vertAlign w:val="baseline"/>
      <w:lang w:val="en-US"/>
      <w14:textOutline>
        <w14:noFill/>
      </w14:textOutline>
      <w14:textFill>
        <w14:solidFill>
          <w14:srgbClr w14:val="DC5922"/>
        </w14:solidFill>
      </w14:textFill>
    </w:rPr>
  </w:style>
  <w:style w:type="paragraph" w:styleId="Subheading">
    <w:name w:val="Subheading"/>
    <w:next w:val="Body 2"/>
    <w:pPr>
      <w:keepNext w:val="0"/>
      <w:keepLines w:val="0"/>
      <w:pageBreakBefore w:val="0"/>
      <w:widowControl w:val="1"/>
      <w:shd w:val="clear" w:color="auto" w:fill="auto"/>
      <w:suppressAutoHyphens w:val="0"/>
      <w:bidi w:val="0"/>
      <w:spacing w:before="0" w:after="160" w:line="240" w:lineRule="auto"/>
      <w:ind w:left="0" w:right="0" w:firstLine="0"/>
      <w:jc w:val="center"/>
      <w:outlineLvl w:val="0"/>
    </w:pPr>
    <w:rPr>
      <w:rFonts w:ascii="Baskerville" w:cs="Arial Unicode MS" w:hAnsi="Baskerville" w:eastAsia="Arial Unicode MS"/>
      <w:b w:val="0"/>
      <w:bCs w:val="0"/>
      <w:i w:val="0"/>
      <w:iCs w:val="0"/>
      <w:caps w:val="0"/>
      <w:smallCaps w:val="0"/>
      <w:strike w:val="0"/>
      <w:dstrike w:val="0"/>
      <w:outline w:val="0"/>
      <w:color w:val="5b422a"/>
      <w:spacing w:val="0"/>
      <w:kern w:val="0"/>
      <w:position w:val="0"/>
      <w:sz w:val="36"/>
      <w:szCs w:val="36"/>
      <w:u w:val="none"/>
      <w:shd w:val="nil" w:color="auto" w:fill="auto"/>
      <w:vertAlign w:val="baseline"/>
      <w:lang w:val="en-US"/>
      <w14:textOutline>
        <w14:noFill/>
      </w14:textOutline>
      <w14:textFill>
        <w14:solidFill>
          <w14:srgbClr w14:val="5C432B"/>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0" w:line="360" w:lineRule="auto"/>
      <w:ind w:left="0" w:right="0" w:firstLine="540"/>
      <w:jc w:val="both"/>
      <w:outlineLvl w:val="9"/>
    </w:pPr>
    <w:rPr>
      <w:rFonts w:ascii="Baskerville" w:cs="Baskerville" w:hAnsi="Baskerville" w:eastAsia="Baskerville"/>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Footnote">
    <w:name w:val="Footnote"/>
    <w:next w:val="Footnote"/>
    <w:pPr>
      <w:keepNext w:val="0"/>
      <w:keepLines w:val="0"/>
      <w:pageBreakBefore w:val="0"/>
      <w:widowControl w:val="1"/>
      <w:shd w:val="clear" w:color="auto" w:fill="auto"/>
      <w:suppressAutoHyphens w:val="0"/>
      <w:bidi w:val="0"/>
      <w:spacing w:before="0" w:after="200" w:line="240" w:lineRule="auto"/>
      <w:ind w:left="0" w:right="0" w:firstLine="0"/>
      <w:jc w:val="left"/>
      <w:outlineLvl w:val="9"/>
    </w:pPr>
    <w:rPr>
      <w:rFonts w:ascii="Baskerville" w:cs="Baskerville" w:hAnsi="Baskerville" w:eastAsia="Baskerville"/>
      <w:b w:val="0"/>
      <w:bCs w:val="0"/>
      <w:i w:val="0"/>
      <w:iCs w:val="0"/>
      <w:caps w:val="0"/>
      <w:smallCaps w:val="0"/>
      <w:strike w:val="0"/>
      <w:dstrike w:val="0"/>
      <w:outline w:val="0"/>
      <w:color w:val="434343"/>
      <w:spacing w:val="0"/>
      <w:kern w:val="0"/>
      <w:position w:val="0"/>
      <w:sz w:val="20"/>
      <w:szCs w:val="20"/>
      <w:u w:val="none"/>
      <w:shd w:val="nil" w:color="auto" w:fill="auto"/>
      <w:vertAlign w:val="baseline"/>
      <w14:textOutline>
        <w14:noFill/>
      </w14:textOutline>
      <w14:textFill>
        <w14:solidFill>
          <w14:srgbClr w14:val="444444"/>
        </w14:solidFill>
      </w14:textFill>
    </w:rPr>
  </w:style>
  <w:style w:type="paragraph" w:styleId="Heading 2">
    <w:name w:val="Heading 2"/>
    <w:next w:val="Body 2"/>
    <w:pPr>
      <w:keepNext w:val="1"/>
      <w:keepLines w:val="0"/>
      <w:pageBreakBefore w:val="0"/>
      <w:widowControl w:val="1"/>
      <w:shd w:val="clear" w:color="auto" w:fill="auto"/>
      <w:suppressAutoHyphens w:val="0"/>
      <w:bidi w:val="0"/>
      <w:spacing w:before="0" w:after="160" w:line="240" w:lineRule="auto"/>
      <w:ind w:left="0" w:right="0" w:firstLine="0"/>
      <w:jc w:val="center"/>
      <w:outlineLvl w:val="0"/>
    </w:pPr>
    <w:rPr>
      <w:rFonts w:ascii="Baskerville" w:cs="Arial Unicode MS" w:hAnsi="Baskerville" w:eastAsia="Arial Unicode MS"/>
      <w:b w:val="0"/>
      <w:bCs w:val="0"/>
      <w:i w:val="0"/>
      <w:iCs w:val="0"/>
      <w:caps w:val="0"/>
      <w:smallCaps w:val="0"/>
      <w:strike w:val="0"/>
      <w:dstrike w:val="0"/>
      <w:outline w:val="0"/>
      <w:color w:val="5a5754"/>
      <w:spacing w:val="0"/>
      <w:kern w:val="0"/>
      <w:position w:val="0"/>
      <w:sz w:val="36"/>
      <w:szCs w:val="36"/>
      <w:u w:val="none"/>
      <w:shd w:val="nil" w:color="auto" w:fill="auto"/>
      <w:vertAlign w:val="baseline"/>
      <w:lang w:val="en-US"/>
      <w14:textOutline>
        <w14:noFill/>
      </w14:textOutline>
      <w14:textFill>
        <w14:solidFill>
          <w14:srgbClr w14:val="5B5854"/>
        </w14:solidFill>
      </w14:textFill>
    </w:rPr>
  </w:style>
  <w:style w:type="numbering" w:styleId="Bullet">
    <w:name w:val="Bullet"/>
    <w:pPr>
      <w:numPr>
        <w:numId w:val="1"/>
      </w:numPr>
    </w:pPr>
  </w:style>
  <w:style w:type="paragraph" w:styleId="Default">
    <w:name w:val="Default"/>
    <w:next w:val="Default"/>
    <w:pPr>
      <w:keepNext w:val="0"/>
      <w:keepLines w:val="0"/>
      <w:pageBreakBefore w:val="0"/>
      <w:widowControl w:val="1"/>
      <w:shd w:val="clear" w:color="auto" w:fill="auto"/>
      <w:suppressAutoHyphens w:val="0"/>
      <w:bidi w:val="0"/>
      <w:spacing w:before="0" w:after="80" w:line="288" w:lineRule="auto"/>
      <w:ind w:left="0" w:right="0" w:firstLine="0"/>
      <w:jc w:val="left"/>
      <w:outlineLvl w:val="9"/>
    </w:pPr>
    <w:rPr>
      <w:rFonts w:ascii="Baskerville" w:cs="Arial Unicode MS" w:hAnsi="Baskerville" w:eastAsia="Arial Unicode MS"/>
      <w:b w:val="0"/>
      <w:bCs w:val="0"/>
      <w:i w:val="0"/>
      <w:iCs w:val="0"/>
      <w:caps w:val="0"/>
      <w:smallCaps w:val="0"/>
      <w:strike w:val="0"/>
      <w:dstrike w:val="0"/>
      <w:outline w:val="0"/>
      <w:color w:val="434343"/>
      <w:spacing w:val="0"/>
      <w:kern w:val="0"/>
      <w:position w:val="0"/>
      <w:sz w:val="24"/>
      <w:szCs w:val="24"/>
      <w:u w:val="none"/>
      <w:shd w:val="nil" w:color="auto" w:fill="auto"/>
      <w:vertAlign w:val="baseline"/>
      <w:lang w:val="en-US"/>
      <w14:textOutline>
        <w14:noFill/>
      </w14:textOutline>
      <w14:textFill>
        <w14:solidFill>
          <w14:srgbClr w14:val="444444"/>
        </w14:solidFill>
      </w14:textFill>
    </w:rPr>
  </w:style>
  <w:style w:type="character" w:styleId="Hyperlink.0">
    <w:name w:val="Hyperlink.0"/>
    <w:basedOn w:val="Hyperlink"/>
    <w:next w:val="Hyperlink.0"/>
    <w:rPr>
      <w:u w:val="single"/>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footnotes" Target="footnotes.xml"/><Relationship Id="rId7" Type="http://schemas.openxmlformats.org/officeDocument/2006/relationships/numbering" Target="numbering.xml"/><Relationship Id="rId8"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04_Essay">
  <a:themeElements>
    <a:clrScheme name="04_Essay">
      <a:dk1>
        <a:srgbClr val="000000"/>
      </a:dk1>
      <a:lt1>
        <a:srgbClr val="FFFFFF"/>
      </a:lt1>
      <a:dk2>
        <a:srgbClr val="444444"/>
      </a:dk2>
      <a:lt2>
        <a:srgbClr val="AAAAAA"/>
      </a:lt2>
      <a:accent1>
        <a:srgbClr val="A6BACF"/>
      </a:accent1>
      <a:accent2>
        <a:srgbClr val="98A68D"/>
      </a:accent2>
      <a:accent3>
        <a:srgbClr val="E2C07E"/>
      </a:accent3>
      <a:accent4>
        <a:srgbClr val="EA8B60"/>
      </a:accent4>
      <a:accent5>
        <a:srgbClr val="B93E40"/>
      </a:accent5>
      <a:accent6>
        <a:srgbClr val="807898"/>
      </a:accent6>
      <a:hlink>
        <a:srgbClr val="0000FF"/>
      </a:hlink>
      <a:folHlink>
        <a:srgbClr val="FF00FF"/>
      </a:folHlink>
    </a:clrScheme>
    <a:fontScheme name="04_Essay">
      <a:majorFont>
        <a:latin typeface="Baskerville"/>
        <a:ea typeface="Baskerville"/>
        <a:cs typeface="Baskerville"/>
      </a:majorFont>
      <a:minorFont>
        <a:latin typeface="Baskerville SemiBold"/>
        <a:ea typeface="Baskerville SemiBold"/>
        <a:cs typeface="Baskerville SemiBold"/>
      </a:minorFont>
    </a:fontScheme>
    <a:fmtScheme name="04_Essay">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chemeClr val="accent2">
            <a:hueOff val="304431"/>
            <a:satOff val="14136"/>
            <a:lumOff val="-27777"/>
          </a:schemeClr>
        </a:solidFill>
        <a:ln w="12700" cap="flat">
          <a:noFill/>
          <a:miter lim="400000"/>
        </a:ln>
        <a:effectLst/>
        <a:sp3d/>
      </a:spPr>
      <a:bodyPr rot="0" spcFirstLastPara="1" vertOverflow="overflow" horzOverflow="overflow" vert="horz" wrap="square" lIns="50800" tIns="50800" rIns="50800" bIns="50800" numCol="1" spcCol="38100" rtlCol="0" anchor="ctr" upright="0">
        <a:spAutoFit/>
      </a:bodyPr>
      <a:lstStyle>
        <a:defPPr marL="0" marR="0" indent="0" algn="ctr" defTabSz="4572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FFFFFF"/>
            </a:solidFill>
            <a:effectLst/>
            <a:uFillTx/>
            <a:latin typeface="+mj-lt"/>
            <a:ea typeface="+mj-ea"/>
            <a:cs typeface="+mj-cs"/>
            <a:sym typeface="Baskervill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6350" cap="flat">
          <a:solidFill>
            <a:srgbClr val="AAAAAA"/>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20000"/>
          </a:lnSpc>
          <a:spcBef>
            <a:spcPts val="400"/>
          </a:spcBef>
          <a:spcAft>
            <a:spcPts val="0"/>
          </a:spcAft>
          <a:buClrTx/>
          <a:buSzTx/>
          <a:buFontTx/>
          <a:buNone/>
          <a:tabLst/>
          <a:defRPr b="0" baseline="0" cap="none" i="0" spc="0" strike="noStrike" sz="1200" u="none" kumimoji="0" normalizeH="0">
            <a:ln>
              <a:noFill/>
            </a:ln>
            <a:solidFill>
              <a:srgbClr val="444444"/>
            </a:solidFill>
            <a:effectLst/>
            <a:uFillTx/>
            <a:latin typeface="+mj-lt"/>
            <a:ea typeface="+mj-ea"/>
            <a:cs typeface="+mj-cs"/>
            <a:sym typeface="Baskervill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