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Segoe UI" w:hAnsi="Segoe UI"/>
          <w:b/>
          <w:color w:val="0F766E"/>
          <w:sz w:val="52"/>
        </w:rPr>
        <w:t>MANUAL DE USUARIO Y GUÍA FUNCIONAL</w:t>
      </w:r>
    </w:p>
    <w:p>
      <w:pPr>
        <w:spacing w:after="500"/>
        <w:jc w:val="center"/>
      </w:pPr>
      <w:r>
        <w:rPr>
          <w:rFonts w:ascii="Segoe UI" w:hAnsi="Segoe UI"/>
          <w:color w:val="475569"/>
          <w:sz w:val="32"/>
        </w:rPr>
        <w:t>AI Ticket Workspace — Gestión Inteligente de Tickets con IA</w:t>
      </w:r>
    </w:p>
    <w:p>
      <w:pPr>
        <w:spacing w:after="2000"/>
        <w:jc w:val="center"/>
      </w:pPr>
      <w:r>
        <w:rPr>
          <w:i/>
          <w:color w:val="64748B"/>
          <w:sz w:val="24"/>
        </w:rPr>
        <w:t>Guía Operativa para Evaluadores, Agentes y Administradores</w:t>
        <w:br/>
        <w:t>Sysdatec Corp Technical Assessment</w:t>
      </w:r>
    </w:p>
    <w:tbl>
      <w:tblPr>
        <w:tblW w:type="auto" w:w="0"/>
        <w:jc w:val="center"/>
        <w:tblLook w:firstColumn="1" w:firstRow="1" w:lastColumn="0" w:lastRow="0" w:noHBand="0" w:noVBand="1" w:val="04A0"/>
      </w:tblPr>
      <w:tblGrid>
        <w:gridCol w:w="4680"/>
        <w:gridCol w:w="4680"/>
      </w:tblGrid>
      <w:tr>
        <w:tc>
          <w:tcPr>
            <w:tcW w:type="dxa" w:w="3168"/>
            <w:shd w:val="clear" w:color="auto" w:fill="F8FAFC"/>
          </w:tcPr>
          <w:p>
            <w:pPr>
              <w:spacing w:after="80"/>
            </w:pPr>
            <w:r>
              <w:rPr>
                <w:b/>
                <w:color w:val="0F766E"/>
              </w:rPr>
              <w:t>Sistema:</w:t>
            </w:r>
          </w:p>
        </w:tc>
        <w:tc>
          <w:tcPr>
            <w:tcW w:type="dxa" w:w="6192"/>
            <w:shd w:val="clear" w:color="auto" w:fill="F8FAFC"/>
          </w:tcPr>
          <w:p>
            <w:pPr>
              <w:spacing w:after="80"/>
            </w:pPr>
            <w:r>
              <w:rPr>
                <w:color w:val="1E293B"/>
              </w:rPr>
              <w:t>AI Ticket Workspace</w:t>
            </w:r>
          </w:p>
        </w:tc>
      </w:tr>
      <w:tr>
        <w:tc>
          <w:tcPr>
            <w:tcW w:type="dxa" w:w="3168"/>
            <w:shd w:val="clear" w:color="auto" w:fill="F8FAFC"/>
          </w:tcPr>
          <w:p>
            <w:pPr>
              <w:spacing w:after="80"/>
            </w:pPr>
            <w:r>
              <w:rPr>
                <w:b/>
                <w:color w:val="0F766E"/>
              </w:rPr>
              <w:t>Versión del Manual:</w:t>
            </w:r>
          </w:p>
        </w:tc>
        <w:tc>
          <w:tcPr>
            <w:tcW w:type="dxa" w:w="6192"/>
            <w:shd w:val="clear" w:color="auto" w:fill="F8FAFC"/>
          </w:tcPr>
          <w:p>
            <w:pPr>
              <w:spacing w:after="80"/>
            </w:pPr>
            <w:r>
              <w:rPr>
                <w:color w:val="1E293B"/>
              </w:rPr>
              <w:t>1.0 (Edición para Demostración Técnica)</w:t>
            </w:r>
          </w:p>
        </w:tc>
      </w:tr>
      <w:tr>
        <w:tc>
          <w:tcPr>
            <w:tcW w:type="dxa" w:w="3168"/>
            <w:shd w:val="clear" w:color="auto" w:fill="F8FAFC"/>
          </w:tcPr>
          <w:p>
            <w:pPr>
              <w:spacing w:after="80"/>
            </w:pPr>
            <w:r>
              <w:rPr>
                <w:b/>
                <w:color w:val="0F766E"/>
              </w:rPr>
              <w:t>Autor:</w:t>
            </w:r>
          </w:p>
        </w:tc>
        <w:tc>
          <w:tcPr>
            <w:tcW w:type="dxa" w:w="6192"/>
            <w:shd w:val="clear" w:color="auto" w:fill="F8FAFC"/>
          </w:tcPr>
          <w:p>
            <w:pPr>
              <w:spacing w:after="80"/>
            </w:pPr>
            <w:r>
              <w:rPr>
                <w:color w:val="1E293B"/>
              </w:rPr>
              <w:t>Martín Vásquez</w:t>
            </w:r>
          </w:p>
        </w:tc>
      </w:tr>
      <w:tr>
        <w:tc>
          <w:tcPr>
            <w:tcW w:type="dxa" w:w="3168"/>
            <w:shd w:val="clear" w:color="auto" w:fill="F8FAFC"/>
          </w:tcPr>
          <w:p>
            <w:pPr>
              <w:spacing w:after="80"/>
            </w:pPr>
            <w:r>
              <w:rPr>
                <w:b/>
                <w:color w:val="0F766E"/>
              </w:rPr>
              <w:t>Dirigido a:</w:t>
            </w:r>
          </w:p>
        </w:tc>
        <w:tc>
          <w:tcPr>
            <w:tcW w:type="dxa" w:w="6192"/>
            <w:shd w:val="clear" w:color="auto" w:fill="F8FAFC"/>
          </w:tcPr>
          <w:p>
            <w:pPr>
              <w:spacing w:after="80"/>
            </w:pPr>
            <w:r>
              <w:rPr>
                <w:color w:val="1E293B"/>
              </w:rPr>
              <w:t>Equipo Evaluador de Sysdatec Corp &amp; Usuarios Operativos</w:t>
            </w:r>
          </w:p>
        </w:tc>
      </w:tr>
    </w:tbl>
    <w:p>
      <w:r>
        <w:br w:type="page"/>
      </w:r>
    </w:p>
    <w:p>
      <w:pPr>
        <w:pStyle w:val="Heading1"/>
        <w:spacing w:before="360" w:after="160"/>
      </w:pPr>
      <w:r>
        <w:rPr>
          <w:rFonts w:ascii="Segoe UI" w:hAnsi="Segoe UI"/>
          <w:b/>
          <w:color w:val="0F766E"/>
          <w:sz w:val="36"/>
        </w:rPr>
        <w:t>1. Introducción y Propósito de la Plataforma</w:t>
      </w:r>
    </w:p>
    <w:p>
      <w:r>
        <w:t>AI Ticket Workspace es una solución corporativa diseñada para optimizar los flujos de atención y clasificación de solicitudes empresariales. Mediante la incorporación de modelos de lenguaje avanzados (Google Gemini), la plataforma analiza el contenido de los requerimientos de clientes y áreas internas, asignando en fracciones de segundo la categoría correspondiente, el nivel de prioridad y un resumen ejecutivo claro para el equipo de soporte.</w:t>
      </w:r>
    </w:p>
    <w:p>
      <w:pPr>
        <w:pStyle w:val="Heading1"/>
        <w:spacing w:before="360" w:after="160"/>
      </w:pPr>
      <w:r>
        <w:rPr>
          <w:rFonts w:ascii="Segoe UI" w:hAnsi="Segoe UI"/>
          <w:b/>
          <w:color w:val="0F766E"/>
          <w:sz w:val="36"/>
        </w:rPr>
        <w:t>2. Acceso y URLs de la Plataforma</w:t>
      </w:r>
    </w:p>
    <w:p>
      <w:r>
        <w:t>Para interactuar con la plataforma una vez levantada, se tienen a disposición los siguientes puntos de acceso:</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766E"/>
          </w:tcPr>
          <w:p>
            <w:r>
              <w:rPr>
                <w:b/>
                <w:color w:val="FFFFFF"/>
              </w:rPr>
              <w:t>Componente</w:t>
            </w:r>
          </w:p>
        </w:tc>
        <w:tc>
          <w:tcPr>
            <w:tcW w:type="dxa" w:w="3120"/>
            <w:shd w:val="clear" w:color="auto" w:fill="0F766E"/>
          </w:tcPr>
          <w:p>
            <w:r>
              <w:rPr>
                <w:b/>
                <w:color w:val="FFFFFF"/>
              </w:rPr>
              <w:t>URL de Acceso</w:t>
            </w:r>
          </w:p>
        </w:tc>
        <w:tc>
          <w:tcPr>
            <w:tcW w:type="dxa" w:w="3120"/>
            <w:shd w:val="clear" w:color="auto" w:fill="0F766E"/>
          </w:tcPr>
          <w:p>
            <w:r>
              <w:rPr>
                <w:b/>
                <w:color w:val="FFFFFF"/>
              </w:rPr>
              <w:t>Descripción</w:t>
            </w:r>
          </w:p>
        </w:tc>
      </w:tr>
      <w:tr>
        <w:tc>
          <w:tcPr>
            <w:tcW w:type="dxa" w:w="3120"/>
            <w:shd w:val="clear" w:color="auto" w:fill="F8FAFC"/>
          </w:tcPr>
          <w:p>
            <w:r>
              <w:rPr>
                <w:b/>
              </w:rPr>
              <w:t>Frontend Web (Local)</w:t>
            </w:r>
          </w:p>
        </w:tc>
        <w:tc>
          <w:tcPr>
            <w:tcW w:type="dxa" w:w="3120"/>
            <w:shd w:val="clear" w:color="auto" w:fill="F8FAFC"/>
          </w:tcPr>
          <w:p>
            <w:r>
              <w:t>http://localhost:5173</w:t>
            </w:r>
          </w:p>
        </w:tc>
        <w:tc>
          <w:tcPr>
            <w:tcW w:type="dxa" w:w="3120"/>
            <w:shd w:val="clear" w:color="auto" w:fill="F8FAFC"/>
          </w:tcPr>
          <w:p>
            <w:r>
              <w:t>Interfaz de usuario reactiva en entorno de desarrollo</w:t>
            </w:r>
          </w:p>
        </w:tc>
      </w:tr>
      <w:tr>
        <w:tc>
          <w:tcPr>
            <w:tcW w:type="dxa" w:w="3120"/>
            <w:shd w:val="clear" w:color="auto" w:fill="F8FAFC"/>
          </w:tcPr>
          <w:p>
            <w:r>
              <w:rPr>
                <w:b/>
              </w:rPr>
              <w:t>Frontend Web (Docker)</w:t>
            </w:r>
          </w:p>
        </w:tc>
        <w:tc>
          <w:tcPr>
            <w:tcW w:type="dxa" w:w="3120"/>
            <w:shd w:val="clear" w:color="auto" w:fill="F8FAFC"/>
          </w:tcPr>
          <w:p>
            <w:r>
              <w:t>http://localhost:3000</w:t>
            </w:r>
          </w:p>
        </w:tc>
        <w:tc>
          <w:tcPr>
            <w:tcW w:type="dxa" w:w="3120"/>
            <w:shd w:val="clear" w:color="auto" w:fill="F8FAFC"/>
          </w:tcPr>
          <w:p>
            <w:r>
              <w:t>Interfaz de usuario servida con Nginx en contenedor Docker</w:t>
            </w:r>
          </w:p>
        </w:tc>
      </w:tr>
      <w:tr>
        <w:tc>
          <w:tcPr>
            <w:tcW w:type="dxa" w:w="3120"/>
            <w:shd w:val="clear" w:color="auto" w:fill="F8FAFC"/>
          </w:tcPr>
          <w:p>
            <w:r>
              <w:rPr>
                <w:b/>
              </w:rPr>
              <w:t>GraphQL Playground</w:t>
            </w:r>
          </w:p>
        </w:tc>
        <w:tc>
          <w:tcPr>
            <w:tcW w:type="dxa" w:w="3120"/>
            <w:shd w:val="clear" w:color="auto" w:fill="F8FAFC"/>
          </w:tcPr>
          <w:p>
            <w:r>
              <w:t>http://localhost:4000/graphql</w:t>
            </w:r>
          </w:p>
        </w:tc>
        <w:tc>
          <w:tcPr>
            <w:tcW w:type="dxa" w:w="3120"/>
            <w:shd w:val="clear" w:color="auto" w:fill="F8FAFC"/>
          </w:tcPr>
          <w:p>
            <w:r>
              <w:t>Explorador interactivo de consultas y mutaciones GraphQL</w:t>
            </w:r>
          </w:p>
        </w:tc>
      </w:tr>
      <w:tr>
        <w:tc>
          <w:tcPr>
            <w:tcW w:type="dxa" w:w="3120"/>
            <w:shd w:val="clear" w:color="auto" w:fill="F8FAFC"/>
          </w:tcPr>
          <w:p>
            <w:r>
              <w:rPr>
                <w:b/>
              </w:rPr>
              <w:t>Healthcheck API</w:t>
            </w:r>
          </w:p>
        </w:tc>
        <w:tc>
          <w:tcPr>
            <w:tcW w:type="dxa" w:w="3120"/>
            <w:shd w:val="clear" w:color="auto" w:fill="F8FAFC"/>
          </w:tcPr>
          <w:p>
            <w:r>
              <w:t>http://localhost:4000/health</w:t>
            </w:r>
          </w:p>
        </w:tc>
        <w:tc>
          <w:tcPr>
            <w:tcW w:type="dxa" w:w="3120"/>
            <w:shd w:val="clear" w:color="auto" w:fill="F8FAFC"/>
          </w:tcPr>
          <w:p>
            <w:r>
              <w:t>Verificación de estado de salud del servidor y PostgreSQL</w:t>
            </w:r>
          </w:p>
        </w:tc>
      </w:tr>
    </w:tbl>
    <w:p>
      <w:pPr>
        <w:spacing w:after="160"/>
      </w:pPr>
    </w:p>
    <w:p>
      <w:pPr>
        <w:pStyle w:val="Heading1"/>
        <w:spacing w:before="360" w:after="160"/>
      </w:pPr>
      <w:r>
        <w:rPr>
          <w:rFonts w:ascii="Segoe UI" w:hAnsi="Segoe UI"/>
          <w:b/>
          <w:color w:val="0F766E"/>
          <w:sz w:val="36"/>
        </w:rPr>
        <w:t>3. Navegación en el Dashboard Principal</w:t>
      </w:r>
    </w:p>
    <w:p>
      <w:r>
        <w:t>Al ingresar a la aplicación, el usuario se encuentra con el panel de control principal, estructurado en tres zonas clave:</w:t>
      </w:r>
    </w:p>
    <w:p>
      <w:r>
        <w:t>1. Barra Superior (Header): Muestra el logotipo institucional, el estado de conexión de PostgreSQL en tiempo real (indicador verde), el motor de IA activo (Gemini AI), un botón para refrescar la lista y el botón '+ Nuevo Ticket'.</w:t>
        <w:br/>
        <w:t>2. Tarjetas de Métricas (KPIs): Cinco tarjetas informativas que contabilizan en tiempo real:</w:t>
        <w:br/>
        <w:t xml:space="preserve">   • Total Tickets: Volumen global registrado en la base de datos.</w:t>
        <w:br/>
        <w:t xml:space="preserve">   • Abiertos: Solicitudes pendientes de atención inicial.</w:t>
        <w:br/>
        <w:t xml:space="preserve">   • En Progreso: Tickets que ya tienen un responsable asignado y están bajo resolución.</w:t>
        <w:br/>
        <w:t xml:space="preserve">   • Resueltos: Casos solventados o cerrados satisfactoriamente.</w:t>
        <w:br/>
        <w:t xml:space="preserve">   • Alta Prioridad: Solicitudes críticas que requieren acción urgente.</w:t>
        <w:br/>
        <w:t>3. Filtros y Búsqueda: Permite filtrar instantáneamente por Categoría (Finanzas, Legal, Compras, Operaciones), Prioridad (Alta, Media, Baja) o Estado, además de una caja de búsqueda por nombre de cliente, texto o resumen.</w:t>
      </w:r>
    </w:p>
    <w:p>
      <w:pPr>
        <w:pStyle w:val="Heading1"/>
        <w:spacing w:before="360" w:after="160"/>
      </w:pPr>
      <w:r>
        <w:rPr>
          <w:rFonts w:ascii="Segoe UI" w:hAnsi="Segoe UI"/>
          <w:b/>
          <w:color w:val="0F766E"/>
          <w:sz w:val="36"/>
        </w:rPr>
        <w:t>4. Guía Paso a Paso: Creación de un Ticket</w:t>
      </w:r>
    </w:p>
    <w:p>
      <w:r>
        <w:t>Para registrar una nueva solicitud en el sistema:</w:t>
      </w:r>
    </w:p>
    <w:p>
      <w:r>
        <w:t>1. Haz clic en el botón '+ Nuevo Ticket' ubicado en la esquina superior derecha.</w:t>
        <w:br/>
        <w:t>2. Opción Rápida (Plantillas de Demostración): Haz clic en cualquiera de los 4 botones preconfigurados:</w:t>
        <w:br/>
        <w:t xml:space="preserve">   • 💳 Finanzas (ACH): Carga un caso bancario con discrepancia contable de $82,000 USD.</w:t>
        <w:br/>
        <w:t xml:space="preserve">   • ⚖️ Legal (NDA): Carga la revisión urgente de una adenda contractual para ronda de inversión.</w:t>
        <w:br/>
        <w:t xml:space="preserve">   • 📦 Compras (Hardware): Carga la solicitud de adquisición de 10 tablets hospitalarias.</w:t>
        <w:br/>
        <w:t xml:space="preserve">   • 🚨 Operaciones (Incidente): Carga una caída crítica en pasarela de pagos con error 504.</w:t>
        <w:br/>
        <w:t>3. Opción Manual: Escribe el Nombre del Cliente, redacta la Solicitud y pega una URL de adjunto opcional (Google Drive).</w:t>
        <w:br/>
        <w:t>4. Clasificación Automática: Deja marcada la casilla 'Clasificar automáticamente con IA'.</w:t>
        <w:br/>
        <w:t>5. Envío: Presiona 'Crear Ticket'. En menos de 2 segundos el ticket aparecerá clasificado en la primera fila de la tabla.</w:t>
      </w:r>
    </w:p>
    <w:p>
      <w:pPr>
        <w:pStyle w:val="Heading1"/>
        <w:spacing w:before="360" w:after="160"/>
      </w:pPr>
      <w:r>
        <w:rPr>
          <w:rFonts w:ascii="Segoe UI" w:hAnsi="Segoe UI"/>
          <w:b/>
          <w:color w:val="0F766E"/>
          <w:sz w:val="36"/>
        </w:rPr>
        <w:t>5. Clasificación Inteligente por Inteligencia Artificial</w:t>
      </w:r>
    </w:p>
    <w:p>
      <w:r>
        <w:t>El motor de IA analiza semánticamente el requerimiento para inferir tres atributos esenciales:</w:t>
      </w:r>
    </w:p>
    <w:p>
      <w:r>
        <w:t>• Categorías:</w:t>
        <w:br/>
        <w:t xml:space="preserve">  - Finance (Verde): Pagos, facturación, transferencias ACH, balances y conciliaciones contables.</w:t>
        <w:br/>
        <w:t xml:space="preserve">  - Legal (Morado): Contratos, cláusulas de confidencialidad (NDA), litigios y normatividad.</w:t>
        <w:br/>
        <w:t xml:space="preserve">  - Procurement (Azul): Adquisición de bienes, compras de hardware, licencias y órdenes de compra.</w:t>
        <w:br/>
        <w:t xml:space="preserve">  - Operations (Ámbar): Incidentes en producción, latencia, clústeres caídos y servidores web.</w:t>
        <w:br/>
        <w:t>• Prioridad:</w:t>
        <w:br/>
        <w:t xml:space="preserve">  - High (Rojo con pulso animado): Bloqueos que causan pérdidas económicas o interrupción de servicios.</w:t>
        <w:br/>
        <w:t xml:space="preserve">  - Medium (Amarillo): Tareas importantes con plazos definidos pero sin riesgo catastrófico inmediato.</w:t>
        <w:br/>
        <w:t xml:space="preserve">  - Low (Gris): Consultas de rutina o adquisiciones programadas.</w:t>
        <w:br/>
        <w:t>• Resumen Ejecutivo: Una síntesis directa y en español de 1 oración que permite al equipo comprender el caso sin leer párrafos extensos.</w:t>
      </w:r>
    </w:p>
    <w:p>
      <w:pPr>
        <w:pStyle w:val="Heading1"/>
        <w:spacing w:before="360" w:after="160"/>
      </w:pPr>
      <w:r>
        <w:rPr>
          <w:rFonts w:ascii="Segoe UI" w:hAnsi="Segoe UI"/>
          <w:b/>
          <w:color w:val="0F766E"/>
          <w:sz w:val="36"/>
        </w:rPr>
        <w:t>6. Gestión en Detalle del Ticket (Ciclo de Vida)</w:t>
      </w:r>
    </w:p>
    <w:p>
      <w:r>
        <w:t>Al hacer clic sobre cualquier fila de la tabla de tickets, se abre la ventana de Detalle Integral:</w:t>
      </w:r>
    </w:p>
    <w:p>
      <w:r>
        <w:t>• 1. Actualización de Estado (1 Clic): Cuenta con 4 botones dedicados (Abierto, En Progreso, Resuelto, Cerrado). Al hacer clic en cualquiera, el estado se actualiza de inmediato en PostgreSQL mediante una mutación GraphQL y muestra un mensaje verde de confirmación.</w:t>
        <w:br/>
        <w:t>• 2. Asignación de Responsable (Owner): Dispone de sugerencias rápidas de agentes (Martín Vásquez, Carlos Mendoza, etc.) y un campo de texto libre para escribir cualquier nombre y hacer clic en 'Asignar'.</w:t>
        <w:br/>
        <w:t>• 3. Re-clasificación bajo Demanda: En la tarjeta de IA se dispone del botón 'Re-clasificar con IA'. Al presionarlo, un spinner animado indica la llamada en vivo a Google Gemini y actualiza los metadatos si el caso fue editado.</w:t>
        <w:br/>
        <w:t>• 4. Enlace al Adjunto: Si el ticket posee URL de Google Drive, un enlace directo con ícono permite abrir el archivo en una pestaña nueva.</w:t>
      </w:r>
    </w:p>
    <w:p>
      <w:pPr>
        <w:pStyle w:val="Heading1"/>
        <w:spacing w:before="360" w:after="160"/>
      </w:pPr>
      <w:r>
        <w:rPr>
          <w:rFonts w:ascii="Segoe UI" w:hAnsi="Segoe UI"/>
          <w:b/>
          <w:color w:val="0F766E"/>
          <w:sz w:val="36"/>
        </w:rPr>
        <w:t>7. Hilo de Comentarios y Colaboración Interna</w:t>
      </w:r>
    </w:p>
    <w:p>
      <w:r>
        <w:t>El módulo de comentarios se encuentra visible en la parte inferior del modal de detalle:</w:t>
        <w:br/>
        <w:t>• Historial Cronológico: Muestra cada intervención con avatar, nombre del autor, marca de tiempo y texto.</w:t>
        <w:br/>
        <w:t>• Agregar Comentario: Permite al usuario colocar su nombre o cargo, redactar una nota técnica o de seguimiento y enviarla presionando 'Enviar'. El comentario se vincula en base de datos con clave foránea al ticket correspondiente.</w:t>
      </w:r>
    </w:p>
    <w:p>
      <w:pPr>
        <w:pStyle w:val="Heading1"/>
        <w:spacing w:before="360" w:after="160"/>
      </w:pPr>
      <w:r>
        <w:rPr>
          <w:rFonts w:ascii="Segoe UI" w:hAnsi="Segoe UI"/>
          <w:b/>
          <w:color w:val="0F766E"/>
          <w:sz w:val="36"/>
        </w:rPr>
        <w:t>8. Registro de Auditoría Inmutable (Audit Trail)</w:t>
      </w:r>
    </w:p>
    <w:p>
      <w:r>
        <w:t>En la parte inferior del modal de detalle se incluye una sección desplegable titulada 'Trazabilidad de Auditoría en Base de Datos'. Al hacer clic, se listan todos los eventos históricos del ticket (creación, clasificaciones de IA, cambios de estado y comentarios) con fecha exacta, usuario responsable, dirección IP del cliente y el payload JSON inmutable almacenado en la tabla audit_logs.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