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Segoe UI" w:hAnsi="Segoe UI"/>
          <w:b/>
          <w:color w:val="0F766E"/>
          <w:sz w:val="56"/>
        </w:rPr>
        <w:t>AI TICKET WORKSPACE</w:t>
      </w:r>
    </w:p>
    <w:p>
      <w:pPr>
        <w:spacing w:after="500"/>
        <w:jc w:val="center"/>
      </w:pPr>
      <w:r>
        <w:rPr>
          <w:rFonts w:ascii="Segoe UI" w:hAnsi="Segoe UI"/>
          <w:color w:val="475569"/>
          <w:sz w:val="32"/>
        </w:rPr>
        <w:t>Documento de Diseño Técnico y Arquitectura de Software</w:t>
      </w:r>
    </w:p>
    <w:p>
      <w:pPr>
        <w:spacing w:after="2000"/>
        <w:jc w:val="center"/>
      </w:pPr>
      <w:r>
        <w:rPr>
          <w:i/>
          <w:color w:val="64748B"/>
          <w:sz w:val="24"/>
        </w:rPr>
        <w:t>React 18 + Node.js (TypeScript) + PostgreSQL Nativo + Google Gemini AI</w:t>
        <w:br/>
        <w:t>Sysdatec Corp Technical Assessment</w:t>
      </w:r>
    </w:p>
    <w:tbl>
      <w:tblPr>
        <w:tblW w:type="auto" w:w="0"/>
        <w:jc w:val="center"/>
        <w:tblLook w:firstColumn="1" w:firstRow="1" w:lastColumn="0" w:lastRow="0" w:noHBand="0" w:noVBand="1" w:val="04A0"/>
      </w:tblPr>
      <w:tblGrid>
        <w:gridCol w:w="4680"/>
        <w:gridCol w:w="4680"/>
      </w:tblGrid>
      <w:tr>
        <w:tc>
          <w:tcPr>
            <w:tcW w:type="dxa" w:w="3168"/>
            <w:shd w:val="clear" w:color="auto" w:fill="F8FAFC"/>
          </w:tcPr>
          <w:p>
            <w:pPr>
              <w:spacing w:after="80"/>
            </w:pPr>
            <w:r>
              <w:rPr>
                <w:b/>
                <w:color w:val="0F766E"/>
              </w:rPr>
              <w:t>Proyecto:</w:t>
            </w:r>
          </w:p>
        </w:tc>
        <w:tc>
          <w:tcPr>
            <w:tcW w:type="dxa" w:w="6192"/>
            <w:shd w:val="clear" w:color="auto" w:fill="F8FAFC"/>
          </w:tcPr>
          <w:p>
            <w:pPr>
              <w:spacing w:after="80"/>
            </w:pPr>
            <w:r>
              <w:rPr>
                <w:color w:val="1E293B"/>
              </w:rPr>
              <w:t>AI Ticket Management Workspace</w:t>
            </w:r>
          </w:p>
        </w:tc>
      </w:tr>
      <w:tr>
        <w:tc>
          <w:tcPr>
            <w:tcW w:type="dxa" w:w="3168"/>
            <w:shd w:val="clear" w:color="auto" w:fill="F8FAFC"/>
          </w:tcPr>
          <w:p>
            <w:pPr>
              <w:spacing w:after="80"/>
            </w:pPr>
            <w:r>
              <w:rPr>
                <w:b/>
                <w:color w:val="0F766E"/>
              </w:rPr>
              <w:t>Candidato / Autor:</w:t>
            </w:r>
          </w:p>
        </w:tc>
        <w:tc>
          <w:tcPr>
            <w:tcW w:type="dxa" w:w="6192"/>
            <w:shd w:val="clear" w:color="auto" w:fill="F8FAFC"/>
          </w:tcPr>
          <w:p>
            <w:pPr>
              <w:spacing w:after="80"/>
            </w:pPr>
            <w:r>
              <w:rPr>
                <w:color w:val="1E293B"/>
              </w:rPr>
              <w:t>Martín Vásquez</w:t>
            </w:r>
          </w:p>
        </w:tc>
      </w:tr>
      <w:tr>
        <w:tc>
          <w:tcPr>
            <w:tcW w:type="dxa" w:w="3168"/>
            <w:shd w:val="clear" w:color="auto" w:fill="F8FAFC"/>
          </w:tcPr>
          <w:p>
            <w:pPr>
              <w:spacing w:after="80"/>
            </w:pPr>
            <w:r>
              <w:rPr>
                <w:b/>
                <w:color w:val="0F766E"/>
              </w:rPr>
              <w:t>Empresa / Caso:</w:t>
            </w:r>
          </w:p>
        </w:tc>
        <w:tc>
          <w:tcPr>
            <w:tcW w:type="dxa" w:w="6192"/>
            <w:shd w:val="clear" w:color="auto" w:fill="F8FAFC"/>
          </w:tcPr>
          <w:p>
            <w:pPr>
              <w:spacing w:after="80"/>
            </w:pPr>
            <w:r>
              <w:rPr>
                <w:color w:val="1E293B"/>
              </w:rPr>
              <w:t>Sysdatec Corp — Technical Challenge</w:t>
            </w:r>
          </w:p>
        </w:tc>
      </w:tr>
      <w:tr>
        <w:tc>
          <w:tcPr>
            <w:tcW w:type="dxa" w:w="3168"/>
            <w:shd w:val="clear" w:color="auto" w:fill="F8FAFC"/>
          </w:tcPr>
          <w:p>
            <w:pPr>
              <w:spacing w:after="80"/>
            </w:pPr>
            <w:r>
              <w:rPr>
                <w:b/>
                <w:color w:val="0F766E"/>
              </w:rPr>
              <w:t>Fecha &amp; Versión:</w:t>
            </w:r>
          </w:p>
        </w:tc>
        <w:tc>
          <w:tcPr>
            <w:tcW w:type="dxa" w:w="6192"/>
            <w:shd w:val="clear" w:color="auto" w:fill="F8FAFC"/>
          </w:tcPr>
          <w:p>
            <w:pPr>
              <w:spacing w:after="80"/>
            </w:pPr>
            <w:r>
              <w:rPr>
                <w:color w:val="1E293B"/>
              </w:rPr>
              <w:t>Septiembre 2026 | Versión 1.0 (Producción / Demo)</w:t>
            </w:r>
          </w:p>
        </w:tc>
      </w:tr>
    </w:tbl>
    <w:p>
      <w:r>
        <w:br w:type="page"/>
      </w:r>
    </w:p>
    <w:p>
      <w:pPr>
        <w:pStyle w:val="Heading1"/>
        <w:spacing w:before="360" w:after="160"/>
      </w:pPr>
      <w:r>
        <w:rPr>
          <w:rFonts w:ascii="Segoe UI" w:hAnsi="Segoe UI"/>
          <w:b/>
          <w:color w:val="0F766E"/>
          <w:sz w:val="36"/>
        </w:rPr>
        <w:t>1. Resumen Ejecutivo y Objetivos</w:t>
      </w:r>
    </w:p>
    <w:p>
      <w:pPr>
        <w:spacing w:after="160"/>
      </w:pPr>
      <w:r>
        <w:t>El presente documento técnico expone la arquitectura integral, el diseño de componentes, las decisiones de ingeniería de datos y los estándares de seguridad implementados en el desarrollo de la solución AI Ticket Workspace. La aplicación fue construida como respuesta al reto técnico de Sysdatec Corp con el objetivo de demostrar visión sistémica, velocidad de ejecución, código limpio, integración avanzada de Large Language Models (LLM) y capacidad de entrega de software plenamente desplegable.</w:t>
      </w:r>
    </w:p>
    <w:p>
      <w:pPr>
        <w:spacing w:after="240"/>
      </w:pPr>
      <w:r>
        <w:t>El sistema orquesta un flujo operativo integral en el que solicitudes de negocio de distintas áreas (Finanzas, Legal, Compras, Operaciones) son recibidas, clasificadas automáticamente mediante Inteligencia Artificial (Google Gemini), persistidas en PostgreSQL nativo sin sobrecargas de ORMs, expuestas a través de una API GraphQL fuertemente tipada y gestionadas interactivamente en una interfaz reactiva de usuario desarrollada en React 18.</w:t>
      </w:r>
    </w:p>
    <w:p>
      <w:pPr>
        <w:pStyle w:val="Heading1"/>
        <w:spacing w:before="360" w:after="160"/>
      </w:pPr>
      <w:r>
        <w:rPr>
          <w:rFonts w:ascii="Segoe UI" w:hAnsi="Segoe UI"/>
          <w:b/>
          <w:color w:val="0F766E"/>
          <w:sz w:val="36"/>
        </w:rPr>
        <w:t>2. Panel Multi-Agente de Expertos (Perspectivas de Ingeniería)</w:t>
      </w:r>
    </w:p>
    <w:p>
      <w:r>
        <w:t>En cumplimiento de los lineamientos del assessment, la solución fue diseñada y validada incorporando simultáneamente la perspectiva de los 5 roles clave de ingeniería en paralelo:</w:t>
      </w:r>
    </w:p>
    <w:p>
      <w:pPr>
        <w:spacing w:after="80"/>
      </w:pPr>
      <w:r>
        <w:rPr>
          <w:b/>
        </w:rPr>
        <w:t xml:space="preserve">• 🏗️ Arquitecto de Software Principal: </w:t>
      </w:r>
      <w:r>
        <w:t>Garantiza el cumplimiento estricto de Clean Architecture y Arquitectura Hexagonal (Puertos y Adaptadores). Asegura el desacoplamiento total de la lógica de negocio (Dominio) frente a frameworks web, GraphQL y la base de datos.</w:t>
      </w:r>
    </w:p>
    <w:p>
      <w:pPr>
        <w:spacing w:after="80"/>
      </w:pPr>
      <w:r>
        <w:rPr>
          <w:b/>
        </w:rPr>
        <w:t xml:space="preserve">• 🗄️ Administrador y Diseñador de BD (DBA): </w:t>
      </w:r>
      <w:r>
        <w:t>Impone el uso de PostgreSQL nativo mediante pg.Pool y Prepared Statements. Prohíbe el uso de ORMs mágicos (Prisma, TypeORM, Sequelize) para erradicar problemas de consultas N+1, garantizar máxima velocidad transaccional y optimizar índices relacionales.</w:t>
      </w:r>
    </w:p>
    <w:p>
      <w:pPr>
        <w:spacing w:after="80"/>
      </w:pPr>
      <w:r>
        <w:rPr>
          <w:b/>
        </w:rPr>
        <w:t xml:space="preserve">• 🛡️ Especialista DevSecOps y Seguridad: </w:t>
      </w:r>
      <w:r>
        <w:t>Audita cada flujo según los estándares OWASP Top 10. Implementa prevención absoluta de SQL Injection por parametrización, cabeceras Helmet, políticas CORS con credenciales, cookies de sesión con flag HttpOnly y tabla inmutable de auditoría (Audit Trail).</w:t>
      </w:r>
    </w:p>
    <w:p>
      <w:pPr>
        <w:spacing w:after="80"/>
      </w:pPr>
      <w:r>
        <w:rPr>
          <w:b/>
        </w:rPr>
        <w:t xml:space="preserve">• ⚡ Desarrollador Senior Node.js: </w:t>
      </w:r>
      <w:r>
        <w:t>Asegura TypeScript estricto, manejo no bloqueante del Event Loop, validación de esquemas con Zod, manejo estructurado de excepciones y modularización Composition Root en server.ts.</w:t>
      </w:r>
    </w:p>
    <w:p>
      <w:pPr>
        <w:spacing w:after="80"/>
      </w:pPr>
      <w:r>
        <w:rPr>
          <w:b/>
        </w:rPr>
        <w:t xml:space="preserve">• 🎨 Arquitecto Frontend &amp; Experto UX/UI: </w:t>
      </w:r>
      <w:r>
        <w:t>Diseña una Single Page Application (SPA) modular bajo el patrón Container/Presenter (Smart vs. Dumb), integración reactiva con Apollo Client, micro-interacciones de 1 clic para la demo y diseño accesible con Tailwind CSS.</w:t>
      </w:r>
    </w:p>
    <w:p>
      <w:pPr>
        <w:spacing w:after="160"/>
      </w:pPr>
    </w:p>
    <w:p>
      <w:pPr>
        <w:pStyle w:val="Heading1"/>
        <w:spacing w:before="360" w:after="160"/>
      </w:pPr>
      <w:r>
        <w:rPr>
          <w:rFonts w:ascii="Segoe UI" w:hAnsi="Segoe UI"/>
          <w:b/>
          <w:color w:val="0F766E"/>
          <w:sz w:val="36"/>
        </w:rPr>
        <w:t>3. Arquitectura Backend: Hexagonal &amp; Clean Architecture</w:t>
      </w:r>
    </w:p>
    <w:p>
      <w:r>
        <w:t>El backend adopta una estructura concéntrica en 3 capas donde la regla de dependencia apunta siempre hacia el centro:</w:t>
      </w:r>
    </w:p>
    <w:p>
      <w:pPr>
        <w:pStyle w:val="Heading2"/>
        <w:spacing w:before="280" w:after="120"/>
      </w:pPr>
      <w:r>
        <w:rPr>
          <w:rFonts w:ascii="Segoe UI" w:hAnsi="Segoe UI"/>
          <w:b/>
          <w:color w:val="334155"/>
          <w:sz w:val="28"/>
        </w:rPr>
        <w:t>3.1 Capa de Dominio (Núcleo del Negocio)</w:t>
      </w:r>
    </w:p>
    <w:p>
      <w:r>
        <w:t>Es totalmente agnóstica de bibliotecas externas y frameworks. Contiene:</w:t>
        <w:br/>
        <w:t>• Entidad Ticket: Modela el ciclo de vida del ticket, invariantes de validación (nombre obligatorio, texto obligatorio) y métodos de mutación como applyAIClassification(), updateStatus() y assignOwner().</w:t>
        <w:br/>
        <w:t>• Entidad Comment: Representa las intervenciones y notas internas asociadas a un ticket.</w:t>
        <w:br/>
        <w:t>• Entidad AuditLog: Modelo inmutable para registrar transacciones críticas con IP, acción y metadatos.</w:t>
        <w:br/>
        <w:t>• Puertos de Salida (Interfaces): ITicketRepository, IAuditLogRepository e IAIService, definiendo contratos contractuales puros.</w:t>
      </w:r>
    </w:p>
    <w:p>
      <w:pPr>
        <w:pStyle w:val="Heading2"/>
        <w:spacing w:before="280" w:after="120"/>
      </w:pPr>
      <w:r>
        <w:rPr>
          <w:rFonts w:ascii="Segoe UI" w:hAnsi="Segoe UI"/>
          <w:b/>
          <w:color w:val="334155"/>
          <w:sz w:val="28"/>
        </w:rPr>
        <w:t>3.2 Capa de Aplicación (Casos de Uso)</w:t>
      </w:r>
    </w:p>
    <w:p>
      <w:r>
        <w:t>Orquesta las operaciones de negocio sin conocer HTTP ni SQL. Cada caso de uso posee responsabilidad única:</w:t>
        <w:br/>
        <w:t>• CreateTicketUseCase: Crea el ticket, invoca opcionalmente auto-clasificación de IA y registra auditoría.</w:t>
        <w:br/>
        <w:t>• GetTicketsUseCase: Recupera listado con filtros multicriterio (categoría, prioridad, estado, búsqueda textual).</w:t>
        <w:br/>
        <w:t>• GetTicketByIdUseCase: Retorna el detalle completo junto con su colección de comentarios.</w:t>
        <w:br/>
        <w:t>• UpdateTicketUseCase: Modifica estado y/o responsable con registro forense previo/posterior.</w:t>
        <w:br/>
        <w:t>• ClassifyTicketUseCase: Dispara el análisis LLM en Google Gemini y persiste el resultado en la entidad.</w:t>
        <w:br/>
        <w:t>• AddCommentUseCase: Inserta un nuevo comentario validando la existencia del ticket padre.</w:t>
      </w:r>
    </w:p>
    <w:p>
      <w:pPr>
        <w:pStyle w:val="Heading2"/>
        <w:spacing w:before="280" w:after="120"/>
      </w:pPr>
      <w:r>
        <w:rPr>
          <w:rFonts w:ascii="Segoe UI" w:hAnsi="Segoe UI"/>
          <w:b/>
          <w:color w:val="334155"/>
          <w:sz w:val="28"/>
        </w:rPr>
        <w:t>3.3 Capa de Infraestructura (Adaptadores)</w:t>
      </w:r>
    </w:p>
    <w:p>
      <w:r>
        <w:t>Detalles técnicos que implementan los puertos de dominio:</w:t>
        <w:br/>
        <w:t>• Driving Adapters (Entrada): Servidor Express 4 con Apollo Server GraphQL (typeDefs y resolvers), middlewares de seguridad (CORS, Helmet, CookieParser).</w:t>
        <w:br/>
        <w:t>• Driven Adapters (Salida): PostgresTicketRepository y PostgresAuditLogRepository consumiendo consultas SQL nativas parametrizadas.</w:t>
        <w:br/>
        <w:t>• External Service Adapter: GeminiAIService que consume la API de Google Gemini (gemini-flash-latest) con fallback heurístico.</w:t>
      </w:r>
    </w:p>
    <w:p>
      <w:pPr>
        <w:pStyle w:val="Heading1"/>
        <w:spacing w:before="360" w:after="160"/>
      </w:pPr>
      <w:r>
        <w:rPr>
          <w:rFonts w:ascii="Segoe UI" w:hAnsi="Segoe UI"/>
          <w:b/>
          <w:color w:val="0F766E"/>
          <w:sz w:val="36"/>
        </w:rPr>
        <w:t>4. Diseño y Modelo de Base de Datos (PostgreSQL Nativo)</w:t>
      </w:r>
    </w:p>
    <w:p>
      <w:r>
        <w:t>Conforme a las directrices del DBA y de seguridad, la persistencia se gestiona a través de la librería nativa pg con un pool de conexiones optimizado, Prepared Statements y archivos DDL formales (db.sql y db.seed.sql).</w:t>
      </w:r>
    </w:p>
    <w:p>
      <w:pPr>
        <w:pStyle w:val="Heading2"/>
        <w:spacing w:before="280" w:after="120"/>
      </w:pPr>
      <w:r>
        <w:rPr>
          <w:rFonts w:ascii="Segoe UI" w:hAnsi="Segoe UI"/>
          <w:b/>
          <w:color w:val="334155"/>
          <w:sz w:val="28"/>
        </w:rPr>
        <w:t>4.1 Estructura DDL de Tablas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766E"/>
          </w:tcPr>
          <w:p>
            <w:r>
              <w:rPr>
                <w:b/>
                <w:color w:val="FFFFFF"/>
              </w:rPr>
              <w:t>Tabla</w:t>
            </w:r>
          </w:p>
        </w:tc>
        <w:tc>
          <w:tcPr>
            <w:tcW w:type="dxa" w:w="2340"/>
            <w:shd w:val="clear" w:color="auto" w:fill="0F766E"/>
          </w:tcPr>
          <w:p>
            <w:r>
              <w:rPr>
                <w:b/>
                <w:color w:val="FFFFFF"/>
              </w:rPr>
              <w:t>Campo / Columna</w:t>
            </w:r>
          </w:p>
        </w:tc>
        <w:tc>
          <w:tcPr>
            <w:tcW w:type="dxa" w:w="2340"/>
            <w:shd w:val="clear" w:color="auto" w:fill="0F766E"/>
          </w:tcPr>
          <w:p>
            <w:r>
              <w:rPr>
                <w:b/>
                <w:color w:val="FFFFFF"/>
              </w:rPr>
              <w:t>Tipo de Dato</w:t>
            </w:r>
          </w:p>
        </w:tc>
        <w:tc>
          <w:tcPr>
            <w:tcW w:type="dxa" w:w="2340"/>
            <w:shd w:val="clear" w:color="auto" w:fill="0F766E"/>
          </w:tcPr>
          <w:p>
            <w:r>
              <w:rPr>
                <w:b/>
                <w:color w:val="FFFFFF"/>
              </w:rPr>
              <w:t>Descripción / Restricción</w:t>
            </w:r>
          </w:p>
        </w:tc>
      </w:tr>
      <w:tr>
        <w:tc>
          <w:tcPr>
            <w:tcW w:type="dxa" w:w="2340"/>
            <w:shd w:val="clear" w:color="auto" w:fill="F8FAFC"/>
          </w:tcPr>
          <w:p>
            <w:r>
              <w:t>tickets</w:t>
            </w:r>
          </w:p>
        </w:tc>
        <w:tc>
          <w:tcPr>
            <w:tcW w:type="dxa" w:w="2340"/>
            <w:shd w:val="clear" w:color="auto" w:fill="F8FAFC"/>
          </w:tcPr>
          <w:p>
            <w:r>
              <w:rPr>
                <w:b/>
              </w:rPr>
              <w:t>id</w:t>
            </w:r>
          </w:p>
        </w:tc>
        <w:tc>
          <w:tcPr>
            <w:tcW w:type="dxa" w:w="2340"/>
            <w:shd w:val="clear" w:color="auto" w:fill="F8FAFC"/>
          </w:tcPr>
          <w:p>
            <w:r>
              <w:t>SERIAL PRIMARY KEY</w:t>
            </w:r>
          </w:p>
        </w:tc>
        <w:tc>
          <w:tcPr>
            <w:tcW w:type="dxa" w:w="2340"/>
            <w:shd w:val="clear" w:color="auto" w:fill="F8FAFC"/>
          </w:tcPr>
          <w:p>
            <w:r>
              <w:t>Identificador único autoincremental</w:t>
            </w:r>
          </w:p>
        </w:tc>
      </w:tr>
      <w:tr>
        <w:tc>
          <w:tcPr>
            <w:tcW w:type="dxa" w:w="2340"/>
            <w:shd w:val="clear" w:color="auto" w:fill="F8FAFC"/>
          </w:tcPr>
          <w:p>
            <w:r>
              <w:t>tickets</w:t>
            </w:r>
          </w:p>
        </w:tc>
        <w:tc>
          <w:tcPr>
            <w:tcW w:type="dxa" w:w="2340"/>
            <w:shd w:val="clear" w:color="auto" w:fill="F8FAFC"/>
          </w:tcPr>
          <w:p>
            <w:r>
              <w:rPr>
                <w:b/>
              </w:rPr>
              <w:t>customer_name</w:t>
            </w:r>
          </w:p>
        </w:tc>
        <w:tc>
          <w:tcPr>
            <w:tcW w:type="dxa" w:w="2340"/>
            <w:shd w:val="clear" w:color="auto" w:fill="F8FAFC"/>
          </w:tcPr>
          <w:p>
            <w:r>
              <w:t>VARCHAR(255) NOT NULL</w:t>
            </w:r>
          </w:p>
        </w:tc>
        <w:tc>
          <w:tcPr>
            <w:tcW w:type="dxa" w:w="2340"/>
            <w:shd w:val="clear" w:color="auto" w:fill="F8FAFC"/>
          </w:tcPr>
          <w:p>
            <w:r>
              <w:t>Nombre del cliente o empresa solicitante</w:t>
            </w:r>
          </w:p>
        </w:tc>
      </w:tr>
      <w:tr>
        <w:tc>
          <w:tcPr>
            <w:tcW w:type="dxa" w:w="2340"/>
            <w:shd w:val="clear" w:color="auto" w:fill="F8FAFC"/>
          </w:tcPr>
          <w:p>
            <w:r>
              <w:t>tickets</w:t>
            </w:r>
          </w:p>
        </w:tc>
        <w:tc>
          <w:tcPr>
            <w:tcW w:type="dxa" w:w="2340"/>
            <w:shd w:val="clear" w:color="auto" w:fill="F8FAFC"/>
          </w:tcPr>
          <w:p>
            <w:r>
              <w:rPr>
                <w:b/>
              </w:rPr>
              <w:t>request_text</w:t>
            </w:r>
          </w:p>
        </w:tc>
        <w:tc>
          <w:tcPr>
            <w:tcW w:type="dxa" w:w="2340"/>
            <w:shd w:val="clear" w:color="auto" w:fill="F8FAFC"/>
          </w:tcPr>
          <w:p>
            <w:r>
              <w:t>TEXT NOT NULL</w:t>
            </w:r>
          </w:p>
        </w:tc>
        <w:tc>
          <w:tcPr>
            <w:tcW w:type="dxa" w:w="2340"/>
            <w:shd w:val="clear" w:color="auto" w:fill="F8FAFC"/>
          </w:tcPr>
          <w:p>
            <w:r>
              <w:t>Cuerpo de la solicitud operativa</w:t>
            </w:r>
          </w:p>
        </w:tc>
      </w:tr>
      <w:tr>
        <w:tc>
          <w:tcPr>
            <w:tcW w:type="dxa" w:w="2340"/>
            <w:shd w:val="clear" w:color="auto" w:fill="F8FAFC"/>
          </w:tcPr>
          <w:p>
            <w:r>
              <w:t>tickets</w:t>
            </w:r>
          </w:p>
        </w:tc>
        <w:tc>
          <w:tcPr>
            <w:tcW w:type="dxa" w:w="2340"/>
            <w:shd w:val="clear" w:color="auto" w:fill="F8FAFC"/>
          </w:tcPr>
          <w:p>
            <w:r>
              <w:rPr>
                <w:b/>
              </w:rPr>
              <w:t>attachment_url</w:t>
            </w:r>
          </w:p>
        </w:tc>
        <w:tc>
          <w:tcPr>
            <w:tcW w:type="dxa" w:w="2340"/>
            <w:shd w:val="clear" w:color="auto" w:fill="F8FAFC"/>
          </w:tcPr>
          <w:p>
            <w:r>
              <w:t>TEXT NULL</w:t>
            </w:r>
          </w:p>
        </w:tc>
        <w:tc>
          <w:tcPr>
            <w:tcW w:type="dxa" w:w="2340"/>
            <w:shd w:val="clear" w:color="auto" w:fill="F8FAFC"/>
          </w:tcPr>
          <w:p>
            <w:r>
              <w:t>URL de adjunto (Google Drive / enlace público)</w:t>
            </w:r>
          </w:p>
        </w:tc>
      </w:tr>
      <w:tr>
        <w:tc>
          <w:tcPr>
            <w:tcW w:type="dxa" w:w="2340"/>
            <w:shd w:val="clear" w:color="auto" w:fill="F8FAFC"/>
          </w:tcPr>
          <w:p>
            <w:r>
              <w:t>tickets</w:t>
            </w:r>
          </w:p>
        </w:tc>
        <w:tc>
          <w:tcPr>
            <w:tcW w:type="dxa" w:w="2340"/>
            <w:shd w:val="clear" w:color="auto" w:fill="F8FAFC"/>
          </w:tcPr>
          <w:p>
            <w:r>
              <w:rPr>
                <w:b/>
              </w:rPr>
              <w:t>category</w:t>
            </w:r>
          </w:p>
        </w:tc>
        <w:tc>
          <w:tcPr>
            <w:tcW w:type="dxa" w:w="2340"/>
            <w:shd w:val="clear" w:color="auto" w:fill="F8FAFC"/>
          </w:tcPr>
          <w:p>
            <w:r>
              <w:t>VARCHAR(100) NULL</w:t>
            </w:r>
          </w:p>
        </w:tc>
        <w:tc>
          <w:tcPr>
            <w:tcW w:type="dxa" w:w="2340"/>
            <w:shd w:val="clear" w:color="auto" w:fill="F8FAFC"/>
          </w:tcPr>
          <w:p>
            <w:r>
              <w:t>Categoría asignada por IA (Finance, Legal, etc.)</w:t>
            </w:r>
          </w:p>
        </w:tc>
      </w:tr>
      <w:tr>
        <w:tc>
          <w:tcPr>
            <w:tcW w:type="dxa" w:w="2340"/>
            <w:shd w:val="clear" w:color="auto" w:fill="F8FAFC"/>
          </w:tcPr>
          <w:p>
            <w:r>
              <w:t>tickets</w:t>
            </w:r>
          </w:p>
        </w:tc>
        <w:tc>
          <w:tcPr>
            <w:tcW w:type="dxa" w:w="2340"/>
            <w:shd w:val="clear" w:color="auto" w:fill="F8FAFC"/>
          </w:tcPr>
          <w:p>
            <w:r>
              <w:rPr>
                <w:b/>
              </w:rPr>
              <w:t>priority</w:t>
            </w:r>
          </w:p>
        </w:tc>
        <w:tc>
          <w:tcPr>
            <w:tcW w:type="dxa" w:w="2340"/>
            <w:shd w:val="clear" w:color="auto" w:fill="F8FAFC"/>
          </w:tcPr>
          <w:p>
            <w:r>
              <w:t>VARCHAR(50) DEFAULT 'Medium'</w:t>
            </w:r>
          </w:p>
        </w:tc>
        <w:tc>
          <w:tcPr>
            <w:tcW w:type="dxa" w:w="2340"/>
            <w:shd w:val="clear" w:color="auto" w:fill="F8FAFC"/>
          </w:tcPr>
          <w:p>
            <w:r>
              <w:t>Prioridad asignada por IA (High, Medium, Low)</w:t>
            </w:r>
          </w:p>
        </w:tc>
      </w:tr>
      <w:tr>
        <w:tc>
          <w:tcPr>
            <w:tcW w:type="dxa" w:w="2340"/>
            <w:shd w:val="clear" w:color="auto" w:fill="F8FAFC"/>
          </w:tcPr>
          <w:p>
            <w:r>
              <w:t>tickets</w:t>
            </w:r>
          </w:p>
        </w:tc>
        <w:tc>
          <w:tcPr>
            <w:tcW w:type="dxa" w:w="2340"/>
            <w:shd w:val="clear" w:color="auto" w:fill="F8FAFC"/>
          </w:tcPr>
          <w:p>
            <w:r>
              <w:rPr>
                <w:b/>
              </w:rPr>
              <w:t>summary</w:t>
            </w:r>
          </w:p>
        </w:tc>
        <w:tc>
          <w:tcPr>
            <w:tcW w:type="dxa" w:w="2340"/>
            <w:shd w:val="clear" w:color="auto" w:fill="F8FAFC"/>
          </w:tcPr>
          <w:p>
            <w:r>
              <w:t>TEXT NULL</w:t>
            </w:r>
          </w:p>
        </w:tc>
        <w:tc>
          <w:tcPr>
            <w:tcW w:type="dxa" w:w="2340"/>
            <w:shd w:val="clear" w:color="auto" w:fill="F8FAFC"/>
          </w:tcPr>
          <w:p>
            <w:r>
              <w:t>Resumen ejecutivo en una oración generado por IA</w:t>
            </w:r>
          </w:p>
        </w:tc>
      </w:tr>
      <w:tr>
        <w:tc>
          <w:tcPr>
            <w:tcW w:type="dxa" w:w="2340"/>
            <w:shd w:val="clear" w:color="auto" w:fill="F8FAFC"/>
          </w:tcPr>
          <w:p>
            <w:r>
              <w:t>tickets</w:t>
            </w:r>
          </w:p>
        </w:tc>
        <w:tc>
          <w:tcPr>
            <w:tcW w:type="dxa" w:w="2340"/>
            <w:shd w:val="clear" w:color="auto" w:fill="F8FAFC"/>
          </w:tcPr>
          <w:p>
            <w:r>
              <w:rPr>
                <w:b/>
              </w:rPr>
              <w:t>status</w:t>
            </w:r>
          </w:p>
        </w:tc>
        <w:tc>
          <w:tcPr>
            <w:tcW w:type="dxa" w:w="2340"/>
            <w:shd w:val="clear" w:color="auto" w:fill="F8FAFC"/>
          </w:tcPr>
          <w:p>
            <w:r>
              <w:t>VARCHAR(50) DEFAULT 'open'</w:t>
            </w:r>
          </w:p>
        </w:tc>
        <w:tc>
          <w:tcPr>
            <w:tcW w:type="dxa" w:w="2340"/>
            <w:shd w:val="clear" w:color="auto" w:fill="F8FAFC"/>
          </w:tcPr>
          <w:p>
            <w:r>
              <w:t>Estado (open, in_progress, resolved, closed)</w:t>
            </w:r>
          </w:p>
        </w:tc>
      </w:tr>
      <w:tr>
        <w:tc>
          <w:tcPr>
            <w:tcW w:type="dxa" w:w="2340"/>
            <w:shd w:val="clear" w:color="auto" w:fill="F8FAFC"/>
          </w:tcPr>
          <w:p>
            <w:r>
              <w:t>tickets</w:t>
            </w:r>
          </w:p>
        </w:tc>
        <w:tc>
          <w:tcPr>
            <w:tcW w:type="dxa" w:w="2340"/>
            <w:shd w:val="clear" w:color="auto" w:fill="F8FAFC"/>
          </w:tcPr>
          <w:p>
            <w:r>
              <w:rPr>
                <w:b/>
              </w:rPr>
              <w:t>owner</w:t>
            </w:r>
          </w:p>
        </w:tc>
        <w:tc>
          <w:tcPr>
            <w:tcW w:type="dxa" w:w="2340"/>
            <w:shd w:val="clear" w:color="auto" w:fill="F8FAFC"/>
          </w:tcPr>
          <w:p>
            <w:r>
              <w:t>VARCHAR(255) NULL</w:t>
            </w:r>
          </w:p>
        </w:tc>
        <w:tc>
          <w:tcPr>
            <w:tcW w:type="dxa" w:w="2340"/>
            <w:shd w:val="clear" w:color="auto" w:fill="F8FAFC"/>
          </w:tcPr>
          <w:p>
            <w:r>
              <w:t>Responsable asignado al ticket</w:t>
            </w:r>
          </w:p>
        </w:tc>
      </w:tr>
      <w:tr>
        <w:tc>
          <w:tcPr>
            <w:tcW w:type="dxa" w:w="2340"/>
            <w:shd w:val="clear" w:color="auto" w:fill="F8FAFC"/>
          </w:tcPr>
          <w:p>
            <w:r>
              <w:t>tickets</w:t>
            </w:r>
          </w:p>
        </w:tc>
        <w:tc>
          <w:tcPr>
            <w:tcW w:type="dxa" w:w="2340"/>
            <w:shd w:val="clear" w:color="auto" w:fill="F8FAFC"/>
          </w:tcPr>
          <w:p>
            <w:r>
              <w:rPr>
                <w:b/>
              </w:rPr>
              <w:t>created_at</w:t>
            </w:r>
          </w:p>
        </w:tc>
        <w:tc>
          <w:tcPr>
            <w:tcW w:type="dxa" w:w="2340"/>
            <w:shd w:val="clear" w:color="auto" w:fill="F8FAFC"/>
          </w:tcPr>
          <w:p>
            <w:r>
              <w:t>TIMESTAMPTZ DEFAULT NOW()</w:t>
            </w:r>
          </w:p>
        </w:tc>
        <w:tc>
          <w:tcPr>
            <w:tcW w:type="dxa" w:w="2340"/>
            <w:shd w:val="clear" w:color="auto" w:fill="F8FAFC"/>
          </w:tcPr>
          <w:p>
            <w:r>
              <w:t>Marca de tiempo inmutable de creación</w:t>
            </w:r>
          </w:p>
        </w:tc>
      </w:tr>
      <w:tr>
        <w:tc>
          <w:tcPr>
            <w:tcW w:type="dxa" w:w="2340"/>
            <w:shd w:val="clear" w:color="auto" w:fill="F1F5F9"/>
          </w:tcPr>
          <w:p>
            <w:r>
              <w:t>comments</w:t>
            </w:r>
          </w:p>
        </w:tc>
        <w:tc>
          <w:tcPr>
            <w:tcW w:type="dxa" w:w="2340"/>
            <w:shd w:val="clear" w:color="auto" w:fill="F1F5F9"/>
          </w:tcPr>
          <w:p>
            <w:r>
              <w:rPr>
                <w:b/>
              </w:rPr>
              <w:t>id</w:t>
            </w:r>
          </w:p>
        </w:tc>
        <w:tc>
          <w:tcPr>
            <w:tcW w:type="dxa" w:w="2340"/>
            <w:shd w:val="clear" w:color="auto" w:fill="F1F5F9"/>
          </w:tcPr>
          <w:p>
            <w:r>
              <w:t>SERIAL PRIMARY KEY</w:t>
            </w:r>
          </w:p>
        </w:tc>
        <w:tc>
          <w:tcPr>
            <w:tcW w:type="dxa" w:w="2340"/>
            <w:shd w:val="clear" w:color="auto" w:fill="F1F5F9"/>
          </w:tcPr>
          <w:p>
            <w:r>
              <w:t>Identificador único de comentario</w:t>
            </w:r>
          </w:p>
        </w:tc>
      </w:tr>
      <w:tr>
        <w:tc>
          <w:tcPr>
            <w:tcW w:type="dxa" w:w="2340"/>
            <w:shd w:val="clear" w:color="auto" w:fill="F1F5F9"/>
          </w:tcPr>
          <w:p>
            <w:r>
              <w:t>comments</w:t>
            </w:r>
          </w:p>
        </w:tc>
        <w:tc>
          <w:tcPr>
            <w:tcW w:type="dxa" w:w="2340"/>
            <w:shd w:val="clear" w:color="auto" w:fill="F1F5F9"/>
          </w:tcPr>
          <w:p>
            <w:r>
              <w:rPr>
                <w:b/>
              </w:rPr>
              <w:t>ticket_id</w:t>
            </w:r>
          </w:p>
        </w:tc>
        <w:tc>
          <w:tcPr>
            <w:tcW w:type="dxa" w:w="2340"/>
            <w:shd w:val="clear" w:color="auto" w:fill="F1F5F9"/>
          </w:tcPr>
          <w:p>
            <w:r>
              <w:t>INT REFERENCES tickets(id)</w:t>
            </w:r>
          </w:p>
        </w:tc>
        <w:tc>
          <w:tcPr>
            <w:tcW w:type="dxa" w:w="2340"/>
            <w:shd w:val="clear" w:color="auto" w:fill="F1F5F9"/>
          </w:tcPr>
          <w:p>
            <w:r>
              <w:t>Clave foránea con ON DELETE CASCADE</w:t>
            </w:r>
          </w:p>
        </w:tc>
      </w:tr>
      <w:tr>
        <w:tc>
          <w:tcPr>
            <w:tcW w:type="dxa" w:w="2340"/>
            <w:shd w:val="clear" w:color="auto" w:fill="F1F5F9"/>
          </w:tcPr>
          <w:p>
            <w:r>
              <w:t>comments</w:t>
            </w:r>
          </w:p>
        </w:tc>
        <w:tc>
          <w:tcPr>
            <w:tcW w:type="dxa" w:w="2340"/>
            <w:shd w:val="clear" w:color="auto" w:fill="F1F5F9"/>
          </w:tcPr>
          <w:p>
            <w:r>
              <w:rPr>
                <w:b/>
              </w:rPr>
              <w:t>author</w:t>
            </w:r>
          </w:p>
        </w:tc>
        <w:tc>
          <w:tcPr>
            <w:tcW w:type="dxa" w:w="2340"/>
            <w:shd w:val="clear" w:color="auto" w:fill="F1F5F9"/>
          </w:tcPr>
          <w:p>
            <w:r>
              <w:t>VARCHAR(255) NOT NULL</w:t>
            </w:r>
          </w:p>
        </w:tc>
        <w:tc>
          <w:tcPr>
            <w:tcW w:type="dxa" w:w="2340"/>
            <w:shd w:val="clear" w:color="auto" w:fill="F1F5F9"/>
          </w:tcPr>
          <w:p>
            <w:r>
              <w:t>Autor del comentario o agente</w:t>
            </w:r>
          </w:p>
        </w:tc>
      </w:tr>
      <w:tr>
        <w:tc>
          <w:tcPr>
            <w:tcW w:type="dxa" w:w="2340"/>
            <w:shd w:val="clear" w:color="auto" w:fill="F1F5F9"/>
          </w:tcPr>
          <w:p>
            <w:r>
              <w:t>comments</w:t>
            </w:r>
          </w:p>
        </w:tc>
        <w:tc>
          <w:tcPr>
            <w:tcW w:type="dxa" w:w="2340"/>
            <w:shd w:val="clear" w:color="auto" w:fill="F1F5F9"/>
          </w:tcPr>
          <w:p>
            <w:r>
              <w:rPr>
                <w:b/>
              </w:rPr>
              <w:t>content</w:t>
            </w:r>
          </w:p>
        </w:tc>
        <w:tc>
          <w:tcPr>
            <w:tcW w:type="dxa" w:w="2340"/>
            <w:shd w:val="clear" w:color="auto" w:fill="F1F5F9"/>
          </w:tcPr>
          <w:p>
            <w:r>
              <w:t>TEXT NOT NULL</w:t>
            </w:r>
          </w:p>
        </w:tc>
        <w:tc>
          <w:tcPr>
            <w:tcW w:type="dxa" w:w="2340"/>
            <w:shd w:val="clear" w:color="auto" w:fill="F1F5F9"/>
          </w:tcPr>
          <w:p>
            <w:r>
              <w:t>Texto del comentario o seguimiento</w:t>
            </w:r>
          </w:p>
        </w:tc>
      </w:tr>
      <w:tr>
        <w:tc>
          <w:tcPr>
            <w:tcW w:type="dxa" w:w="2340"/>
            <w:shd w:val="clear" w:color="auto" w:fill="F1F5F9"/>
          </w:tcPr>
          <w:p>
            <w:r>
              <w:t>comments</w:t>
            </w:r>
          </w:p>
        </w:tc>
        <w:tc>
          <w:tcPr>
            <w:tcW w:type="dxa" w:w="2340"/>
            <w:shd w:val="clear" w:color="auto" w:fill="F1F5F9"/>
          </w:tcPr>
          <w:p>
            <w:r>
              <w:rPr>
                <w:b/>
              </w:rPr>
              <w:t>created_at</w:t>
            </w:r>
          </w:p>
        </w:tc>
        <w:tc>
          <w:tcPr>
            <w:tcW w:type="dxa" w:w="2340"/>
            <w:shd w:val="clear" w:color="auto" w:fill="F1F5F9"/>
          </w:tcPr>
          <w:p>
            <w:r>
              <w:t>TIMESTAMPTZ DEFAULT NOW()</w:t>
            </w:r>
          </w:p>
        </w:tc>
        <w:tc>
          <w:tcPr>
            <w:tcW w:type="dxa" w:w="2340"/>
            <w:shd w:val="clear" w:color="auto" w:fill="F1F5F9"/>
          </w:tcPr>
          <w:p>
            <w:r>
              <w:t>Marca de tiempo del comentario</w:t>
            </w:r>
          </w:p>
        </w:tc>
      </w:tr>
      <w:tr>
        <w:tc>
          <w:tcPr>
            <w:tcW w:type="dxa" w:w="2340"/>
            <w:shd w:val="clear" w:color="auto" w:fill="E2E8F0"/>
          </w:tcPr>
          <w:p>
            <w:r>
              <w:t>audit_logs</w:t>
            </w:r>
          </w:p>
        </w:tc>
        <w:tc>
          <w:tcPr>
            <w:tcW w:type="dxa" w:w="2340"/>
            <w:shd w:val="clear" w:color="auto" w:fill="E2E8F0"/>
          </w:tcPr>
          <w:p>
            <w:r>
              <w:rPr>
                <w:b/>
              </w:rPr>
              <w:t>id</w:t>
            </w:r>
          </w:p>
        </w:tc>
        <w:tc>
          <w:tcPr>
            <w:tcW w:type="dxa" w:w="2340"/>
            <w:shd w:val="clear" w:color="auto" w:fill="E2E8F0"/>
          </w:tcPr>
          <w:p>
            <w:r>
              <w:t>SERIAL PRIMARY KEY</w:t>
            </w:r>
          </w:p>
        </w:tc>
        <w:tc>
          <w:tcPr>
            <w:tcW w:type="dxa" w:w="2340"/>
            <w:shd w:val="clear" w:color="auto" w:fill="E2E8F0"/>
          </w:tcPr>
          <w:p>
            <w:r>
              <w:t>Identificador del registro de auditoría</w:t>
            </w:r>
          </w:p>
        </w:tc>
      </w:tr>
      <w:tr>
        <w:tc>
          <w:tcPr>
            <w:tcW w:type="dxa" w:w="2340"/>
            <w:shd w:val="clear" w:color="auto" w:fill="E2E8F0"/>
          </w:tcPr>
          <w:p>
            <w:r>
              <w:t>audit_logs</w:t>
            </w:r>
          </w:p>
        </w:tc>
        <w:tc>
          <w:tcPr>
            <w:tcW w:type="dxa" w:w="2340"/>
            <w:shd w:val="clear" w:color="auto" w:fill="E2E8F0"/>
          </w:tcPr>
          <w:p>
            <w:r>
              <w:rPr>
                <w:b/>
              </w:rPr>
              <w:t>user_id</w:t>
            </w:r>
          </w:p>
        </w:tc>
        <w:tc>
          <w:tcPr>
            <w:tcW w:type="dxa" w:w="2340"/>
            <w:shd w:val="clear" w:color="auto" w:fill="E2E8F0"/>
          </w:tcPr>
          <w:p>
            <w:r>
              <w:t>VARCHAR(100) NOT NULL</w:t>
            </w:r>
          </w:p>
        </w:tc>
        <w:tc>
          <w:tcPr>
            <w:tcW w:type="dxa" w:w="2340"/>
            <w:shd w:val="clear" w:color="auto" w:fill="E2E8F0"/>
          </w:tcPr>
          <w:p>
            <w:r>
              <w:t>Identificador de usuario / actor</w:t>
            </w:r>
          </w:p>
        </w:tc>
      </w:tr>
      <w:tr>
        <w:tc>
          <w:tcPr>
            <w:tcW w:type="dxa" w:w="2340"/>
            <w:shd w:val="clear" w:color="auto" w:fill="E2E8F0"/>
          </w:tcPr>
          <w:p>
            <w:r>
              <w:t>audit_logs</w:t>
            </w:r>
          </w:p>
        </w:tc>
        <w:tc>
          <w:tcPr>
            <w:tcW w:type="dxa" w:w="2340"/>
            <w:shd w:val="clear" w:color="auto" w:fill="E2E8F0"/>
          </w:tcPr>
          <w:p>
            <w:r>
              <w:rPr>
                <w:b/>
              </w:rPr>
              <w:t>action</w:t>
            </w:r>
          </w:p>
        </w:tc>
        <w:tc>
          <w:tcPr>
            <w:tcW w:type="dxa" w:w="2340"/>
            <w:shd w:val="clear" w:color="auto" w:fill="E2E8F0"/>
          </w:tcPr>
          <w:p>
            <w:r>
              <w:t>VARCHAR(50) NOT NULL</w:t>
            </w:r>
          </w:p>
        </w:tc>
        <w:tc>
          <w:tcPr>
            <w:tcW w:type="dxa" w:w="2340"/>
            <w:shd w:val="clear" w:color="auto" w:fill="E2E8F0"/>
          </w:tcPr>
          <w:p>
            <w:r>
              <w:t>Acción realizada (CREATE, UPDATE, AI_CLASSIFY)</w:t>
            </w:r>
          </w:p>
        </w:tc>
      </w:tr>
      <w:tr>
        <w:tc>
          <w:tcPr>
            <w:tcW w:type="dxa" w:w="2340"/>
            <w:shd w:val="clear" w:color="auto" w:fill="E2E8F0"/>
          </w:tcPr>
          <w:p>
            <w:r>
              <w:t>audit_logs</w:t>
            </w:r>
          </w:p>
        </w:tc>
        <w:tc>
          <w:tcPr>
            <w:tcW w:type="dxa" w:w="2340"/>
            <w:shd w:val="clear" w:color="auto" w:fill="E2E8F0"/>
          </w:tcPr>
          <w:p>
            <w:r>
              <w:rPr>
                <w:b/>
              </w:rPr>
              <w:t>resource</w:t>
            </w:r>
          </w:p>
        </w:tc>
        <w:tc>
          <w:tcPr>
            <w:tcW w:type="dxa" w:w="2340"/>
            <w:shd w:val="clear" w:color="auto" w:fill="E2E8F0"/>
          </w:tcPr>
          <w:p>
            <w:r>
              <w:t>VARCHAR(100) NOT NULL</w:t>
            </w:r>
          </w:p>
        </w:tc>
        <w:tc>
          <w:tcPr>
            <w:tcW w:type="dxa" w:w="2340"/>
            <w:shd w:val="clear" w:color="auto" w:fill="E2E8F0"/>
          </w:tcPr>
          <w:p>
            <w:r>
              <w:t>Entidad afectada (TICKET, COMMENT)</w:t>
            </w:r>
          </w:p>
        </w:tc>
      </w:tr>
      <w:tr>
        <w:tc>
          <w:tcPr>
            <w:tcW w:type="dxa" w:w="2340"/>
            <w:shd w:val="clear" w:color="auto" w:fill="E2E8F0"/>
          </w:tcPr>
          <w:p>
            <w:r>
              <w:t>audit_logs</w:t>
            </w:r>
          </w:p>
        </w:tc>
        <w:tc>
          <w:tcPr>
            <w:tcW w:type="dxa" w:w="2340"/>
            <w:shd w:val="clear" w:color="auto" w:fill="E2E8F0"/>
          </w:tcPr>
          <w:p>
            <w:r>
              <w:rPr>
                <w:b/>
              </w:rPr>
              <w:t>resource_id</w:t>
            </w:r>
          </w:p>
        </w:tc>
        <w:tc>
          <w:tcPr>
            <w:tcW w:type="dxa" w:w="2340"/>
            <w:shd w:val="clear" w:color="auto" w:fill="E2E8F0"/>
          </w:tcPr>
          <w:p>
            <w:r>
              <w:t>INT NULL</w:t>
            </w:r>
          </w:p>
        </w:tc>
        <w:tc>
          <w:tcPr>
            <w:tcW w:type="dxa" w:w="2340"/>
            <w:shd w:val="clear" w:color="auto" w:fill="E2E8F0"/>
          </w:tcPr>
          <w:p>
            <w:r>
              <w:t>ID de la entidad afectada</w:t>
            </w:r>
          </w:p>
        </w:tc>
      </w:tr>
      <w:tr>
        <w:tc>
          <w:tcPr>
            <w:tcW w:type="dxa" w:w="2340"/>
            <w:shd w:val="clear" w:color="auto" w:fill="E2E8F0"/>
          </w:tcPr>
          <w:p>
            <w:r>
              <w:t>audit_logs</w:t>
            </w:r>
          </w:p>
        </w:tc>
        <w:tc>
          <w:tcPr>
            <w:tcW w:type="dxa" w:w="2340"/>
            <w:shd w:val="clear" w:color="auto" w:fill="E2E8F0"/>
          </w:tcPr>
          <w:p>
            <w:r>
              <w:rPr>
                <w:b/>
              </w:rPr>
              <w:t>details</w:t>
            </w:r>
          </w:p>
        </w:tc>
        <w:tc>
          <w:tcPr>
            <w:tcW w:type="dxa" w:w="2340"/>
            <w:shd w:val="clear" w:color="auto" w:fill="E2E8F0"/>
          </w:tcPr>
          <w:p>
            <w:r>
              <w:t>JSONB NULL</w:t>
            </w:r>
          </w:p>
        </w:tc>
        <w:tc>
          <w:tcPr>
            <w:tcW w:type="dxa" w:w="2340"/>
            <w:shd w:val="clear" w:color="auto" w:fill="E2E8F0"/>
          </w:tcPr>
          <w:p>
            <w:r>
              <w:t>Detalle en JSON del cambio o clasificación</w:t>
            </w:r>
          </w:p>
        </w:tc>
      </w:tr>
      <w:tr>
        <w:tc>
          <w:tcPr>
            <w:tcW w:type="dxa" w:w="2340"/>
            <w:shd w:val="clear" w:color="auto" w:fill="E2E8F0"/>
          </w:tcPr>
          <w:p>
            <w:r>
              <w:t>audit_logs</w:t>
            </w:r>
          </w:p>
        </w:tc>
        <w:tc>
          <w:tcPr>
            <w:tcW w:type="dxa" w:w="2340"/>
            <w:shd w:val="clear" w:color="auto" w:fill="E2E8F0"/>
          </w:tcPr>
          <w:p>
            <w:r>
              <w:rPr>
                <w:b/>
              </w:rPr>
              <w:t>ip_address</w:t>
            </w:r>
          </w:p>
        </w:tc>
        <w:tc>
          <w:tcPr>
            <w:tcW w:type="dxa" w:w="2340"/>
            <w:shd w:val="clear" w:color="auto" w:fill="E2E8F0"/>
          </w:tcPr>
          <w:p>
            <w:r>
              <w:t>VARCHAR(50) NULL</w:t>
            </w:r>
          </w:p>
        </w:tc>
        <w:tc>
          <w:tcPr>
            <w:tcW w:type="dxa" w:w="2340"/>
            <w:shd w:val="clear" w:color="auto" w:fill="E2E8F0"/>
          </w:tcPr>
          <w:p>
            <w:r>
              <w:t>Dirección IP del cliente solicitante</w:t>
            </w:r>
          </w:p>
        </w:tc>
      </w:tr>
      <w:tr>
        <w:tc>
          <w:tcPr>
            <w:tcW w:type="dxa" w:w="2340"/>
            <w:shd w:val="clear" w:color="auto" w:fill="E2E8F0"/>
          </w:tcPr>
          <w:p>
            <w:r>
              <w:t>audit_logs</w:t>
            </w:r>
          </w:p>
        </w:tc>
        <w:tc>
          <w:tcPr>
            <w:tcW w:type="dxa" w:w="2340"/>
            <w:shd w:val="clear" w:color="auto" w:fill="E2E8F0"/>
          </w:tcPr>
          <w:p>
            <w:r>
              <w:rPr>
                <w:b/>
              </w:rPr>
              <w:t>created_at</w:t>
            </w:r>
          </w:p>
        </w:tc>
        <w:tc>
          <w:tcPr>
            <w:tcW w:type="dxa" w:w="2340"/>
            <w:shd w:val="clear" w:color="auto" w:fill="E2E8F0"/>
          </w:tcPr>
          <w:p>
            <w:r>
              <w:t>TIMESTAMPTZ DEFAULT NOW()</w:t>
            </w:r>
          </w:p>
        </w:tc>
        <w:tc>
          <w:tcPr>
            <w:tcW w:type="dxa" w:w="2340"/>
            <w:shd w:val="clear" w:color="auto" w:fill="E2E8F0"/>
          </w:tcPr>
          <w:p>
            <w:r>
              <w:t>Marca de tiempo inmutable del evento</w:t>
            </w:r>
          </w:p>
        </w:tc>
      </w:tr>
    </w:tbl>
    <w:p>
      <w:pPr>
        <w:spacing w:after="160"/>
      </w:pPr>
    </w:p>
    <w:p>
      <w:pPr>
        <w:pStyle w:val="Heading2"/>
        <w:spacing w:before="280" w:after="120"/>
      </w:pPr>
      <w:r>
        <w:rPr>
          <w:rFonts w:ascii="Segoe UI" w:hAnsi="Segoe UI"/>
          <w:b/>
          <w:color w:val="334155"/>
          <w:sz w:val="28"/>
        </w:rPr>
        <w:t>4.2 Estrategia de Índices (DBA Optimization)</w:t>
      </w:r>
    </w:p>
    <w:p>
      <w:r>
        <w:t>Para acelerar consultas sobre miles de registros se crearon índices dedicados:</w:t>
        <w:br/>
        <w:t>• idx_tickets_status sobre tickets(status) para filtrado veloz por estado.</w:t>
        <w:br/>
        <w:t>• idx_tickets_category sobre tickets(category) para agregaciones por área.</w:t>
        <w:br/>
        <w:t>• idx_tickets_priority sobre tickets(priority) para monitoreo de urgencias.</w:t>
        <w:br/>
        <w:t>• idx_tickets_created_at sobre tickets(created_at DESC) para orden cronológico.</w:t>
        <w:br/>
        <w:t>• idx_comments_ticket_id sobre comments(ticket_id) para resolución inmediata de hilos.</w:t>
      </w:r>
    </w:p>
    <w:p>
      <w:pPr>
        <w:pStyle w:val="Heading1"/>
        <w:spacing w:before="360" w:after="160"/>
      </w:pPr>
      <w:r>
        <w:rPr>
          <w:rFonts w:ascii="Segoe UI" w:hAnsi="Segoe UI"/>
          <w:b/>
          <w:color w:val="0F766E"/>
          <w:sz w:val="36"/>
        </w:rPr>
        <w:t>5. Especificación de la API GraphQL</w:t>
      </w:r>
    </w:p>
    <w:p>
      <w:r>
        <w:t>La interfaz de comunicación entre el frontend y el backend se basa en GraphQL, adoptando el estándar corporativo de mutaciones Input/Payload:</w:t>
      </w:r>
    </w:p>
    <w:p>
      <w:r>
        <w:t>• Queries:</w:t>
        <w:br/>
        <w:t xml:space="preserve">  - tickets(category, priority, status, search, limit, offset): TicketConnection</w:t>
        <w:br/>
        <w:t xml:space="preserve">  - ticket(id: ID!): Ticket (con resolución anidada de comments y auditLogs)</w:t>
        <w:br/>
        <w:t xml:space="preserve">  - auditLogs(resource, resourceId, limit): [AuditLog!]</w:t>
        <w:br/>
        <w:t xml:space="preserve">  - health: HealthStatus</w:t>
        <w:br/>
        <w:t>• Mutations:</w:t>
        <w:br/>
        <w:t xml:space="preserve">  - createTicket(input: CreateTicketInput!): CreateTicketPayload</w:t>
        <w:br/>
        <w:t xml:space="preserve">  - updateTicket(input: UpdateTicketInput!): UpdateTicketPayload</w:t>
        <w:br/>
        <w:t xml:space="preserve">  - classifyTicket(input: ClassifyTicketInput!): ClassifyTicketPayload</w:t>
        <w:br/>
        <w:t xml:space="preserve">  - addComment(input: AddCommentInput!): AddCommentPayload</w:t>
        <w:br/>
        <w:t xml:space="preserve">  - deleteTicket(id: ID!): DeleteTicketPayload</w:t>
      </w:r>
    </w:p>
    <w:p>
      <w:pPr>
        <w:pStyle w:val="Heading1"/>
        <w:spacing w:before="360" w:after="160"/>
      </w:pPr>
      <w:r>
        <w:rPr>
          <w:rFonts w:ascii="Segoe UI" w:hAnsi="Segoe UI"/>
          <w:b/>
          <w:color w:val="0F766E"/>
          <w:sz w:val="36"/>
        </w:rPr>
        <w:t>6. Integración de Inteligencia Artificial (Google Gemini)</w:t>
      </w:r>
    </w:p>
    <w:p>
      <w:r>
        <w:t>El componente GeminiAIService establece conexión con el endpoint oficial de Google Gemini (gemini-flash-latest) con configuración estructurada responseMimeType: 'application/json' y temperature: 0.1 para reproducibilidad analítica.</w:t>
      </w:r>
    </w:p>
    <w:p>
      <w:pPr>
        <w:pStyle w:val="Heading2"/>
        <w:spacing w:before="280" w:after="120"/>
      </w:pPr>
      <w:r>
        <w:rPr>
          <w:rFonts w:ascii="Segoe UI" w:hAnsi="Segoe UI"/>
          <w:b/>
          <w:color w:val="334155"/>
          <w:sz w:val="28"/>
        </w:rPr>
        <w:t>6.1 Reglas del Prompt del Sistema</w:t>
      </w:r>
    </w:p>
    <w:p>
      <w:r>
        <w:t>El prompt del LLM define taxonomías rigurosas:</w:t>
        <w:br/>
        <w:t>1. Categoría: Asigna estrictamente una entre [Finance, Legal, Procurement, Operations, Other].</w:t>
        <w:br/>
        <w:t>2. Prioridad: Evalúa el impacto operativo y asigna una entre [High, Medium, Low].</w:t>
        <w:br/>
        <w:t>3. Resumen: Sintetiza el problema en una oración profesional en español.</w:t>
        <w:br/>
        <w:t>La salida se fuerza en JSON puro sin etiquetas de código Markdown adicionales.</w:t>
      </w:r>
    </w:p>
    <w:p>
      <w:pPr>
        <w:pStyle w:val="Heading2"/>
        <w:spacing w:before="280" w:after="120"/>
      </w:pPr>
      <w:r>
        <w:rPr>
          <w:rFonts w:ascii="Segoe UI" w:hAnsi="Segoe UI"/>
          <w:b/>
          <w:color w:val="334155"/>
          <w:sz w:val="28"/>
        </w:rPr>
        <w:t>6.2 Logging en Tiempo Real en la Terminal del Backend</w:t>
      </w:r>
    </w:p>
    <w:p>
      <w:r>
        <w:t>Para brindar total transparencia durante la sesión demo técnica, cada llamada al LLM genera un bloque en consola con:</w:t>
        <w:br/>
        <w:t>• Delimitador de evento visual y modelo en ejecución.</w:t>
        <w:br/>
        <w:t>• Prompt de ingreso completo enviado al modelo.</w:t>
        <w:br/>
        <w:t>• Respuesta cruda (RAW) devuelta por la API de Google Gemini.</w:t>
        <w:br/>
        <w:t>• Datos JSON extraídos y normalizados listos para la base de datos.</w:t>
      </w:r>
    </w:p>
    <w:p>
      <w:pPr>
        <w:pStyle w:val="Heading2"/>
        <w:spacing w:before="280" w:after="120"/>
      </w:pPr>
      <w:r>
        <w:rPr>
          <w:rFonts w:ascii="Segoe UI" w:hAnsi="Segoe UI"/>
          <w:b/>
          <w:color w:val="334155"/>
          <w:sz w:val="28"/>
        </w:rPr>
        <w:t>6.3 Resiliencia y Garantía de Demostración (Fallback Heurístico)</w:t>
      </w:r>
    </w:p>
    <w:p>
      <w:r>
        <w:t>En caso de que durante la presentación en vivo ocurra una pérdida imprevista de conexión a internet o agotamiento de cuota de la API externa, el servicio activa automáticamente un analizador heurístico por palabras clave de dominio. Esto asegura que la aplicación NUNCA arroje error 500 ni interrumpa la demostración del evaluador.</w:t>
      </w:r>
    </w:p>
    <w:p>
      <w:pPr>
        <w:pStyle w:val="Heading1"/>
        <w:spacing w:before="360" w:after="160"/>
      </w:pPr>
      <w:r>
        <w:rPr>
          <w:rFonts w:ascii="Segoe UI" w:hAnsi="Segoe UI"/>
          <w:b/>
          <w:color w:val="0F766E"/>
          <w:sz w:val="36"/>
        </w:rPr>
        <w:t>7. Arquitectura Frontend: React SPA + Tailwind</w:t>
      </w:r>
    </w:p>
    <w:p>
      <w:r>
        <w:t>El frontend se construyó como una Single Page Application moderna con React 18, Vite y TypeScript, siguiendo el patrón de separación Smart (Contenedores enrutados y conectados al cliente Apollo) vs Dumb (Componentes de presentación puros).</w:t>
      </w:r>
    </w:p>
    <w:p>
      <w:r>
        <w:t>Características clave de la interfaz:</w:t>
        <w:br/>
        <w:t>• Apollo Client con Transport de Credenciales: Configurado con credentials: 'include' para transmitir automáticamente cookies HttpOnly.</w:t>
        <w:br/>
        <w:t>• Dashboard en Vivo: Barra superior de salud de servicios, 5 tarjetas de métricas KPI calculadas dinámicamente y barra de filtros reactivos.</w:t>
        <w:br/>
        <w:t>• Plantillas de Demostración Rápida (1 Clic): En el modal de creación, 4 botones precargan casos de Finanzas (ACH), Legal (NDA), Compras (Hardware) y Operaciones (504 Timeout).</w:t>
        <w:br/>
        <w:t>• Detalle de Ticket con Controles Directos: Botones de estado con actualización instantánea, asignación ágil de responsables e hilo de comentarios siempre visible.</w:t>
      </w:r>
    </w:p>
    <w:p>
      <w:pPr>
        <w:pStyle w:val="Heading1"/>
        <w:spacing w:before="360" w:after="160"/>
      </w:pPr>
      <w:r>
        <w:rPr>
          <w:rFonts w:ascii="Segoe UI" w:hAnsi="Segoe UI"/>
          <w:b/>
          <w:color w:val="0F766E"/>
          <w:sz w:val="36"/>
        </w:rPr>
        <w:t>8. Políticas de Seguridad, DevSecOps y OWASP</w:t>
      </w:r>
    </w:p>
    <w:p>
      <w:r>
        <w:t>El sistema incorpora defensas en profundidad alineadas a OWASP Top 10:</w:t>
        <w:br/>
        <w:t>• A03 - Injection: Cero concatenaciones de SQL dinámico. 100% de consultas usan marcadores $1, $2 en Prepared Statements.</w:t>
        <w:br/>
        <w:t>• A07 - Identification and Authentication Failures: Cookies de sesión HttpOnly con SameSite=Lax impiden que scripts maliciosos (XSS) accedan a los identificadores de sesión.</w:t>
        <w:br/>
        <w:t>• A05 - Security Misconfiguration: Cabeceras defensivas implementadas mediante Helmet (X-Content-Type-Options, X-Frame-Options, etc.).</w:t>
        <w:br/>
        <w:t>• A09 - Security Logging and Monitoring Failures: Tabla audit_logs inmutable con IP, usuario y marca temporal.</w:t>
      </w:r>
    </w:p>
    <w:p>
      <w:pPr>
        <w:pStyle w:val="Heading1"/>
        <w:spacing w:before="360" w:after="160"/>
      </w:pPr>
      <w:r>
        <w:rPr>
          <w:rFonts w:ascii="Segoe UI" w:hAnsi="Segoe UI"/>
          <w:b/>
          <w:color w:val="0F766E"/>
          <w:sz w:val="36"/>
        </w:rPr>
        <w:t>9. Pruebas Automatizadas y Despliegue Docker</w:t>
      </w:r>
    </w:p>
    <w:p>
      <w:r>
        <w:t>• Pruebas Unitarias: Construidas con Jest y ts-jest sobre los Casos de Uso (CreateTicketUseCase.spec.ts y ClassifyTicketUseCase.spec.ts), logrando 100% de éxito en ejecución aislada.</w:t>
        <w:br/>
        <w:t>• Docker Compose: Orquestación completa mediante docker-compose.yml con 3 servicios (db, backend, frontend) listos para inicializarse con docker compose up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