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k1r1v5fj2l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870"/>
        <w:gridCol w:w="5775"/>
        <w:tblGridChange w:id="0">
          <w:tblGrid>
            <w:gridCol w:w="3870"/>
            <w:gridCol w:w="57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esta fase dejamos operativo el SGI-PM con script de BD definitivo alineado al diagrama ER y diagrama de clases, API Back-End documentada en Swagger y Front-End funcional para solicitud de material, preparación con reserva por lote, despacho, recepción total/parcial y devoluciones, con auditoría en kardex y costo promedio (PPP). Se completaron Historias de Usuario con criterios, Documentación 4+1 coherente con el diseño y el Plan + Matriz de Pruebas con evidencias. Ajustamos alcance (sin ventas/e-commerce) y metodología (sprints cortos con entregas verticales) para asegurar coherencia ER–API–UI.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Mantener foco en inventario hacia proyectos y devoluciones.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Reglas explícitas: lote obligatorio en todo movimiento; PPP definido en entradas.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Sprints cortos con vertical slices y “puertas de calidad”: migración reproducible, Swagger actualizado y evidencias de pruebas por cada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ER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script_bd.sql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final (migración limpia + datos semilla) → demuestra base de datos estable.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Swagger/OpenAPI con endpoints reales (CRUD y movimientos con transacciones) → evidencia API lista para integración.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Capturas/Video E2E: petición → reserva por lote → despacho → recepción → devolución → prueba trazabilidad/kardex.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Pruebas + Matriz ejecutada (funcional, integración, seguridad, rendimiento) → asegura calidad disciplinar.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Arquitectura/Back-End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ER/OO y reglas (PK/FK, unicidad SKU, integridad de lotes, no-negatividad)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Draw.io/Lucidchart, SQL IDE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Martín + Equipo (BD)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Índices en SKU y (producto, lote); vistas para reportes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Estado: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Inclusión de tabla de kardex y campo de lote en movimientos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Facilitadores: HU claras con criterios, entregas verticales, puertas de calidad (Swagger actualizado, migración reproducible, evidencias de pruebas), trabajo colaborativo.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Dificultades: Concurrencia en reservas simultáneas; redondeos en PPP y manejo de recepción parcial.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Acciones: Uso de transacciones/locking, casos dedicados en pruebas, validaciones de estados y cantidades en UI/API.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Eliminadas: Flujos de ventas/e-commerce (fuera de alcance).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Ajustadas: Inclusión de transferencias internas y devoluciones como flujos estándar; obligatoriedad de lote en todos los movimientos para asegurar auditabilidad.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iniciadas/retrasadas: N/A (se completó el alcance planificado de Fase 2).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 ante desvíos: uso de buffers por sprint, priorización de vertical slices y adelanto de pruebas de regresión en endpoints críticos.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49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UvgrOjwBYxJ7iS5XAjudYRqpXA==">CgMxLjAyDWguazFyMXY1ZmoybGc4AHIhMTlnT3FtdzM2YW81N3Q1Umd1QWpSNlU2MGNjcjc3ZFJG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