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w="http://schemas.openxmlformats.org/wordprocessingml/2006/main" ns1:Ignorable="w14 w15 w16se w16cid w16 w16cex w16sdtdh w16sdtfl w16du wp14">
  <w:body>
    <w:p ns2:paraId="4ABA7C1D" ns2:textId="77777777" w:rsidR="00F546BE" w:rsidRPr="00D86217" w:rsidRDefault="00000000">
      <w:pPr>
        <w:pStyle w:val="Title"/>
        <w:jc w:val="center"/>
        <w:rPr>
          <w:rFonts w:ascii="Songti TC" w:eastAsia="Songti TC" w:hAnsi="Songti TC" w:cs="Times New Roman"/>
          <w:sz w:val="32"/>
          <w:szCs w:val="32"/>
          <w:lang w:eastAsia="zh-CN"/>
        </w:rPr>
      </w:pPr>
      <w:r w:rsidRPr="00D86217">
        <w:rPr>
          <w:rFonts w:ascii="Songti TC" w:eastAsia="Songti TC" w:hAnsi="Songti TC"/>
          <w:color w:val="1F3864"/>
          <w:sz w:val="32"/>
          <w:szCs w:val="32"/>
          <w:lang w:eastAsia="zh-CN"/>
        </w:rPr>
        <w:t>前置仓SKU选品与库存配置联合优化研究</w:t>
      </w:r>
    </w:p>
    <w:p ns2:paraId="6F3833BB" ns2:textId="77777777" w:rsidR="00F546BE" w:rsidRPr="00D86217" w:rsidRDefault="00000000">
      <w:pPr>
        <w:pStyle w:val="Subtitle"/>
        <w:jc w:val="center"/>
        <w:rPr>
          <w:rFonts w:ascii="Songti TC" w:eastAsia="Songti TC" w:hAnsi="Songti TC" w:cs="Times New Roman"/>
          <w:sz w:val="32"/>
          <w:szCs w:val="32"/>
          <w:lang w:eastAsia="zh-CN"/>
        </w:rPr>
      </w:pPr>
      <w:r w:rsidRPr="00D86217">
        <w:rPr>
          <w:rFonts w:ascii="Songti TC" w:eastAsia="Songti TC" w:hAnsi="Songti TC"/>
          <w:sz w:val="32"/>
          <w:szCs w:val="32"/>
          <w:lang w:eastAsia="zh-CN"/>
        </w:rPr>
        <w:t>——基于真实需求数据、联合优化模型与订单篮回放 Benchmark——</w:t>
      </w:r>
    </w:p>
    <w:p ns2:paraId="5A258CE9" ns2:textId="77777777" w:rsidR="00F546BE" w:rsidRPr="00D86217" w:rsidRDefault="00F546BE">
      <w:pPr>
        <w:spacing w:line="360" w:lineRule="auto"/>
        <w:ind w:firstLine="420"/>
        <w:rPr>
          <w:rFonts w:ascii="Songti TC" w:eastAsia="Songti TC" w:hAnsi="Songti TC" w:cs="Times New Roman"/>
          <w:sz w:val="32"/>
          <w:szCs w:val="32"/>
          <w:lang w:eastAsia="zh-CN"/>
        </w:rPr>
      </w:pPr>
    </w:p>
    <w:p ns2:paraId="6D9BA9C6" ns2:textId="77777777" w:rsidR="00F546BE" w:rsidRPr="00D86217" w:rsidRDefault="00000000">
      <w:pPr>
        <w:spacing w:line="360" w:lineRule="auto"/>
        <w:jc w:val="center"/>
        <w:rPr>
          <w:rFonts w:ascii="Songti TC" w:eastAsia="Songti TC" w:hAnsi="Songti TC" w:cs="Times New Roman"/>
          <w:sz w:val="32"/>
          <w:szCs w:val="32"/>
        </w:rPr>
      </w:pPr>
      <w:r w:rsidRPr="00D86217">
        <w:rPr>
          <w:rFonts w:ascii="Songti TC" w:eastAsia="Songti TC" w:hAnsi="Songti TC"/>
          <w:sz w:val="32"/>
          <w:szCs w:val="32"/>
        </w:rPr>
        <w:t>研究主题：即时零售数智化运营优化决策</w:t>
      </w:r>
      <w:r w:rsidRPr="00D86217">
        <w:rPr>
          <w:rFonts w:ascii="Songti TC" w:eastAsia="Songti TC" w:hAnsi="Songti TC"/>
          <w:sz w:val="32"/>
          <w:szCs w:val="32"/>
        </w:rPr>
        <w:br/>
        <w:t>研究对象：前置仓场景下的 SKU 选品与库存配置联合决策</w:t>
      </w:r>
      <w:r w:rsidRPr="00D86217">
        <w:rPr>
          <w:rFonts w:ascii="Songti TC" w:eastAsia="Songti TC" w:hAnsi="Songti TC"/>
          <w:sz w:val="32"/>
          <w:szCs w:val="32"/>
        </w:rPr>
        <w:br/>
        <w:t>数据基础：sku_params.csv、daily_demand.csv、results/main_optimizer/、results/literature/</w:t>
      </w:r>
      <w:r w:rsidRPr="00D86217">
        <w:rPr>
          <w:rFonts w:ascii="Songti TC" w:eastAsia="Songti TC" w:hAnsi="Songti TC"/>
          <w:sz w:val="32"/>
          <w:szCs w:val="32"/>
        </w:rPr>
        <w:br/>
        <w:t>文稿性质：可提交论文稿（整合定稿版）</w:t>
      </w:r>
    </w:p>
    <w:p ns2:paraId="07CCF6B0"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Times New Roman"/>
          <w:sz w:val="32"/>
          <w:szCs w:val="32"/>
        </w:rPr>
        <w:br w:type="page"/>
      </w:r>
    </w:p>
    <w:p ns2:paraId="5D2064AD"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摘要</w:t>
      </w:r>
    </w:p>
    <w:p ns2:paraId="3EC3172A"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本文研究前置仓场景下的 SKU 选品与库存配置联合优化问题。在有限仓容条件下，平台不仅需要决定哪些 SKU 应进入前置仓，还需要进一步确定每个被选 SKU 的备货水平。针对该问题，本文基于真实历史需求数据构建离散联合优化模型，在统一的期望收益框架下同时考虑需求不确定性、固定上架成本、库存持有成本、缺货惩罚成本以及体积与重量双资源约束。在求解方面，本文实现并比较了三类方法：SKU 级贪心启发式、拉格朗日松弛动态规划（DP-Lagrangian）以及基于 OR-Tools 的 CP-SAT 离散整数规划。同时，为构造具有解释性的外部对照方法，本文纳入仓库中已实现的文献启发式 baseline：hybrid_v2，并在统一数据、统一约束与统一滚动评估协议下完成 benchmark。本文将 hybrid_v2 的容量核算与主方法完全对齐：当 q&gt;0 时，统一计入固定槽位成本（体积 2.0、重量 0.5），并同步修正 add/swap 过程中的边际容量判断。本文所有结果均以统一容量口径下的 summary 与 benchmark 输出为准。</w:t>
      </w:r>
    </w:p>
    <w:p ns2:paraId="5D5C89B0"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实验分为两个层次。第一层为聚合需求层面的滚动评估：基于 500 个 SKU、365 天日需求数据，按周聚合形成 53 个周样本，采用 8 周训练 + 1 周测试的滚动窗口设计，共形成 45 个评估窗口，并设置 baseline、high volatility 与 large scale 三类场景。结果表明，DP-Lagrangian 在三类场景中的平均 line fill rate 均为最高，分别达到 0.2042、0.2033 和 0.0905。第二层为更严格的 benchmark：在 baseline 场景下，仅保留主方法与 hybrid_v2 共同存在的 43 个窗口，并基于 scanner_data.csv 中真实订单篮进行 replay，分别报告整单履约与部分履约。在统一容量口径下，hybrid_v2 的聚合 LFR 约为 0.285；在 basket-level benchmark 中，hybrid_v2 仍然领先于主方法组，但领先幅度相对有限。这说明统一容量口径会影响 proxy 层结论强弱，但不会改变“订单级 benchmark 仍然有必要”的核心判断。</w:t>
      </w:r>
    </w:p>
    <w:p ns2:paraId="421B0033"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 xml:space="preserve">研究表明，将“是否上架某 SKU”与“各 SKU 备货深度”统一纳入一个双资源约束下的离散优化框架，能够较好刻画前置仓实际运营中的联合决策逻辑；但同时，若仅依据 SKU 级聚合 fill rate </w:t>
      </w:r>
      <w:r w:rsidRPr="00D86217">
        <w:rPr>
          <w:rFonts w:ascii="Songti TC" w:eastAsia="Songti TC" w:hAnsi="Songti TC"/>
          <w:sz w:val="32"/>
          <w:szCs w:val="32"/>
          <w:lang w:eastAsia="zh-CN"/>
        </w:rPr>
        <w:lastRenderedPageBreak/>
        <w:t>评价算法，也可能高估其真实订单履约能力。共同窗口下的 benchmark 进一步表明，聚合代理指标与订单级篮子指标之间存在系统性缺口，因而前置仓优化研究应同时报告 proxy performance 与 basket-level performance。</w:t>
      </w:r>
    </w:p>
    <w:p ns2:paraId="20E38783"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关键词：前置仓；SKU 选品；库存配置；联合优化；拉格朗日松弛；CP-SAT；benchmark；订单篮子回放</w:t>
      </w:r>
    </w:p>
    <w:p ns2:paraId="57305C2C"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1 引言</w:t>
      </w:r>
    </w:p>
    <w:p ns2:paraId="754CEE74"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即时零售尤其是前置仓模式，对履约速度和库存效率提出了更高要求。前置仓通常面积有限、</w:t>
      </w:r>
      <w:r w:rsidRPr="00D86217">
        <w:rPr>
          <w:rFonts w:ascii="Songti TC" w:eastAsia="Songti TC" w:hAnsi="Songti TC" w:cs="Times New Roman"/>
          <w:sz w:val="32"/>
          <w:szCs w:val="32"/>
          <w:lang w:eastAsia="zh-CN"/>
        </w:rPr>
        <w:t xml:space="preserve">SKU </w:t>
      </w:r>
      <w:r w:rsidRPr="00D86217">
        <w:rPr>
          <w:rFonts w:ascii="Songti TC" w:eastAsia="Songti TC" w:hAnsi="Songti TC" w:cs="Heiti TC" w:hint="eastAsia"/>
          <w:sz w:val="32"/>
          <w:szCs w:val="32"/>
          <w:lang w:eastAsia="zh-CN"/>
        </w:rPr>
        <w:t>数量受限，但又承担</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分钟级到家</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服务目标，因此运营者必须在有限仓容下尽可能提升订单满足能力。现实中，这一决策并不只是传统的补货问题，而是一个由</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选品与库存深度共同构成的联合优化问题：一方面，并非所有商品都值得进入前置仓；另一方面，即便某一</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被选入，也需要在有限体积和重量约束下确定其最优备货量。</w:t>
      </w:r>
    </w:p>
    <w:p ns2:paraId="2364DC9E"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lastRenderedPageBreak/>
        <w:t>现有零售运营研究中，关于</w:t>
      </w:r>
      <w:r w:rsidRPr="00D86217">
        <w:rPr>
          <w:rFonts w:ascii="Songti TC" w:eastAsia="Songti TC" w:hAnsi="Songti TC" w:cs="Times New Roman"/>
          <w:sz w:val="32"/>
          <w:szCs w:val="32"/>
        </w:rPr>
        <w:t xml:space="preserve"> assortment optimization</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 xml:space="preserve">shelf-space allocation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inventory planning </w:t>
      </w:r>
      <w:r w:rsidRPr="00D86217">
        <w:rPr>
          <w:rFonts w:ascii="Songti TC" w:eastAsia="Songti TC" w:hAnsi="Songti TC" w:cs="Heiti TC" w:hint="eastAsia"/>
          <w:sz w:val="32"/>
          <w:szCs w:val="32"/>
        </w:rPr>
        <w:t>的文献已经较为丰富，但不少研究要么聚焦</w:t>
      </w:r>
      <w:r w:rsidRPr="00D86217">
        <w:rPr>
          <w:rFonts w:ascii="Songti TC" w:eastAsia="Songti TC" w:hAnsi="Songti TC" w:cs="Times New Roman"/>
          <w:sz w:val="32"/>
          <w:szCs w:val="32"/>
        </w:rPr>
        <w:t>“</w:t>
      </w:r>
      <w:r w:rsidRPr="00D86217">
        <w:rPr>
          <w:rFonts w:ascii="Songti TC" w:eastAsia="Songti TC" w:hAnsi="Songti TC" w:cs="Heiti TC" w:hint="eastAsia"/>
          <w:sz w:val="32"/>
          <w:szCs w:val="32"/>
        </w:rPr>
        <w:t>放哪些商品</w:t>
      </w:r>
      <w:r w:rsidRPr="00D86217">
        <w:rPr>
          <w:rFonts w:ascii="Songti TC" w:eastAsia="Songti TC" w:hAnsi="Songti TC" w:cs="Times New Roman"/>
          <w:sz w:val="32"/>
          <w:szCs w:val="32"/>
        </w:rPr>
        <w:t>”</w:t>
      </w:r>
      <w:r w:rsidRPr="00D86217">
        <w:rPr>
          <w:rFonts w:ascii="Songti TC" w:eastAsia="Songti TC" w:hAnsi="Songti TC" w:cs="Heiti TC" w:hint="eastAsia"/>
          <w:sz w:val="32"/>
          <w:szCs w:val="32"/>
        </w:rPr>
        <w:t>，要么聚焦</w:t>
      </w:r>
      <w:r w:rsidRPr="00D86217">
        <w:rPr>
          <w:rFonts w:ascii="Songti TC" w:eastAsia="Songti TC" w:hAnsi="Songti TC" w:cs="Times New Roman"/>
          <w:sz w:val="32"/>
          <w:szCs w:val="32"/>
        </w:rPr>
        <w:t>“</w:t>
      </w:r>
      <w:r w:rsidRPr="00D86217">
        <w:rPr>
          <w:rFonts w:ascii="Songti TC" w:eastAsia="Songti TC" w:hAnsi="Songti TC" w:cs="Heiti TC" w:hint="eastAsia"/>
          <w:sz w:val="32"/>
          <w:szCs w:val="32"/>
        </w:rPr>
        <w:t>给定商品后放多少</w:t>
      </w:r>
      <w:r w:rsidRPr="00D86217">
        <w:rPr>
          <w:rFonts w:ascii="Songti TC" w:eastAsia="Songti TC" w:hAnsi="Songti TC" w:cs="Times New Roman"/>
          <w:sz w:val="32"/>
          <w:szCs w:val="32"/>
        </w:rPr>
        <w:t>”</w:t>
      </w:r>
      <w:r w:rsidRPr="00D86217">
        <w:rPr>
          <w:rFonts w:ascii="Songti TC" w:eastAsia="Songti TC" w:hAnsi="Songti TC" w:cs="Heiti TC" w:hint="eastAsia"/>
          <w:sz w:val="32"/>
          <w:szCs w:val="32"/>
        </w:rPr>
        <w:t>，较少在前置仓这一高频、小仓、双资源受限的场景下，将两者统一建模。</w:t>
      </w:r>
      <w:r w:rsidRPr="00D86217">
        <w:rPr>
          <w:rFonts w:ascii="Songti TC" w:eastAsia="Songti TC" w:hAnsi="Songti TC" w:cs="Times New Roman"/>
          <w:sz w:val="32"/>
          <w:szCs w:val="32"/>
        </w:rPr>
        <w:t xml:space="preserve">Heger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Klein</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2024</w:t>
      </w:r>
      <w:r w:rsidRPr="00D86217">
        <w:rPr>
          <w:rFonts w:ascii="Songti TC" w:eastAsia="Songti TC" w:hAnsi="Songti TC" w:cs="Heiti TC" w:hint="eastAsia"/>
          <w:sz w:val="32"/>
          <w:szCs w:val="32"/>
        </w:rPr>
        <w:t>）在系统综述中指出，品类选择、顾客替代行为、容量约束和求解策略是</w:t>
      </w:r>
      <w:r w:rsidRPr="00D86217">
        <w:rPr>
          <w:rFonts w:ascii="Songti TC" w:eastAsia="Songti TC" w:hAnsi="Songti TC" w:cs="Times New Roman"/>
          <w:sz w:val="32"/>
          <w:szCs w:val="32"/>
        </w:rPr>
        <w:t xml:space="preserve"> assortment optimization </w:t>
      </w:r>
      <w:r w:rsidRPr="00D86217">
        <w:rPr>
          <w:rFonts w:ascii="Songti TC" w:eastAsia="Songti TC" w:hAnsi="Songti TC" w:cs="Heiti TC" w:hint="eastAsia"/>
          <w:sz w:val="32"/>
          <w:szCs w:val="32"/>
        </w:rPr>
        <w:t>研究的核心维度。</w:t>
      </w:r>
      <w:r w:rsidRPr="00D86217">
        <w:rPr>
          <w:rFonts w:ascii="Songti TC" w:eastAsia="Songti TC" w:hAnsi="Songti TC" w:cs="Times New Roman"/>
          <w:sz w:val="32"/>
          <w:szCs w:val="32"/>
        </w:rPr>
        <w:t xml:space="preserve">Transchel </w:t>
      </w:r>
      <w:r w:rsidRPr="00D86217">
        <w:rPr>
          <w:rFonts w:ascii="Songti TC" w:eastAsia="Songti TC" w:hAnsi="Songti TC" w:cs="Heiti TC" w:hint="eastAsia"/>
          <w:sz w:val="32"/>
          <w:szCs w:val="32"/>
        </w:rPr>
        <w:t>等（</w:t>
      </w:r>
      <w:r w:rsidRPr="00D86217">
        <w:rPr>
          <w:rFonts w:ascii="Songti TC" w:eastAsia="Songti TC" w:hAnsi="Songti TC" w:cs="Times New Roman"/>
          <w:sz w:val="32"/>
          <w:szCs w:val="32"/>
        </w:rPr>
        <w:t>2022</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Mouchtaki </w:t>
      </w:r>
      <w:r w:rsidRPr="00D86217">
        <w:rPr>
          <w:rFonts w:ascii="Songti TC" w:eastAsia="Songti TC" w:hAnsi="Songti TC" w:cs="Heiti TC" w:hint="eastAsia"/>
          <w:sz w:val="32"/>
          <w:szCs w:val="32"/>
        </w:rPr>
        <w:t>等（</w:t>
      </w:r>
      <w:r w:rsidRPr="00D86217">
        <w:rPr>
          <w:rFonts w:ascii="Songti TC" w:eastAsia="Songti TC" w:hAnsi="Songti TC" w:cs="Times New Roman"/>
          <w:sz w:val="32"/>
          <w:szCs w:val="32"/>
        </w:rPr>
        <w:t>2026</w:t>
      </w:r>
      <w:r w:rsidRPr="00D86217">
        <w:rPr>
          <w:rFonts w:ascii="Songti TC" w:eastAsia="Songti TC" w:hAnsi="Songti TC" w:cs="Heiti TC" w:hint="eastAsia"/>
          <w:sz w:val="32"/>
          <w:szCs w:val="32"/>
        </w:rPr>
        <w:t>）进一步表明，联合考虑</w:t>
      </w:r>
      <w:r w:rsidRPr="00D86217">
        <w:rPr>
          <w:rFonts w:ascii="Songti TC" w:eastAsia="Songti TC" w:hAnsi="Songti TC" w:cs="Times New Roman"/>
          <w:sz w:val="32"/>
          <w:szCs w:val="32"/>
        </w:rPr>
        <w:t xml:space="preserve"> assortment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inventory </w:t>
      </w:r>
      <w:r w:rsidRPr="00D86217">
        <w:rPr>
          <w:rFonts w:ascii="Songti TC" w:eastAsia="Songti TC" w:hAnsi="Songti TC" w:cs="Heiti TC" w:hint="eastAsia"/>
          <w:sz w:val="32"/>
          <w:szCs w:val="32"/>
        </w:rPr>
        <w:t>的问题具有更高的理论与计算复杂度，但也更贴近真实零售决策。</w:t>
      </w:r>
    </w:p>
    <w:p ns2:paraId="6F705244"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与传统货架优化相比，前置仓问题有三个更加突出的特征。第一，需求呈现明显不确定性，且不同</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的分布形态存在差异；第二，仓容并非单一容量，而同时受体积和重量双重限制；第三，</w:t>
      </w:r>
      <w:r w:rsidRPr="00D86217">
        <w:rPr>
          <w:rFonts w:ascii="Songti TC" w:eastAsia="Songti TC" w:hAnsi="Songti TC" w:cs="Times New Roman"/>
          <w:sz w:val="32"/>
          <w:szCs w:val="32"/>
          <w:lang w:eastAsia="zh-CN"/>
        </w:rPr>
        <w:t xml:space="preserve">SKU </w:t>
      </w:r>
      <w:r w:rsidRPr="00D86217">
        <w:rPr>
          <w:rFonts w:ascii="Songti TC" w:eastAsia="Songti TC" w:hAnsi="Songti TC" w:cs="Heiti TC" w:hint="eastAsia"/>
          <w:sz w:val="32"/>
          <w:szCs w:val="32"/>
          <w:lang w:eastAsia="zh-CN"/>
        </w:rPr>
        <w:t>进入前置仓往往伴随固定上架成本，因此</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是否上架</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和</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上架后放多少</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不能被割裂处理。若仅使用逐</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的经验规则或局部贪心方法，往往容易陷入局部最优，难以系统协调不同商品之间对双资源的竞争关系。</w:t>
      </w:r>
    </w:p>
    <w:p ns2:paraId="4310F5B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lastRenderedPageBreak/>
        <w:t>基于此，本文构建了一个面向前置仓场景的 SKU 选品与库存配置联合优化模型，并在统一的期望收益最大化框架下，将销售收益、库存持有成本、缺货惩罚成本、固定上架成本与双资源约束纳入同一决策系统。进一步地，本文实现了 Greedy、DP-Lagrangian 与 CP-SAT 三类求解方法，并在真实历史数据上开展滚动窗口实验。在此基础上，本文进一步借鉴相关文献中的边际收益密度思想，在统一问题定义下构造了一个 literature-inspired marginal-density baseline，以形成与联合优化框架可直接比较的外部对照方法。该基线强调局部边际改进机制，而本文方法强调 SKU 进入与库存深度的全局联合配置。</w:t>
      </w:r>
    </w:p>
    <w:p ns2:paraId="7CB010E0"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本文的主要贡献包括：第一，提出了一个适用于前置仓业务的 SKU 选品与库存配置联合优化建模框架；第二，在相同问题定义下比较了启发式、近似全局优化与精确优化三类求解路线；第三，将仓库中实现的 literature-inspired / hybrid 文献基线纳入统一 benchmark，既报告聚合需求层面的代理指标，也报告基于真实订单篮子的 replay 指标，从而明确区分“SKU 级 proxy 优化”</w:t>
      </w:r>
      <w:r w:rsidRPr="00D86217">
        <w:rPr>
          <w:rFonts w:ascii="Songti TC" w:eastAsia="Songti TC" w:hAnsi="Songti TC"/>
          <w:sz w:val="32"/>
          <w:szCs w:val="32"/>
          <w:lang w:eastAsia="zh-CN"/>
        </w:rPr>
        <w:lastRenderedPageBreak/>
        <w:t>与“订单级履约表现”的差异；第四，基于真实数据验证了不同方法在多场景下的表现差异，并揭示了 DP-Lagrangian、CP-SAT 与 hybrid_v2 在效果—效率权衡上的不同定位。</w:t>
      </w:r>
    </w:p>
    <w:p ns2:paraId="09844A94"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2 文献</w:t>
      </w:r>
      <w:r w:rsidRPr="00D86217">
        <w:rPr>
          <w:rFonts w:ascii="Songti TC" w:eastAsia="Songti TC" w:hAnsi="Songti TC" w:cs="Microsoft JhengHei" w:hint="eastAsia"/>
          <w:sz w:val="32"/>
          <w:szCs w:val="32"/>
          <w:lang w:eastAsia="zh-CN"/>
        </w:rPr>
        <w:t>综</w:t>
      </w:r>
      <w:r w:rsidRPr="00D86217">
        <w:rPr>
          <w:rFonts w:ascii="Songti TC" w:eastAsia="Songti TC" w:hAnsi="Songti TC" w:cs="Times New Roman"/>
          <w:sz w:val="32"/>
          <w:szCs w:val="32"/>
          <w:lang w:eastAsia="zh-CN"/>
        </w:rPr>
        <w:t>述与研究定位</w:t>
      </w:r>
    </w:p>
    <w:p ns2:paraId="332DC424"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2.1 品</w:t>
      </w:r>
      <w:r w:rsidRPr="00D86217">
        <w:rPr>
          <w:rFonts w:ascii="Songti TC" w:eastAsia="Songti TC" w:hAnsi="Songti TC" w:cs="Microsoft JhengHei" w:hint="eastAsia"/>
          <w:sz w:val="32"/>
          <w:szCs w:val="32"/>
          <w:lang w:eastAsia="zh-CN"/>
        </w:rPr>
        <w:t>类优</w:t>
      </w:r>
      <w:r w:rsidRPr="00D86217">
        <w:rPr>
          <w:rFonts w:ascii="Songti TC" w:eastAsia="Songti TC" w:hAnsi="Songti TC" w:cs="Times New Roman"/>
          <w:sz w:val="32"/>
          <w:szCs w:val="32"/>
          <w:lang w:eastAsia="zh-CN"/>
        </w:rPr>
        <w:t>化与</w:t>
      </w:r>
      <w:r w:rsidRPr="00D86217">
        <w:rPr>
          <w:rFonts w:ascii="Songti TC" w:eastAsia="Songti TC" w:hAnsi="Songti TC" w:cs="Microsoft JhengHei" w:hint="eastAsia"/>
          <w:sz w:val="32"/>
          <w:szCs w:val="32"/>
          <w:lang w:eastAsia="zh-CN"/>
        </w:rPr>
        <w:t>联</w:t>
      </w:r>
      <w:r w:rsidRPr="00D86217">
        <w:rPr>
          <w:rFonts w:ascii="Songti TC" w:eastAsia="Songti TC" w:hAnsi="Songti TC" w:cs="Times New Roman"/>
          <w:sz w:val="32"/>
          <w:szCs w:val="32"/>
          <w:lang w:eastAsia="zh-CN"/>
        </w:rPr>
        <w:t>合决策研究</w:t>
      </w:r>
      <w:r w:rsidRPr="00D86217">
        <w:rPr>
          <w:rFonts w:ascii="Songti TC" w:eastAsia="Songti TC" w:hAnsi="Songti TC" w:cs="Microsoft JhengHei" w:hint="eastAsia"/>
          <w:sz w:val="32"/>
          <w:szCs w:val="32"/>
          <w:lang w:eastAsia="zh-CN"/>
        </w:rPr>
        <w:t>进</w:t>
      </w:r>
      <w:r w:rsidRPr="00D86217">
        <w:rPr>
          <w:rFonts w:ascii="Songti TC" w:eastAsia="Songti TC" w:hAnsi="Songti TC" w:cs="Times New Roman"/>
          <w:sz w:val="32"/>
          <w:szCs w:val="32"/>
          <w:lang w:eastAsia="zh-CN"/>
        </w:rPr>
        <w:t>展</w:t>
      </w:r>
    </w:p>
    <w:p ns2:paraId="7DCA71A4"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assortment optimization 一直是零售运营管理中的核心问题。Heger 与 Klein（2024）对相关研究进行了系统梳理，指出该领域已从静态品类选择问题，逐步扩展到考虑顾客选择模型、容量约束、动态更新与多渠道协同的复杂决策问题。</w:t>
      </w:r>
    </w:p>
    <w:p ns2:paraId="5A76953D"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在联合决策方向，</w:t>
      </w:r>
      <w:r w:rsidRPr="00D86217">
        <w:rPr>
          <w:rFonts w:ascii="Songti TC" w:eastAsia="Songti TC" w:hAnsi="Songti TC" w:cs="Times New Roman"/>
          <w:sz w:val="32"/>
          <w:szCs w:val="32"/>
        </w:rPr>
        <w:t>Transchel</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 xml:space="preserve">Buisman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Haijema</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2022</w:t>
      </w:r>
      <w:r w:rsidRPr="00D86217">
        <w:rPr>
          <w:rFonts w:ascii="Songti TC" w:eastAsia="Songti TC" w:hAnsi="Songti TC" w:cs="Heiti TC" w:hint="eastAsia"/>
          <w:sz w:val="32"/>
          <w:szCs w:val="32"/>
        </w:rPr>
        <w:t>）研究了带有顾客替代的</w:t>
      </w:r>
      <w:r w:rsidRPr="00D86217">
        <w:rPr>
          <w:rFonts w:ascii="Songti TC" w:eastAsia="Songti TC" w:hAnsi="Songti TC" w:cs="Times New Roman"/>
          <w:sz w:val="32"/>
          <w:szCs w:val="32"/>
        </w:rPr>
        <w:t xml:space="preserve"> vertical differentiation </w:t>
      </w:r>
      <w:r w:rsidRPr="00D86217">
        <w:rPr>
          <w:rFonts w:ascii="Songti TC" w:eastAsia="Songti TC" w:hAnsi="Songti TC" w:cs="Heiti TC" w:hint="eastAsia"/>
          <w:sz w:val="32"/>
          <w:szCs w:val="32"/>
        </w:rPr>
        <w:t>场景下的</w:t>
      </w:r>
      <w:r w:rsidRPr="00D86217">
        <w:rPr>
          <w:rFonts w:ascii="Songti TC" w:eastAsia="Songti TC" w:hAnsi="Songti TC" w:cs="Times New Roman"/>
          <w:sz w:val="32"/>
          <w:szCs w:val="32"/>
        </w:rPr>
        <w:t xml:space="preserve"> joint assortment and inventory optimization</w:t>
      </w:r>
      <w:r w:rsidRPr="00D86217">
        <w:rPr>
          <w:rFonts w:ascii="Songti TC" w:eastAsia="Songti TC" w:hAnsi="Songti TC" w:cs="Heiti TC" w:hint="eastAsia"/>
          <w:sz w:val="32"/>
          <w:szCs w:val="32"/>
        </w:rPr>
        <w:t>，说明只优化</w:t>
      </w:r>
      <w:r w:rsidRPr="00D86217">
        <w:rPr>
          <w:rFonts w:ascii="Songti TC" w:eastAsia="Songti TC" w:hAnsi="Songti TC" w:cs="Times New Roman"/>
          <w:sz w:val="32"/>
          <w:szCs w:val="32"/>
        </w:rPr>
        <w:t xml:space="preserve"> assortment </w:t>
      </w:r>
      <w:r w:rsidRPr="00D86217">
        <w:rPr>
          <w:rFonts w:ascii="Songti TC" w:eastAsia="Songti TC" w:hAnsi="Songti TC" w:cs="Heiti TC" w:hint="eastAsia"/>
          <w:sz w:val="32"/>
          <w:szCs w:val="32"/>
        </w:rPr>
        <w:t>而忽略库存深度，可能会带来结构性偏差。</w:t>
      </w:r>
      <w:r w:rsidRPr="00D86217">
        <w:rPr>
          <w:rFonts w:ascii="Songti TC" w:eastAsia="Songti TC" w:hAnsi="Songti TC" w:cs="Times New Roman"/>
          <w:sz w:val="32"/>
          <w:szCs w:val="32"/>
        </w:rPr>
        <w:t xml:space="preserve">Hense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Hübner</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2022</w:t>
      </w:r>
      <w:r w:rsidRPr="00D86217">
        <w:rPr>
          <w:rFonts w:ascii="Songti TC" w:eastAsia="Songti TC" w:hAnsi="Songti TC" w:cs="Heiti TC" w:hint="eastAsia"/>
          <w:sz w:val="32"/>
          <w:szCs w:val="32"/>
        </w:rPr>
        <w:t>）则在</w:t>
      </w:r>
      <w:r w:rsidRPr="00D86217">
        <w:rPr>
          <w:rFonts w:ascii="Songti TC" w:eastAsia="Songti TC" w:hAnsi="Songti TC" w:cs="Times New Roman"/>
          <w:sz w:val="32"/>
          <w:szCs w:val="32"/>
        </w:rPr>
        <w:t xml:space="preserve"> omni-channel </w:t>
      </w:r>
      <w:r w:rsidRPr="00D86217">
        <w:rPr>
          <w:rFonts w:ascii="Songti TC" w:eastAsia="Songti TC" w:hAnsi="Songti TC" w:cs="Heiti TC" w:hint="eastAsia"/>
          <w:sz w:val="32"/>
          <w:szCs w:val="32"/>
        </w:rPr>
        <w:t>语境下进一步强调，商品选择、空间分配和库存水平之间存在显著耦合关系。</w:t>
      </w:r>
    </w:p>
    <w:p ns2:paraId="12483E53"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lastRenderedPageBreak/>
        <w:t>在更一般的容量约束</w:t>
      </w:r>
      <w:r w:rsidRPr="00D86217">
        <w:rPr>
          <w:rFonts w:ascii="Songti TC" w:eastAsia="Songti TC" w:hAnsi="Songti TC" w:cs="Times New Roman"/>
          <w:sz w:val="32"/>
          <w:szCs w:val="32"/>
        </w:rPr>
        <w:t xml:space="preserve"> assortment </w:t>
      </w:r>
      <w:r w:rsidRPr="00D86217">
        <w:rPr>
          <w:rFonts w:ascii="Songti TC" w:eastAsia="Songti TC" w:hAnsi="Songti TC" w:cs="Heiti TC" w:hint="eastAsia"/>
          <w:sz w:val="32"/>
          <w:szCs w:val="32"/>
        </w:rPr>
        <w:t>模型方面，</w:t>
      </w:r>
      <w:r w:rsidRPr="00D86217">
        <w:rPr>
          <w:rFonts w:ascii="Songti TC" w:eastAsia="Songti TC" w:hAnsi="Songti TC" w:cs="Times New Roman"/>
          <w:sz w:val="32"/>
          <w:szCs w:val="32"/>
        </w:rPr>
        <w:t>Aouad</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 xml:space="preserve">Levi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Segev</w:t>
      </w:r>
      <w:r w:rsidRPr="00D86217">
        <w:rPr>
          <w:rFonts w:ascii="Songti TC" w:eastAsia="Songti TC" w:hAnsi="Songti TC" w:cs="Heiti TC" w:hint="eastAsia"/>
          <w:sz w:val="32"/>
          <w:szCs w:val="32"/>
        </w:rPr>
        <w:t>（</w:t>
      </w:r>
      <w:r w:rsidRPr="00D86217">
        <w:rPr>
          <w:rFonts w:ascii="Songti TC" w:eastAsia="Songti TC" w:hAnsi="Songti TC" w:cs="Times New Roman"/>
          <w:sz w:val="32"/>
          <w:szCs w:val="32"/>
        </w:rPr>
        <w:t>2019</w:t>
      </w:r>
      <w:r w:rsidRPr="00D86217">
        <w:rPr>
          <w:rFonts w:ascii="Songti TC" w:eastAsia="Songti TC" w:hAnsi="Songti TC" w:cs="Heiti TC" w:hint="eastAsia"/>
          <w:sz w:val="32"/>
          <w:szCs w:val="32"/>
        </w:rPr>
        <w:t>）从算法角度讨论了</w:t>
      </w:r>
      <w:r w:rsidRPr="00D86217">
        <w:rPr>
          <w:rFonts w:ascii="Songti TC" w:eastAsia="Songti TC" w:hAnsi="Songti TC" w:cs="Times New Roman"/>
          <w:sz w:val="32"/>
          <w:szCs w:val="32"/>
        </w:rPr>
        <w:t xml:space="preserve"> dynamic assortment optimization </w:t>
      </w:r>
      <w:r w:rsidRPr="00D86217">
        <w:rPr>
          <w:rFonts w:ascii="Songti TC" w:eastAsia="Songti TC" w:hAnsi="Songti TC" w:cs="Heiti TC" w:hint="eastAsia"/>
          <w:sz w:val="32"/>
          <w:szCs w:val="32"/>
        </w:rPr>
        <w:t>的计算复杂性与近似求解问题；</w:t>
      </w:r>
      <w:r w:rsidRPr="00D86217">
        <w:rPr>
          <w:rFonts w:ascii="Songti TC" w:eastAsia="Songti TC" w:hAnsi="Songti TC" w:cs="Times New Roman"/>
          <w:sz w:val="32"/>
          <w:szCs w:val="32"/>
        </w:rPr>
        <w:t xml:space="preserve">Désir </w:t>
      </w:r>
      <w:r w:rsidRPr="00D86217">
        <w:rPr>
          <w:rFonts w:ascii="Songti TC" w:eastAsia="Songti TC" w:hAnsi="Songti TC" w:cs="Heiti TC" w:hint="eastAsia"/>
          <w:sz w:val="32"/>
          <w:szCs w:val="32"/>
        </w:rPr>
        <w:t>等（</w:t>
      </w:r>
      <w:r w:rsidRPr="00D86217">
        <w:rPr>
          <w:rFonts w:ascii="Songti TC" w:eastAsia="Songti TC" w:hAnsi="Songti TC" w:cs="Times New Roman"/>
          <w:sz w:val="32"/>
          <w:szCs w:val="32"/>
        </w:rPr>
        <w:t>2022</w:t>
      </w:r>
      <w:r w:rsidRPr="00D86217">
        <w:rPr>
          <w:rFonts w:ascii="Songti TC" w:eastAsia="Songti TC" w:hAnsi="Songti TC" w:cs="Heiti TC" w:hint="eastAsia"/>
          <w:sz w:val="32"/>
          <w:szCs w:val="32"/>
        </w:rPr>
        <w:t>）的技术说明表明，在容量约束下，结构化算法设计对于大规模问题至关重要。</w:t>
      </w:r>
      <w:r w:rsidRPr="00D86217">
        <w:rPr>
          <w:rFonts w:ascii="Songti TC" w:eastAsia="Songti TC" w:hAnsi="Songti TC" w:cs="Times New Roman"/>
          <w:sz w:val="32"/>
          <w:szCs w:val="32"/>
        </w:rPr>
        <w:t xml:space="preserve">Flamand </w:t>
      </w:r>
      <w:r w:rsidRPr="00D86217">
        <w:rPr>
          <w:rFonts w:ascii="Songti TC" w:eastAsia="Songti TC" w:hAnsi="Songti TC" w:cs="Heiti TC" w:hint="eastAsia"/>
          <w:sz w:val="32"/>
          <w:szCs w:val="32"/>
        </w:rPr>
        <w:t>等（</w:t>
      </w:r>
      <w:r w:rsidRPr="00D86217">
        <w:rPr>
          <w:rFonts w:ascii="Songti TC" w:eastAsia="Songti TC" w:hAnsi="Songti TC" w:cs="Times New Roman"/>
          <w:sz w:val="32"/>
          <w:szCs w:val="32"/>
        </w:rPr>
        <w:t>2018</w:t>
      </w:r>
      <w:r w:rsidRPr="00D86217">
        <w:rPr>
          <w:rFonts w:ascii="Songti TC" w:eastAsia="Songti TC" w:hAnsi="Songti TC" w:cs="Heiti TC" w:hint="eastAsia"/>
          <w:sz w:val="32"/>
          <w:szCs w:val="32"/>
        </w:rPr>
        <w:t>）将</w:t>
      </w:r>
      <w:r w:rsidRPr="00D86217">
        <w:rPr>
          <w:rFonts w:ascii="Songti TC" w:eastAsia="Songti TC" w:hAnsi="Songti TC" w:cs="Times New Roman"/>
          <w:sz w:val="32"/>
          <w:szCs w:val="32"/>
        </w:rPr>
        <w:t xml:space="preserve"> assortment planning </w:t>
      </w:r>
      <w:r w:rsidRPr="00D86217">
        <w:rPr>
          <w:rFonts w:ascii="Songti TC" w:eastAsia="Songti TC" w:hAnsi="Songti TC" w:cs="Heiti TC" w:hint="eastAsia"/>
          <w:sz w:val="32"/>
          <w:szCs w:val="32"/>
        </w:rPr>
        <w:t>与</w:t>
      </w:r>
      <w:r w:rsidRPr="00D86217">
        <w:rPr>
          <w:rFonts w:ascii="Songti TC" w:eastAsia="Songti TC" w:hAnsi="Songti TC" w:cs="Times New Roman"/>
          <w:sz w:val="32"/>
          <w:szCs w:val="32"/>
        </w:rPr>
        <w:t xml:space="preserve"> shelf-space allocation </w:t>
      </w:r>
      <w:r w:rsidRPr="00D86217">
        <w:rPr>
          <w:rFonts w:ascii="Songti TC" w:eastAsia="Songti TC" w:hAnsi="Songti TC" w:cs="Heiti TC" w:hint="eastAsia"/>
          <w:sz w:val="32"/>
          <w:szCs w:val="32"/>
        </w:rPr>
        <w:t>一体化，进一步说明空间与商品组合决策不能被机械拆分。</w:t>
      </w:r>
    </w:p>
    <w:p ns2:paraId="788B9E9C" ns2:textId="77777777" w:rsidR="00F546BE" w:rsidRPr="00D86217" w:rsidRDefault="00000000">
      <w:pPr>
        <w:pStyle w:val="Heading2"/>
        <w:rPr>
          <w:rFonts w:ascii="Songti TC" w:eastAsia="Songti TC" w:hAnsi="Songti TC" w:cs="Times New Roman"/>
          <w:sz w:val="32"/>
          <w:szCs w:val="32"/>
        </w:rPr>
      </w:pPr>
      <w:r w:rsidRPr="00D86217">
        <w:rPr>
          <w:rFonts w:ascii="Songti TC" w:eastAsia="Songti TC" w:hAnsi="Songti TC" w:cs="Times New Roman"/>
          <w:sz w:val="32"/>
          <w:szCs w:val="32"/>
        </w:rPr>
        <w:t>2.2 本文与既有研究的差异</w:t>
      </w:r>
    </w:p>
    <w:p ns2:paraId="1F50CA2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rPr>
        <w:t>尽管既有研究为 assortment-inventory 联合决策提供了丰富基础，但本文所研究的前置仓场景与传统门店、普通仓库或电商长尾陈列问题存在明显差异。</w:t>
      </w:r>
      <w:r w:rsidRPr="00D86217">
        <w:rPr>
          <w:rFonts w:ascii="Songti TC" w:eastAsia="Songti TC" w:hAnsi="Songti TC" w:cs="Heiti TC" w:hint="eastAsia"/>
          <w:sz w:val="32"/>
          <w:szCs w:val="32"/>
          <w:lang w:eastAsia="zh-CN"/>
        </w:rPr>
        <w:t>其一，前置仓需要同时面对高频小单与严格时效，因此服务水平指标比利润绝对值更能体现运营绩效；其二，前置仓通常仓容紧、SKU 密度高，体积和重量限制并行存在；其三，部分 SKU 的需求波动明显，适合采用泊松与负二项混合的方式进行需求刻画。</w:t>
      </w:r>
    </w:p>
    <w:p ns2:paraId="7968CB6E"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lastRenderedPageBreak/>
        <w:t>从研究定位上看，本文既不是单纯的 assortment planning，也不是传统多品类补货问题，而是一个“SKU 是否进入 + 进入后备多少”的一体化离散优化问题。需要强调的是，本文的研究对象、需求建模方式与容量约束结构均不同于相关文献中的原始设定，因此本文并未直接复现其原模型，而是将其代表性的决策思想转化为适用于前置仓场景的可比基线。具体而言，Transchel 等（2022）为本文提供了联合考虑 assortment 与 inventory 的研究视角，而相关边际索引/边际密度型文献则为本文构造可解释的外部 benchmark 提供了算法启发。这样的处理使得本文的比较重点回到统一问题设定下的决策机制差异，而不是不同任务、不同数据结构之间的直接拼接比较。</w:t>
      </w:r>
    </w:p>
    <w:p ns2:paraId="445125CF"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2.3 研究</w:t>
      </w:r>
      <w:r w:rsidRPr="00D86217">
        <w:rPr>
          <w:rFonts w:ascii="Songti TC" w:eastAsia="Songti TC" w:hAnsi="Songti TC" w:cs="Microsoft JhengHei" w:hint="eastAsia"/>
          <w:sz w:val="32"/>
          <w:szCs w:val="32"/>
          <w:lang w:eastAsia="zh-CN"/>
        </w:rPr>
        <w:t>问题</w:t>
      </w:r>
      <w:r w:rsidRPr="00D86217">
        <w:rPr>
          <w:rFonts w:ascii="Songti TC" w:eastAsia="Songti TC" w:hAnsi="Songti TC" w:cs="Times New Roman"/>
          <w:sz w:val="32"/>
          <w:szCs w:val="32"/>
          <w:lang w:eastAsia="zh-CN"/>
        </w:rPr>
        <w:t>与研究假</w:t>
      </w:r>
      <w:r w:rsidRPr="00D86217">
        <w:rPr>
          <w:rFonts w:ascii="Songti TC" w:eastAsia="Songti TC" w:hAnsi="Songti TC" w:cs="Microsoft JhengHei" w:hint="eastAsia"/>
          <w:sz w:val="32"/>
          <w:szCs w:val="32"/>
          <w:lang w:eastAsia="zh-CN"/>
        </w:rPr>
        <w:t>设</w:t>
      </w:r>
    </w:p>
    <w:p ns2:paraId="782450C9"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围绕上述背景，本文关注三个研究问题：RQ1：在前置仓双资源约束下，将 SKU 选品与库存配置联合建模，是否优于局部启发式方法？RQ2：在统一约束与统一滚动窗口下，将仓库中的文献启发式 baseline（hybrid_v2）纳入 benchmark 后，主方法与</w:t>
      </w:r>
      <w:r w:rsidRPr="00D86217">
        <w:rPr>
          <w:rFonts w:ascii="Songti TC" w:eastAsia="Songti TC" w:hAnsi="Songti TC"/>
          <w:sz w:val="32"/>
          <w:szCs w:val="32"/>
          <w:lang w:eastAsia="zh-CN"/>
        </w:rPr>
        <w:lastRenderedPageBreak/>
        <w:t>文献基线在聚合代理指标和订单级回放指标上的排序是否一致？RQ3：当评价口径从 SKU 级 fill rate 转向整单 / 部分履约时，是否会暴露出 proxy 指标与真实订单满足能力之间的系统差异？</w:t>
      </w:r>
    </w:p>
    <w:p ns2:paraId="243C2003"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结合模型机制，本文提出如下经验性判断：H1：在聚合需求层面的滚动评估中，联合优化方法优于简单 Greedy；H2：文献启发式 hybrid_v2 将构成一个强 benchmark，并可能在订单级履约指标上优于仅依据 SKU 级代理目标优化得到的方案；H3：聚合代理指标与订单级篮子指标之间存在显著差异，因此仅使用单一 proxy 进行模型评价并不充分。</w:t>
      </w:r>
    </w:p>
    <w:p ns2:paraId="31A4E9A2"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 研究方法与模型构建</w:t>
      </w:r>
    </w:p>
    <w:p ns2:paraId="1EA3BDD3"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 xml:space="preserve">3.1 </w:t>
      </w:r>
      <w:r w:rsidRPr="00D86217">
        <w:rPr>
          <w:rFonts w:ascii="Songti TC" w:eastAsia="Songti TC" w:hAnsi="Songti TC" w:cs="Microsoft JhengHei" w:hint="eastAsia"/>
          <w:sz w:val="32"/>
          <w:szCs w:val="32"/>
          <w:lang w:eastAsia="zh-CN"/>
        </w:rPr>
        <w:t>问题</w:t>
      </w:r>
      <w:r w:rsidRPr="00D86217">
        <w:rPr>
          <w:rFonts w:ascii="Songti TC" w:eastAsia="Songti TC" w:hAnsi="Songti TC" w:cs="Times New Roman"/>
          <w:sz w:val="32"/>
          <w:szCs w:val="32"/>
          <w:lang w:eastAsia="zh-CN"/>
        </w:rPr>
        <w:t>描述与决策</w:t>
      </w:r>
      <w:r w:rsidRPr="00D86217">
        <w:rPr>
          <w:rFonts w:ascii="Songti TC" w:eastAsia="Songti TC" w:hAnsi="Songti TC" w:cs="Microsoft JhengHei" w:hint="eastAsia"/>
          <w:sz w:val="32"/>
          <w:szCs w:val="32"/>
          <w:lang w:eastAsia="zh-CN"/>
        </w:rPr>
        <w:t>变</w:t>
      </w:r>
      <w:r w:rsidRPr="00D86217">
        <w:rPr>
          <w:rFonts w:ascii="Songti TC" w:eastAsia="Songti TC" w:hAnsi="Songti TC" w:cs="Times New Roman"/>
          <w:sz w:val="32"/>
          <w:szCs w:val="32"/>
          <w:lang w:eastAsia="zh-CN"/>
        </w:rPr>
        <w:t>量</w:t>
      </w:r>
    </w:p>
    <w:p ns2:paraId="0AB6168E"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本文研究前置仓场景下的</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选品与库存配置联合优化问题。在有限仓容条件下，平台需要决定哪些</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应纳入前置仓，以及各被选</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的备货水平，从而在需求不确定环境下提高履约表现，并兼顾库存持有与缺货惩罚等成本因素。</w:t>
      </w:r>
    </w:p>
    <w:p ns2:paraId="068C0355"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设候选 SKU 集合为 i = 1, 2, ..., N。对于每个 SKU，允许从有限个离散库存水平中选择一个决策，其中 q = 0 表示该 SKU 不上架，q &gt; 0 表示该 SKU 被上架且库存水平为 q。为便于构建统一的离散优化模型，引入二进制决策变量，并要求每个 SKU 只能在所有离散库存水平中选择一个状态：</w:t>
      </w:r>
    </w:p>
    <w:p ns2:paraId="44687AC4"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0</ns3:t>
          </ns3:r>
          <ns3:r>
            <ns3:rPr>
              <ns3:sty ns3:val="p"/>
            </ns3:rPr>
            <w:rPr>
              <w:rFonts w:ascii="Cambria Math" w:eastAsia="Songti TC" w:hAnsi="Cambria Math"/>
              <w:sz w:val="32"/>
              <w:szCs w:val="32"/>
            </w:rPr>
            <ns3:t>,</ns3:t>
          </ns3:r>
          <ns3:r>
            <w:rPr>
              <w:rFonts w:ascii="Cambria Math" w:eastAsia="Songti TC" w:hAnsi="Cambria Math"/>
              <w:sz w:val="32"/>
              <w:szCs w:val="32"/>
            </w:rPr>
            <ns3:t>1</ns3:t>
          </ns3:r>
          <ns3:r>
            <ns3:rPr>
              <ns3:sty ns3:val="p"/>
            </ns3:rPr>
            <w:rPr>
              <w:rFonts w:ascii="Cambria Math" w:eastAsia="Songti TC" w:hAnsi="Cambria Math"/>
              <w:sz w:val="32"/>
              <w:szCs w:val="32"/>
            </w:rPr>
            <ns3:t>}</ns3:t>
          </ns3:r>
        </ns3:oMath>
      </ns3:oMathPara>
    </w:p>
    <w:p ns2:paraId="773A9574"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ctrlPr>
                <w:rPr>
                  <w:rFonts w:ascii="Cambria Math" w:eastAsia="Songti TC" w:hAnsi="Cambria Math"/>
                  <w:sz w:val="32"/>
                  <w:szCs w:val="32"/>
                </w:rPr>
              </ns3:ctrlPr>
            </ns3:naryPr>
            <ns3:sub>
              <ns3:r>
                <w:rPr>
                  <w:rFonts w:ascii="Cambria Math" w:eastAsia="Songti TC" w:hAnsi="Cambria Math"/>
                  <w:sz w:val="32"/>
                  <w:szCs w:val="32"/>
                </w:rPr>
                <ns3:t>q</ns3:t>
              </ns3:r>
              <ns3:r>
                <ns3:rPr>
                  <ns3:sty ns3:val="p"/>
                </ns3:rPr>
                <w:rPr>
                  <w:rFonts w:ascii="Cambria Math" w:eastAsia="Songti TC" w:hAnsi="Cambria Math"/>
                  <w:sz w:val="32"/>
                  <w:szCs w:val="32"/>
                </w:rPr>
                <ns3:t>=</ns3:t>
              </ns3:r>
              <ns3:r>
                <w:rPr>
                  <w:rFonts w:ascii="Cambria Math" w:eastAsia="Songti TC" w:hAnsi="Cambria Math"/>
                  <w:sz w:val="32"/>
                  <w:szCs w:val="32"/>
                </w:rPr>
                <ns3:t>0</ns3:t>
              </ns3:r>
            </ns3:sub>
            <ns3:sup>
              <ns3:sSub>
                <ns3:sSubPr>
                  <ns3:ctrlPr>
                    <w:rPr>
                      <w:rFonts w:ascii="Cambria Math" w:eastAsia="Songti TC" w:hAnsi="Cambria Math"/>
                      <w:sz w:val="32"/>
                      <w:szCs w:val="32"/>
                    </w:rPr>
                  </ns3:ctrlPr>
                </ns3:sSubPr>
                <ns3:e>
                  <ns3:r>
                    <w:rPr>
                      <w:rFonts w:ascii="Cambria Math" w:eastAsia="Songti TC" w:hAnsi="Cambria Math"/>
                      <w:sz w:val="32"/>
                      <w:szCs w:val="32"/>
                    </w:rPr>
                    <ns3:t>Q</ns3:t>
                  </ns3:r>
                </ns3:e>
                <ns3:sub>
                  <ns3:r>
                    <ns3:rPr>
                      <ns3:sty ns3:val="p"/>
                    </ns3:rPr>
                    <w:rPr>
                      <w:rFonts w:ascii="Cambria Math" w:eastAsia="Songti TC" w:hAnsi="Cambria Math"/>
                      <w:sz w:val="32"/>
                      <w:szCs w:val="32"/>
                    </w:rPr>
                    <ns3:t>max</ns3:t>
                  </ns3:r>
                </ns3:sub>
              </ns3:sSub>
            </ns3:sup>
            <ns3:e>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e>
          </ns3:nary>
          <ns3:r>
            <ns3:rPr>
              <ns3:sty ns3:val="p"/>
            </ns3:rPr>
            <w:rPr>
              <w:rFonts w:ascii="Cambria Math" w:eastAsia="Songti TC" w:hAnsi="Cambria Math"/>
              <w:sz w:val="32"/>
              <w:szCs w:val="32"/>
            </w:rPr>
            <ns3:t>=</ns3:t>
          </ns3:r>
          <ns3:r>
            <w:rPr>
              <w:rFonts w:ascii="Cambria Math" w:eastAsia="Songti TC" w:hAnsi="Cambria Math"/>
              <w:sz w:val="32"/>
              <w:szCs w:val="32"/>
            </w:rPr>
            <ns3:t>1</ns3:t>
          </ns3:r>
          <ns3:r>
            <ns3:rPr>
              <ns3:sty ns3:val="p"/>
            </ns3:rPr>
            <w:rPr>
              <w:rFonts w:ascii="Cambria Math" w:eastAsia="Songti TC" w:hAnsi="Cambria Math"/>
              <w:sz w:val="32"/>
              <w:szCs w:val="32"/>
            </w:rPr>
            <ns3:t>,</ns3:t>
          </ns3:r>
          <ns3:r>
            <w:rPr>
              <w:rFonts w:ascii="Cambria Math" w:eastAsia="Songti TC" w:hAnsi="Cambria Math"/>
              <w:sz w:val="32"/>
              <w:szCs w:val="32"/>
            </w:rPr>
            <ns3:t> </ns3:t>
          </ns3:r>
          <ns3:r>
            <ns3:rPr>
              <ns3:sty ns3:val="p"/>
            </ns3:rPr>
            <w:rPr>
              <w:rFonts w:ascii="Cambria Math" w:eastAsia="Songti TC" w:hAnsi="Cambria Math"/>
              <w:sz w:val="32"/>
              <w:szCs w:val="32"/>
            </w:rPr>
            <ns3:t>∀</ns3:t>
          </ns3:r>
          <ns3:r>
            <w:rPr>
              <w:rFonts w:ascii="Cambria Math" w:eastAsia="Songti TC" w:hAnsi="Cambria Math"/>
              <w:sz w:val="32"/>
              <w:szCs w:val="32"/>
            </w:rPr>
            <ns3:t>i</ns3:t>
          </ns3:r>
        </ns3:oMath>
      </ns3:oMathPara>
    </w:p>
    <w:p ns2:paraId="1D8484B2"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3.2 随机需求建模</w:t>
      </w:r>
    </w:p>
    <w:p ns2:paraId="7FE35662" ns2:textId="3A702890"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考虑需求不确定性，设</w:t>
      </w:r>
      <w:r w:rsidRPr="00D86217">
        <w:rPr>
          <w:rFonts w:ascii="Songti TC" w:eastAsia="Songti TC" w:hAnsi="Songti TC" w:cs="Times New Roman"/>
          <w:sz w:val="32"/>
          <w:szCs w:val="32"/>
          <w:lang w:eastAsia="zh-CN"/>
        </w:rPr>
        <w:t xml:space="preserve"> SKU i </w:t>
      </w:r>
      <w:r w:rsidRPr="00D86217">
        <w:rPr>
          <w:rFonts w:ascii="Songti TC" w:eastAsia="Songti TC" w:hAnsi="Songti TC" w:cs="Heiti TC" w:hint="eastAsia"/>
          <w:sz w:val="32"/>
          <w:szCs w:val="32"/>
          <w:lang w:eastAsia="zh-CN"/>
        </w:rPr>
        <w:t>的周需求为随机变量</w:t>
      </w:r>
      <w:r w:rsidRPr="00D86217">
        <w:rPr>
          <w:rFonts w:ascii="Songti TC" w:eastAsia="Songti TC" w:hAnsi="Songti TC" w:cs="Times New Roman"/>
          <w:sz w:val="32"/>
          <w:szCs w:val="32"/>
          <w:lang w:eastAsia="zh-CN"/>
        </w:rPr>
        <w:t xml:space="preserve"> D_i</w:t>
      </w:r>
      <w:r w:rsidRPr="00D86217">
        <w:rPr>
          <w:rFonts w:ascii="Songti TC" w:eastAsia="Songti TC" w:hAnsi="Songti TC" w:cs="Heiti TC" w:hint="eastAsia"/>
          <w:sz w:val="32"/>
          <w:szCs w:val="32"/>
          <w:lang w:eastAsia="zh-CN"/>
        </w:rPr>
        <w:t>。根据历史需求特征，不同</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的需求分布可分别采用泊松分布或负二项分布刻画。记其需求均值为</w:t>
      </w:r>
      <w:r w:rsidRPr="00D86217">
        <w:rPr>
          <w:rFonts w:ascii="Songti TC" w:eastAsia="Songti TC" w:hAnsi="Songti TC" w:cs="Times New Roman"/>
          <w:sz w:val="32"/>
          <w:szCs w:val="32"/>
          <w:lang w:eastAsia="zh-CN"/>
        </w:rPr>
        <w:t xml:space="preserve"> </w:t>
      </w:r>
      <w:r w:rsidRPr="00D86217">
        <w:rPr>
          <w:rFonts w:ascii="Songti TC" w:eastAsia="Songti TC" w:hAnsi="Songti TC" w:cs="Times New Roman"/>
          <w:sz w:val="32"/>
          <w:szCs w:val="32"/>
        </w:rPr>
        <w:t>μ</w:t>
      </w:r>
      <w:r w:rsidRPr="00D86217">
        <w:rPr>
          <w:rFonts w:ascii="Songti TC" w:eastAsia="Songti TC" w:hAnsi="Songti TC" w:cs="Times New Roman"/>
          <w:sz w:val="32"/>
          <w:szCs w:val="32"/>
          <w:lang w:eastAsia="zh-CN"/>
        </w:rPr>
        <w:t>_i</w:t>
      </w:r>
      <w:r w:rsidRPr="00D86217">
        <w:rPr>
          <w:rFonts w:ascii="Songti TC" w:eastAsia="Songti TC" w:hAnsi="Songti TC" w:cs="Heiti TC" w:hint="eastAsia"/>
          <w:sz w:val="32"/>
          <w:szCs w:val="32"/>
          <w:lang w:eastAsia="zh-CN"/>
        </w:rPr>
        <w:t>，对应分布的累积分布函数记为</w:t>
      </w:r>
      <w:r w:rsidRPr="00D86217">
        <w:rPr>
          <w:rFonts w:ascii="Songti TC" w:eastAsia="Songti TC" w:hAnsi="Songti TC" w:cs="Times New Roman"/>
          <w:sz w:val="32"/>
          <w:szCs w:val="32"/>
          <w:lang w:eastAsia="zh-CN"/>
        </w:rPr>
        <w:t xml:space="preserve"> </w:t>
      </w:r>
      <ns3:oMath>
        <ns3:sSub>
          <ns3:sSubPr>
            <ns3:ctrlPr>
              <w:rPr>
                <w:rFonts w:ascii="Cambria Math" w:eastAsia="Songti TC" w:hAnsi="Cambria Math" w:cs="Times New Roman"/>
                <w:i/>
                <w:sz w:val="32"/>
                <w:szCs w:val="32"/>
                <w:lang w:eastAsia="zh-CN"/>
              </w:rPr>
            </ns3:ctrlPr>
          </ns3:sSubPr>
          <ns3:e>
            <ns3:r>
              <w:rPr>
                <w:rFonts w:ascii="Cambria Math" w:eastAsia="Songti TC" w:hAnsi="Cambria Math" w:cs="Times New Roman"/>
                <w:sz w:val="32"/>
                <w:szCs w:val="32"/>
                <w:lang w:eastAsia="zh-CN"/>
              </w:rPr>
              <ns3:t>F</ns3:t>
            </ns3:r>
          </ns3:e>
          <ns3:sub>
            <ns3:r>
              <w:rPr>
                <w:rFonts w:ascii="Cambria Math" w:eastAsia="Songti TC" w:hAnsi="Cambria Math" w:cs="Times New Roman"/>
                <w:sz w:val="32"/>
                <w:szCs w:val="32"/>
                <w:lang w:eastAsia="zh-CN"/>
              </w:rPr>
              <ns3:t>i</ns3:t>
            </ns3:r>
          </ns3:sub>
        </ns3:sSub>
        <ns3:d>
          <ns3:dPr>
            <ns3:ctrlPr>
              <w:rPr>
                <w:rFonts w:ascii="Cambria Math" w:eastAsia="Songti TC" w:hAnsi="Cambria Math" w:cs="Times New Roman"/>
                <w:i/>
                <w:sz w:val="32"/>
                <w:szCs w:val="32"/>
                <w:lang w:eastAsia="zh-CN"/>
              </w:rPr>
            </ns3:ctrlPr>
          </ns3:dPr>
          <ns3:e>
            <ns3:r>
              <w:rPr>
                <w:rFonts w:ascii="Cambria Math" w:eastAsia="Songti TC" w:hAnsi="Cambria Math" w:cs="Times New Roman"/>
                <w:sz w:val="32"/>
                <w:szCs w:val="32"/>
                <w:lang w:eastAsia="zh-CN"/>
              </w:rPr>
              <ns3:t>k</ns3:t>
            </ns3:r>
          </ns3:e>
        </ns3:d>
      </ns3:oMath>
      <w:r w:rsidRPr="00D86217">
        <w:rPr>
          <w:rFonts w:ascii="Songti TC" w:eastAsia="Songti TC" w:hAnsi="Songti TC" w:cs="Heiti TC" w:hint="eastAsia"/>
          <w:sz w:val="32"/>
          <w:szCs w:val="32"/>
          <w:lang w:eastAsia="zh-CN"/>
        </w:rPr>
        <w:t>。</w:t>
      </w:r>
    </w:p>
    <w:p ns2:paraId="4F75F6DF"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当库存水平为 q 时，SKU i 的期望销量定义如下。对于离散非负随机变量，其表达式为：</w:t>
      </w:r>
    </w:p>
    <w:p ns2:paraId="7B8C99DB"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r>
            <w:rPr>
              <w:rFonts w:ascii="Cambria Math" w:eastAsia="Songti TC" w:hAnsi="Cambria Math"/>
              <w:sz w:val="32"/>
              <w:szCs w:val="32"/>
            </w:rPr>
            <w:lastRenderedPageBreak/>
            <ns3:t>E</ns3:t>
          </ns3:r>
          <ns3:d>
            <ns3:dPr>
              <ns3:begChr ns3:val="["/>
              <ns3:endChr ns3:val="]"/>
              <ns3:ctrlPr>
                <w:rPr>
                  <w:rFonts w:ascii="Cambria Math" w:eastAsia="Songti TC" w:hAnsi="Cambria Math"/>
                  <w:sz w:val="32"/>
                  <w:szCs w:val="32"/>
                </w:rPr>
              </ns3:ctrlPr>
            </ns3:dPr>
            <ns3:e>
              <ns3:r>
                <ns3:rPr>
                  <ns3:sty ns3:val="p"/>
                </ns3:rPr>
                <w:rPr>
                  <w:rFonts w:ascii="Cambria Math" w:eastAsia="Songti TC" w:hAnsi="Cambria Math"/>
                  <w:sz w:val="32"/>
                  <w:szCs w:val="32"/>
                </w:rPr>
                <ns3:t>min</ns3:t>
              </ns3:r>
              <ns3:d>
                <ns3:dPr>
                  <ns3:ctrlPr>
                    <w:rPr>
                      <w:rFonts w:ascii="Cambria Math" w:eastAsia="Songti TC" w:hAnsi="Cambria Math"/>
                      <w:sz w:val="32"/>
                      <w:szCs w:val="32"/>
                    </w:rPr>
                  </ns3:ctrlPr>
                </ns3:dPr>
                <ns3:e>
                  <ns3:sSub>
                    <ns3:sSubPr>
                      <ns3:ctrlPr>
                        <w:rPr>
                          <w:rFonts w:ascii="Cambria Math" w:eastAsia="Songti TC" w:hAnsi="Cambria Math"/>
                          <w:sz w:val="32"/>
                          <w:szCs w:val="32"/>
                        </w:rPr>
                      </ns3:ctrlPr>
                    </ns3:sSubPr>
                    <ns3:e>
                      <ns3:r>
                        <w:rPr>
                          <w:rFonts w:ascii="Cambria Math" w:eastAsia="Songti TC" w:hAnsi="Cambria Math"/>
                          <w:sz w:val="32"/>
                          <w:szCs w:val="32"/>
                        </w:rPr>
                        <ns3:t>D</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q</ns3:t>
                  </ns3:r>
                </ns3:e>
              </ns3:d>
            </ns3:e>
          </ns3:d>
          <ns3:r>
            <ns3:rPr>
              <ns3:sty ns3:val="p"/>
            </ns3:rPr>
            <w:rPr>
              <w:rFonts w:ascii="Cambria Math" w:eastAsia="Songti TC" w:hAnsi="Cambria Math"/>
              <w:sz w:val="32"/>
              <w:szCs w:val="32"/>
            </w:rPr>
            <ns3:t>=</ns3:t>
          </ns3:r>
          <ns3:nary>
            <ns3:naryPr>
              <ns3:chr ns3:val="∑"/>
              <ns3:limLoc ns3:val="undOvr"/>
              <ns3:ctrlPr>
                <w:rPr>
                  <w:rFonts w:ascii="Cambria Math" w:eastAsia="Songti TC" w:hAnsi="Cambria Math"/>
                  <w:sz w:val="32"/>
                  <w:szCs w:val="32"/>
                </w:rPr>
              </ns3:ctrlPr>
            </ns3:naryPr>
            <ns3:sub>
              <ns3:r>
                <w:rPr>
                  <w:rFonts w:ascii="Cambria Math" w:eastAsia="Songti TC" w:hAnsi="Cambria Math"/>
                  <w:sz w:val="32"/>
                  <w:szCs w:val="32"/>
                </w:rPr>
                <ns3:t>k</ns3:t>
              </ns3:r>
              <ns3:r>
                <ns3:rPr>
                  <ns3:sty ns3:val="p"/>
                </ns3:rPr>
                <w:rPr>
                  <w:rFonts w:ascii="Cambria Math" w:eastAsia="Songti TC" w:hAnsi="Cambria Math"/>
                  <w:sz w:val="32"/>
                  <w:szCs w:val="32"/>
                </w:rPr>
                <ns3:t>=</ns3:t>
              </ns3:r>
              <ns3:r>
                <w:rPr>
                  <w:rFonts w:ascii="Cambria Math" w:eastAsia="Songti TC" w:hAnsi="Cambria Math"/>
                  <w:sz w:val="32"/>
                  <w:szCs w:val="32"/>
                </w:rPr>
                <ns3:t>0</ns3:t>
              </ns3:r>
            </ns3:sub>
            <ns3:sup>
              <ns3:r>
                <w:rPr>
                  <w:rFonts w:ascii="Cambria Math" w:eastAsia="Songti TC" w:hAnsi="Cambria Math"/>
                  <w:sz w:val="32"/>
                  <w:szCs w:val="32"/>
                </w:rPr>
                <ns3:t>q</ns3:t>
              </ns3:r>
              <ns3:r>
                <ns3:rPr>
                  <ns3:sty ns3:val="p"/>
                </ns3:rPr>
                <w:rPr>
                  <w:rFonts w:ascii="Cambria Math" w:eastAsia="Songti TC" w:hAnsi="Cambria Math"/>
                  <w:sz w:val="32"/>
                  <w:szCs w:val="32"/>
                </w:rPr>
                <ns3:t>-</ns3:t>
              </ns3:r>
              <ns3:r>
                <w:rPr>
                  <w:rFonts w:ascii="Cambria Math" w:eastAsia="Songti TC" w:hAnsi="Cambria Math"/>
                  <w:sz w:val="32"/>
                  <w:szCs w:val="32"/>
                </w:rPr>
                <ns3:t>1</ns3:t>
              </ns3:r>
            </ns3:sup>
            <ns3:e>
              <ns3:d>
                <ns3:dPr>
                  <ns3:begChr ns3:val="["/>
                  <ns3:endChr ns3:val="]"/>
                  <ns3:ctrlPr>
                    <w:rPr>
                      <w:rFonts w:ascii="Cambria Math" w:eastAsia="Songti TC" w:hAnsi="Cambria Math"/>
                      <w:sz w:val="32"/>
                      <w:szCs w:val="32"/>
                    </w:rPr>
                  </ns3:ctrlPr>
                </ns3:dPr>
                <ns3:e>
                  <ns3:r>
                    <w:rPr>
                      <w:rFonts w:ascii="Cambria Math" w:eastAsia="Songti TC" w:hAnsi="Cambria Math"/>
                      <w:sz w:val="32"/>
                      <w:szCs w:val="32"/>
                    </w:rPr>
                    <ns3:t>1</ns3:t>
                  </ns3:r>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F</ns3:t>
                      </ns3:r>
                    </ns3:e>
                    <ns3:sub>
                      <ns3:r>
                        <w:rPr>
                          <w:rFonts w:ascii="Cambria Math" w:eastAsia="Songti TC" w:hAnsi="Cambria Math"/>
                          <w:sz w:val="32"/>
                          <w:szCs w:val="32"/>
                        </w:rPr>
                        <ns3:t>i</ns3:t>
                      </ns3:r>
                    </ns3:sub>
                  </ns3:sSub>
                  <ns3:d>
                    <ns3:dPr>
                      <ns3:ctrlPr>
                        <w:rPr>
                          <w:rFonts w:ascii="Cambria Math" w:eastAsia="Songti TC" w:hAnsi="Cambria Math"/>
                          <w:sz w:val="32"/>
                          <w:szCs w:val="32"/>
                        </w:rPr>
                      </ns3:ctrlPr>
                    </ns3:dPr>
                    <ns3:e>
                      <ns3:r>
                        <w:rPr>
                          <w:rFonts w:ascii="Cambria Math" w:eastAsia="Songti TC" w:hAnsi="Cambria Math"/>
                          <w:sz w:val="32"/>
                          <w:szCs w:val="32"/>
                        </w:rPr>
                        <ns3:t>k</ns3:t>
                      </ns3:r>
                    </ns3:e>
                  </ns3:d>
                </ns3:e>
              </ns3:d>
            </ns3:e>
          </ns3:nary>
        </ns3:oMath>
      </ns3:oMathPara>
    </w:p>
    <w:p ns2:paraId="5BF76663"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3.3 收益函数与</w:t>
      </w:r>
      <w:r w:rsidRPr="00D86217">
        <w:rPr>
          <w:rFonts w:ascii="Songti TC" w:eastAsia="Songti TC" w:hAnsi="Songti TC" w:cs="Microsoft JhengHei" w:hint="eastAsia"/>
          <w:sz w:val="32"/>
          <w:szCs w:val="32"/>
          <w:lang w:eastAsia="zh-CN"/>
        </w:rPr>
        <w:t>资</w:t>
      </w:r>
      <w:r w:rsidRPr="00D86217">
        <w:rPr>
          <w:rFonts w:ascii="Songti TC" w:eastAsia="Songti TC" w:hAnsi="Songti TC" w:cs="Times New Roman"/>
          <w:sz w:val="32"/>
          <w:szCs w:val="32"/>
          <w:lang w:eastAsia="zh-CN"/>
        </w:rPr>
        <w:t>源</w:t>
      </w:r>
      <w:r w:rsidRPr="00D86217">
        <w:rPr>
          <w:rFonts w:ascii="Songti TC" w:eastAsia="Songti TC" w:hAnsi="Songti TC" w:cs="Microsoft JhengHei" w:hint="eastAsia"/>
          <w:sz w:val="32"/>
          <w:szCs w:val="32"/>
          <w:lang w:eastAsia="zh-CN"/>
        </w:rPr>
        <w:t>约</w:t>
      </w:r>
      <w:r w:rsidRPr="00D86217">
        <w:rPr>
          <w:rFonts w:ascii="Songti TC" w:eastAsia="Songti TC" w:hAnsi="Songti TC" w:cs="Times New Roman"/>
          <w:sz w:val="32"/>
          <w:szCs w:val="32"/>
          <w:lang w:eastAsia="zh-CN"/>
        </w:rPr>
        <w:t>束</w:t>
      </w:r>
    </w:p>
    <w:p ns2:paraId="3D1FB929"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本文采用统一的期望收益最大化框架，将销售收益、库存持有成本、缺货损失以及上架固定成本纳入同一目标函数。</w:t>
      </w:r>
      <w:r w:rsidRPr="00D86217">
        <w:rPr>
          <w:rFonts w:ascii="Songti TC" w:eastAsia="Songti TC" w:hAnsi="Songti TC"/>
          <w:sz w:val="32"/>
          <w:szCs w:val="32"/>
        </w:rPr>
        <w:t>对于 SKU i 在库存水平 q 下的收益贡献，定义如下：</w:t>
      </w:r>
    </w:p>
    <w:p ns2:paraId="050F2188"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
            <ns3:sSubPr>
              <ns3:ctrlPr>
                <w:rPr>
                  <w:rFonts w:ascii="Cambria Math" w:eastAsia="Songti TC" w:hAnsi="Cambria Math"/>
                  <w:sz w:val="32"/>
                  <w:szCs w:val="32"/>
                </w:rPr>
              </ns3:ctrlPr>
            </ns3:sSub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0</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0</ns3:t>
          </ns3:r>
        </ns3:oMath>
      </ns3:oMathPara>
    </w:p>
    <w:p ns2:paraId="30860465"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
            <ns3:sSubPr>
              <ns3:ctrlPr>
                <w:rPr>
                  <w:rFonts w:ascii="Cambria Math" w:eastAsia="Songti TC" w:hAnsi="Cambria Math"/>
                  <w:sz w:val="32"/>
                  <w:szCs w:val="32"/>
                </w:rPr>
              </ns3:ctrlPr>
            </ns3:sSub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d>
            <ns3:dPr>
              <ns3:ctrlPr>
                <w:rPr>
                  <w:rFonts w:ascii="Cambria Math" w:eastAsia="Songti TC" w:hAnsi="Cambria Math"/>
                  <w:sz w:val="32"/>
                  <w:szCs w:val="32"/>
                </w:rPr>
              </ns3:ctrlPr>
            </ns3:dPr>
            <ns3:e>
              <ns3:sSub>
                <ns3:sSubPr>
                  <ns3:ctrlPr>
                    <w:rPr>
                      <w:rFonts w:ascii="Cambria Math" w:eastAsia="Songti TC" w:hAnsi="Cambria Math"/>
                      <w:sz w:val="32"/>
                      <w:szCs w:val="32"/>
                    </w:rPr>
                  </ns3:ctrlPr>
                </ns3:sSubPr>
                <ns3:e>
                  <ns3:r>
                    <w:rPr>
                      <w:rFonts w:ascii="Cambria Math" w:eastAsia="Songti TC" w:hAnsi="Cambria Math"/>
                      <w:sz w:val="32"/>
                      <w:szCs w:val="32"/>
                    </w:rPr>
                    <ns3:t>u</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h</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b</ns3:t>
                  </ns3:r>
                </ns3:e>
                <ns3:sub>
                  <ns3:r>
                    <w:rPr>
                      <w:rFonts w:ascii="Cambria Math" w:eastAsia="Songti TC" w:hAnsi="Cambria Math"/>
                      <w:sz w:val="32"/>
                      <w:szCs w:val="32"/>
                    </w:rPr>
                    <ns3:t>i</ns3:t>
                  </ns3:r>
                </ns3:sub>
              </ns3:sSub>
            </ns3:e>
          </ns3:d>
          <ns3:r>
            <w:rPr>
              <w:rFonts w:ascii="Cambria Math" w:eastAsia="Songti TC" w:hAnsi="Cambria Math"/>
              <w:sz w:val="32"/>
              <w:szCs w:val="32"/>
            </w:rPr>
            <ns3:t>E</ns3:t>
          </ns3:r>
          <ns3:d>
            <ns3:dPr>
              <ns3:begChr ns3:val="["/>
              <ns3:endChr ns3:val="]"/>
              <ns3:ctrlPr>
                <w:rPr>
                  <w:rFonts w:ascii="Cambria Math" w:eastAsia="Songti TC" w:hAnsi="Cambria Math"/>
                  <w:sz w:val="32"/>
                  <w:szCs w:val="32"/>
                </w:rPr>
              </ns3:ctrlPr>
            </ns3:dPr>
            <ns3:e>
              <ns3:r>
                <ns3:rPr>
                  <ns3:sty ns3:val="p"/>
                </ns3:rPr>
                <w:rPr>
                  <w:rFonts w:ascii="Cambria Math" w:eastAsia="Songti TC" w:hAnsi="Cambria Math"/>
                  <w:sz w:val="32"/>
                  <w:szCs w:val="32"/>
                </w:rPr>
                <ns3:t>min</ns3:t>
              </ns3:r>
              <ns3:d>
                <ns3:dPr>
                  <ns3:ctrlPr>
                    <w:rPr>
                      <w:rFonts w:ascii="Cambria Math" w:eastAsia="Songti TC" w:hAnsi="Cambria Math"/>
                      <w:sz w:val="32"/>
                      <w:szCs w:val="32"/>
                    </w:rPr>
                  </ns3:ctrlPr>
                </ns3:dPr>
                <ns3:e>
                  <ns3:sSub>
                    <ns3:sSubPr>
                      <ns3:ctrlPr>
                        <w:rPr>
                          <w:rFonts w:ascii="Cambria Math" w:eastAsia="Songti TC" w:hAnsi="Cambria Math"/>
                          <w:sz w:val="32"/>
                          <w:szCs w:val="32"/>
                        </w:rPr>
                      </ns3:ctrlPr>
                    </ns3:sSubPr>
                    <ns3:e>
                      <ns3:r>
                        <w:rPr>
                          <w:rFonts w:ascii="Cambria Math" w:eastAsia="Songti TC" w:hAnsi="Cambria Math"/>
                          <w:sz w:val="32"/>
                          <w:szCs w:val="32"/>
                        </w:rPr>
                        <ns3:t>D</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q</ns3:t>
                  </ns3:r>
                </ns3:e>
              </ns3:d>
            </ns3:e>
          </ns3:d>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h</ns3:t>
              </ns3:r>
            </ns3:e>
            <ns3:sub>
              <ns3:r>
                <w:rPr>
                  <w:rFonts w:ascii="Cambria Math" w:eastAsia="Songti TC" w:hAnsi="Cambria Math"/>
                  <w:sz w:val="32"/>
                  <w:szCs w:val="32"/>
                </w:rPr>
                <ns3:t>i</ns3:t>
              </ns3:r>
            </ns3:sub>
          </ns3:sSub>
          <ns3:r>
            <w:rPr>
              <w:rFonts w:ascii="Cambria Math" w:eastAsia="Songti TC" w:hAnsi="Cambria Math"/>
              <w:sz w:val="32"/>
              <w:szCs w:val="32"/>
            </w:rPr>
            <ns3:t>q</ns3:t>
          </ns3:r>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b</ns3:t>
              </ns3:r>
            </ns3:e>
            <ns3:sub>
              <ns3:r>
                <w:rPr>
                  <w:rFonts w:ascii="Cambria Math" w:eastAsia="Songti TC" w:hAnsi="Cambria Math"/>
                  <w:sz w:val="32"/>
                  <w:szCs w:val="32"/>
                </w:rPr>
                <ns3:t>i</ns3:t>
              </ns3:r>
            </ns3:sub>
          </ns3:sSub>
          <ns3:sSub>
            <ns3:sSubPr>
              <ns3:ctrlPr>
                <w:rPr>
                  <w:rFonts w:ascii="Cambria Math" w:eastAsia="Songti TC" w:hAnsi="Cambria Math"/>
                  <w:sz w:val="32"/>
                  <w:szCs w:val="32"/>
                </w:rPr>
              </ns3:ctrlPr>
            </ns3:sSubPr>
            <ns3:e>
              <ns3:r>
                <w:rPr>
                  <w:rFonts w:ascii="Cambria Math" w:eastAsia="Songti TC" w:hAnsi="Cambria Math"/>
                  <w:sz w:val="32"/>
                  <w:szCs w:val="32"/>
                </w:rPr>
                <ns3:t>μ</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f</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 q</ns3:t>
          </ns3:r>
          <ns3:r>
            <ns3:rPr>
              <ns3:sty ns3:val="p"/>
            </ns3:rPr>
            <w:rPr>
              <w:rFonts w:ascii="Cambria Math" w:eastAsia="Songti TC" w:hAnsi="Cambria Math"/>
              <w:sz w:val="32"/>
              <w:szCs w:val="32"/>
            </w:rPr>
            <ns3:t>&gt;</ns3:t>
          </ns3:r>
          <ns3:r>
            <w:rPr>
              <w:rFonts w:ascii="Cambria Math" w:eastAsia="Songti TC" w:hAnsi="Cambria Math"/>
              <w:sz w:val="32"/>
              <w:szCs w:val="32"/>
            </w:rPr>
            <ns3:t>0</ns3:t>
          </ns3:r>
        </ns3:oMath>
      </ns3:oMathPara>
    </w:p>
    <w:p ns2:paraId="2063740E"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需要说明的是，u_i、h_i、b_i、f_i 并非直接来源于企业会计口径下的真实经营参数，而是基于历史价格信息与经验规则构造的代理参数，用于刻画不同库存决策在收益、持有与缺货损失之间的相对权衡。因此，本文更关注不同算法之间的相对表现比较，而非绝对利润水平的精确估计。本文模型采用的是面向前置仓运营的简化代理收益框架，其目的在于统一刻画“是否上架”与“上架后备多少”的联合权衡，而非逐式对应某一既有文献中的消费者效用模型、替代矩阵模型或仓库履约成本模型。</w:t>
      </w:r>
    </w:p>
    <w:p ns2:paraId="2267FD00"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前置仓的资源约束主要体现在体积和重量两个维度。与程序实现一致，当 q = 0 时，由于 SKU 不上架，因此资源消耗为 0；当 q &gt; 0 时，除与库存量相关的线性占用外，还包含固定槽位占用。</w:t>
      </w:r>
      <w:r w:rsidRPr="00D86217">
        <w:rPr>
          <w:rFonts w:ascii="Songti TC" w:eastAsia="Songti TC" w:hAnsi="Songti TC"/>
          <w:sz w:val="32"/>
          <w:szCs w:val="32"/>
        </w:rPr>
        <w:t>于是有：</w:t>
      </w:r>
    </w:p>
    <w:p ns2:paraId="0A61C085"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V</ns3:t>
              </ns3:r>
            </ns3:sup>
          </ns3:sSubSup>
          <ns3:r>
            <ns3:rPr>
              <ns3:sty ns3:val="p"/>
            </ns3:rPr>
            <w:rPr>
              <w:rFonts w:ascii="Cambria Math" w:eastAsia="Songti TC" w:hAnsi="Cambria Math"/>
              <w:sz w:val="32"/>
              <w:szCs w:val="32"/>
            </w:rPr>
            <ns3:t>=</ns3:t>
          </ns3:r>
          <ns3:sSubSup>
            <ns3:sSubSupPr>
              <ns3:ctrlPr>
                <w:rPr>
                  <w:rFonts w:ascii="Cambria Math" w:eastAsia="Songti TC" w:hAnsi="Cambria Math"/>
                  <w:sz w:val="32"/>
                  <w:szCs w:val="32"/>
                </w:rPr>
              </ns3:ctrlPr>
            </ns3:sSubSupPr>
            <ns3:e>
              <ns3:r>
                <w:rPr>
                  <w:rFonts w:ascii="Cambria Math" w:eastAsia="Songti TC" w:hAnsi="Cambria Math"/>
                  <w:sz w:val="32"/>
                  <w:szCs w:val="32"/>
                </w:rPr>
                <ns3:t>s</ns3:t>
              </ns3:r>
            </ns3:e>
            <ns3:sub>
              <ns3:r>
                <w:rPr>
                  <w:rFonts w:ascii="Cambria Math" w:eastAsia="Songti TC" w:hAnsi="Cambria Math"/>
                  <w:sz w:val="32"/>
                  <w:szCs w:val="32"/>
                </w:rPr>
                <ns3:t>i</ns3:t>
              </ns3:r>
            </ns3:sub>
            <ns3:sup>
              <ns3:r>
                <w:rPr>
                  <w:rFonts w:ascii="Cambria Math" w:eastAsia="Songti TC" w:hAnsi="Cambria Math"/>
                  <w:sz w:val="32"/>
                  <w:szCs w:val="32"/>
                </w:rPr>
                <ns3:t>V</ns3:t>
              </ns3:r>
            </ns3:sup>
          </ns3:sSubSup>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v</ns3:t>
              </ns3:r>
            </ns3:e>
            <ns3:sub>
              <ns3:r>
                <w:rPr>
                  <w:rFonts w:ascii="Cambria Math" w:eastAsia="Songti TC" w:hAnsi="Cambria Math"/>
                  <w:sz w:val="32"/>
                  <w:szCs w:val="32"/>
                </w:rPr>
                <ns3:t>i</ns3:t>
              </ns3:r>
            </ns3:sub>
          </ns3:sSub>
          <ns3:r>
            <w:rPr>
              <w:rFonts w:ascii="Cambria Math" w:eastAsia="Songti TC" w:hAnsi="Cambria Math"/>
              <w:sz w:val="32"/>
              <w:szCs w:val="32"/>
            </w:rPr>
            <ns3:t>q</ns3:t>
          </ns3:r>
          <ns3:r>
            <ns3:rPr>
              <ns3:sty ns3:val="p"/>
            </ns3:rPr>
            <w:rPr>
              <w:rFonts w:ascii="Cambria Math" w:eastAsia="Songti TC" w:hAnsi="Cambria Math"/>
              <w:sz w:val="32"/>
              <w:szCs w:val="32"/>
            </w:rPr>
            <ns3:t>,</ns3:t>
          </ns3:r>
          <ns3:r>
            <w:rPr>
              <w:rFonts w:ascii="Cambria Math" w:eastAsia="Songti TC" w:hAnsi="Cambria Math"/>
              <w:sz w:val="32"/>
              <w:szCs w:val="32"/>
            </w:rPr>
            <ns3:t> q</ns3:t>
          </ns3:r>
          <ns3:r>
            <ns3:rPr>
              <ns3:sty ns3:val="p"/>
            </ns3:rPr>
            <w:rPr>
              <w:rFonts w:ascii="Cambria Math" w:eastAsia="Songti TC" w:hAnsi="Cambria Math"/>
              <w:sz w:val="32"/>
              <w:szCs w:val="32"/>
            </w:rPr>
            <ns3:t>&gt;</ns3:t>
          </ns3:r>
          <ns3:r>
            <w:rPr>
              <w:rFonts w:ascii="Cambria Math" w:eastAsia="Songti TC" w:hAnsi="Cambria Math"/>
              <w:sz w:val="32"/>
              <w:szCs w:val="32"/>
            </w:rPr>
            <ns3:t>0</ns3:t>
          </ns3:r>
        </ns3:oMath>
      </ns3:oMathPara>
    </w:p>
    <w:p ns2:paraId="632367C9"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W</ns3:t>
              </ns3:r>
            </ns3:sup>
          </ns3:sSubSup>
          <ns3:r>
            <ns3:rPr>
              <ns3:sty ns3:val="p"/>
            </ns3:rPr>
            <w:rPr>
              <w:rFonts w:ascii="Cambria Math" w:eastAsia="Songti TC" w:hAnsi="Cambria Math"/>
              <w:sz w:val="32"/>
              <w:szCs w:val="32"/>
            </w:rPr>
            <ns3:t>=</ns3:t>
          </ns3:r>
          <ns3:sSubSup>
            <ns3:sSubSupPr>
              <ns3:ctrlPr>
                <w:rPr>
                  <w:rFonts w:ascii="Cambria Math" w:eastAsia="Songti TC" w:hAnsi="Cambria Math"/>
                  <w:sz w:val="32"/>
                  <w:szCs w:val="32"/>
                </w:rPr>
              </ns3:ctrlPr>
            </ns3:sSubSupPr>
            <ns3:e>
              <ns3:r>
                <w:rPr>
                  <w:rFonts w:ascii="Cambria Math" w:eastAsia="Songti TC" w:hAnsi="Cambria Math"/>
                  <w:sz w:val="32"/>
                  <w:szCs w:val="32"/>
                </w:rPr>
                <ns3:t>s</ns3:t>
              </ns3:r>
            </ns3:e>
            <ns3:sub>
              <ns3:r>
                <w:rPr>
                  <w:rFonts w:ascii="Cambria Math" w:eastAsia="Songti TC" w:hAnsi="Cambria Math"/>
                  <w:sz w:val="32"/>
                  <w:szCs w:val="32"/>
                </w:rPr>
                <ns3:t>i</ns3:t>
              </ns3:r>
            </ns3:sub>
            <ns3:sup>
              <ns3:r>
                <w:rPr>
                  <w:rFonts w:ascii="Cambria Math" w:eastAsia="Songti TC" w:hAnsi="Cambria Math"/>
                  <w:sz w:val="32"/>
                  <w:szCs w:val="32"/>
                </w:rPr>
                <ns3:t>W</ns3:t>
              </ns3:r>
            </ns3:sup>
          </ns3:sSubSup>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w</ns3:t>
              </ns3:r>
            </ns3:e>
            <ns3:sub>
              <ns3:r>
                <w:rPr>
                  <w:rFonts w:ascii="Cambria Math" w:eastAsia="Songti TC" w:hAnsi="Cambria Math"/>
                  <w:sz w:val="32"/>
                  <w:szCs w:val="32"/>
                </w:rPr>
                <ns3:t>i</ns3:t>
              </ns3:r>
            </ns3:sub>
          </ns3:sSub>
          <ns3:r>
            <w:rPr>
              <w:rFonts w:ascii="Cambria Math" w:eastAsia="Songti TC" w:hAnsi="Cambria Math"/>
              <w:sz w:val="32"/>
              <w:szCs w:val="32"/>
            </w:rPr>
            <ns3:t>q</ns3:t>
          </ns3:r>
          <ns3:r>
            <ns3:rPr>
              <ns3:sty ns3:val="p"/>
            </ns3:rPr>
            <w:rPr>
              <w:rFonts w:ascii="Cambria Math" w:eastAsia="Songti TC" w:hAnsi="Cambria Math"/>
              <w:sz w:val="32"/>
              <w:szCs w:val="32"/>
            </w:rPr>
            <ns3:t>,</ns3:t>
          </ns3:r>
          <ns3:r>
            <w:rPr>
              <w:rFonts w:ascii="Cambria Math" w:eastAsia="Songti TC" w:hAnsi="Cambria Math"/>
              <w:sz w:val="32"/>
              <w:szCs w:val="32"/>
            </w:rPr>
            <ns3:t> q</ns3:t>
          </ns3:r>
          <ns3:r>
            <ns3:rPr>
              <ns3:sty ns3:val="p"/>
            </ns3:rPr>
            <w:rPr>
              <w:rFonts w:ascii="Cambria Math" w:eastAsia="Songti TC" w:hAnsi="Cambria Math"/>
              <w:sz w:val="32"/>
              <w:szCs w:val="32"/>
            </w:rPr>
            <ns3:t>&gt;</ns3:t>
          </ns3:r>
          <ns3:r>
            <w:rPr>
              <w:rFonts w:ascii="Cambria Math" w:eastAsia="Songti TC" w:hAnsi="Cambria Math"/>
              <w:sz w:val="32"/>
              <w:szCs w:val="32"/>
            </w:rPr>
            <ns3:t>0</ns3:t>
          </ns3:r>
        </ns3:oMath>
      </ns3:oMathPara>
    </w:p>
    <w:p ns2:paraId="60517012"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i</ns3:t>
              </ns3:r>
            </ns3:sub>
            <ns3:sup>
              <ns3:r>
                <w:rPr>
                  <w:rFonts w:ascii="Cambria Math" w:eastAsia="Songti TC" w:hAnsi="Cambria Math"/>
                  <w:sz w:val="32"/>
                  <w:szCs w:val="32"/>
                </w:rPr>
                <ns3:t>​</ns3:t>
              </ns3:r>
            </ns3:sup>
            <ns3:e>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q</ns3:t>
                  </ns3:r>
                </ns3:sub>
                <ns3:sup>
                  <ns3:r>
                    <w:rPr>
                      <w:rFonts w:ascii="Cambria Math" w:eastAsia="Songti TC" w:hAnsi="Cambria Math"/>
                      <w:sz w:val="32"/>
                      <w:szCs w:val="32"/>
                    </w:rPr>
                    <ns3:t>​</ns3:t>
                  </ns3:r>
                </ns3:sup>
                <ns3:e>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V</ns3:t>
                      </ns3:r>
                    </ns3:sup>
                  </ns3:sSubSup>
                </ns3:e>
              </ns3:nary>
            </ns3:e>
          </ns3:nary>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V</ns3:t>
              </ns3:r>
            </ns3:e>
            <ns3:sub>
              <ns3:r>
                <ns3:rPr>
                  <ns3:sty ns3:val="p"/>
                </ns3:rPr>
                <w:rPr>
                  <w:rFonts w:ascii="Cambria Math" w:eastAsia="Songti TC" w:hAnsi="Cambria Math"/>
                  <w:sz w:val="32"/>
                  <w:szCs w:val="32"/>
                </w:rPr>
                <ns3:t>cap</ns3:t>
              </ns3:r>
            </ns3:sub>
          </ns3:sSub>
        </ns3:oMath>
      </ns3:oMathPara>
    </w:p>
    <w:p ns2:paraId="2F454B84"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i</ns3:t>
              </ns3:r>
            </ns3:sub>
            <ns3:sup>
              <ns3:r>
                <w:rPr>
                  <w:rFonts w:ascii="Cambria Math" w:eastAsia="Songti TC" w:hAnsi="Cambria Math"/>
                  <w:sz w:val="32"/>
                  <w:szCs w:val="32"/>
                </w:rPr>
                <ns3:t>​</ns3:t>
              </ns3:r>
            </ns3:sup>
            <ns3:e>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q</ns3:t>
                  </ns3:r>
                </ns3:sub>
                <ns3:sup>
                  <ns3:r>
                    <w:rPr>
                      <w:rFonts w:ascii="Cambria Math" w:eastAsia="Songti TC" w:hAnsi="Cambria Math"/>
                      <w:sz w:val="32"/>
                      <w:szCs w:val="32"/>
                    </w:rPr>
                    <ns3:t>​</ns3:t>
                  </ns3:r>
                </ns3:sup>
                <ns3:e>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W</ns3:t>
                      </ns3:r>
                    </ns3:sup>
                  </ns3:sSubSup>
                </ns3:e>
              </ns3:nary>
            </ns3:e>
          </ns3:nary>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W</ns3:t>
              </ns3:r>
            </ns3:e>
            <ns3:sub>
              <ns3:r>
                <ns3:rPr>
                  <ns3:sty ns3:val="p"/>
                </ns3:rPr>
                <w:rPr>
                  <w:rFonts w:ascii="Cambria Math" w:eastAsia="Songti TC" w:hAnsi="Cambria Math"/>
                  <w:sz w:val="32"/>
                  <w:szCs w:val="32"/>
                </w:rPr>
                <ns3:t>cap</ns3:t>
              </ns3:r>
            </ns3:sub>
          </ns3:sSub>
        </ns3:oMath>
      </ns3:oMathPara>
    </w:p>
    <w:p ns2:paraId="106ECCCA"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 xml:space="preserve">3.4 </w:t>
      </w:r>
      <w:r w:rsidRPr="00D86217">
        <w:rPr>
          <w:rFonts w:ascii="Songti TC" w:eastAsia="Songti TC" w:hAnsi="Songti TC" w:cs="Microsoft JhengHei" w:hint="eastAsia"/>
          <w:sz w:val="32"/>
          <w:szCs w:val="32"/>
          <w:lang w:eastAsia="zh-CN"/>
        </w:rPr>
        <w:t>统</w:t>
      </w:r>
      <w:r w:rsidRPr="00D86217">
        <w:rPr>
          <w:rFonts w:ascii="Songti TC" w:eastAsia="Songti TC" w:hAnsi="Songti TC" w:cs="Times New Roman"/>
          <w:sz w:val="32"/>
          <w:szCs w:val="32"/>
          <w:lang w:eastAsia="zh-CN"/>
        </w:rPr>
        <w:t>一</w:t>
      </w:r>
      <w:r w:rsidRPr="00D86217">
        <w:rPr>
          <w:rFonts w:ascii="Songti TC" w:eastAsia="Songti TC" w:hAnsi="Songti TC" w:cs="Microsoft JhengHei" w:hint="eastAsia"/>
          <w:sz w:val="32"/>
          <w:szCs w:val="32"/>
          <w:lang w:eastAsia="zh-CN"/>
        </w:rPr>
        <w:t>优</w:t>
      </w:r>
      <w:r w:rsidRPr="00D86217">
        <w:rPr>
          <w:rFonts w:ascii="Songti TC" w:eastAsia="Songti TC" w:hAnsi="Songti TC" w:cs="Times New Roman"/>
          <w:sz w:val="32"/>
          <w:szCs w:val="32"/>
          <w:lang w:eastAsia="zh-CN"/>
        </w:rPr>
        <w:t>化模型</w:t>
      </w:r>
    </w:p>
    <w:p ns2:paraId="05B31FF4"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综合上述目标函数与资源约束，本文构建的联合优化模型可写为：</w:t>
      </w:r>
    </w:p>
    <w:p ns2:paraId="43DD7A74"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r>
            <ns3:rPr>
              <ns3:sty ns3:val="p"/>
            </ns3:rPr>
            <w:rPr>
              <w:rFonts w:ascii="Cambria Math" w:eastAsia="Songti TC" w:hAnsi="Cambria Math"/>
              <w:sz w:val="32"/>
              <w:szCs w:val="32"/>
            </w:rPr>
            <ns3:t>max</ns3:t>
          </ns3:r>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i</ns3:t>
              </ns3:r>
            </ns3:sub>
            <ns3:sup>
              <ns3:r>
                <w:rPr>
                  <w:rFonts w:ascii="Cambria Math" w:eastAsia="Songti TC" w:hAnsi="Cambria Math"/>
                  <w:sz w:val="32"/>
                  <w:szCs w:val="32"/>
                </w:rPr>
                <ns3:t>​</ns3:t>
              </ns3:r>
            </ns3:sup>
            <ns3:e>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q</ns3:t>
                  </ns3:r>
                </ns3:sub>
                <ns3:sup>
                  <ns3:r>
                    <w:rPr>
                      <w:rFonts w:ascii="Cambria Math" w:eastAsia="Songti TC" w:hAnsi="Cambria Math"/>
                      <w:sz w:val="32"/>
                      <w:szCs w:val="32"/>
                    </w:rPr>
                    <ns3:t>​</ns3:t>
                  </ns3:r>
                </ns3:sup>
                <ns3:e>
                  <ns3:sSub>
                    <ns3:sSubPr>
                      <ns3:ctrlPr>
                        <w:rPr>
                          <w:rFonts w:ascii="Cambria Math" w:eastAsia="Songti TC" w:hAnsi="Cambria Math"/>
                          <w:sz w:val="32"/>
                          <w:szCs w:val="32"/>
                        </w:rPr>
                      </ns3:ctrlPr>
                    </ns3:sSub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e>
              </ns3:nary>
            </ns3:e>
          </ns3:nary>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oMath>
      </ns3:oMathPara>
    </w:p>
    <w:p ns2:paraId="22AF916E"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ctrlPr>
                <w:rPr>
                  <w:rFonts w:ascii="Cambria Math" w:eastAsia="Songti TC" w:hAnsi="Cambria Math"/>
                  <w:sz w:val="32"/>
                  <w:szCs w:val="32"/>
                </w:rPr>
              </ns3:ctrlPr>
            </ns3:naryPr>
            <ns3:sub>
              <ns3:r>
                <w:rPr>
                  <w:rFonts w:ascii="Cambria Math" w:eastAsia="Songti TC" w:hAnsi="Cambria Math"/>
                  <w:sz w:val="32"/>
                  <w:szCs w:val="32"/>
                </w:rPr>
                <ns3:t>q</ns3:t>
              </ns3:r>
              <ns3:r>
                <ns3:rPr>
                  <ns3:sty ns3:val="p"/>
                </ns3:rPr>
                <w:rPr>
                  <w:rFonts w:ascii="Cambria Math" w:eastAsia="Songti TC" w:hAnsi="Cambria Math"/>
                  <w:sz w:val="32"/>
                  <w:szCs w:val="32"/>
                </w:rPr>
                <ns3:t>=</ns3:t>
              </ns3:r>
              <ns3:r>
                <w:rPr>
                  <w:rFonts w:ascii="Cambria Math" w:eastAsia="Songti TC" w:hAnsi="Cambria Math"/>
                  <w:sz w:val="32"/>
                  <w:szCs w:val="32"/>
                </w:rPr>
                <ns3:t>0</ns3:t>
              </ns3:r>
            </ns3:sub>
            <ns3:sup>
              <ns3:sSub>
                <ns3:sSubPr>
                  <ns3:ctrlPr>
                    <w:rPr>
                      <w:rFonts w:ascii="Cambria Math" w:eastAsia="Songti TC" w:hAnsi="Cambria Math"/>
                      <w:sz w:val="32"/>
                      <w:szCs w:val="32"/>
                    </w:rPr>
                  </ns3:ctrlPr>
                </ns3:sSubPr>
                <ns3:e>
                  <ns3:r>
                    <w:rPr>
                      <w:rFonts w:ascii="Cambria Math" w:eastAsia="Songti TC" w:hAnsi="Cambria Math"/>
                      <w:sz w:val="32"/>
                      <w:szCs w:val="32"/>
                    </w:rPr>
                    <ns3:t>Q</ns3:t>
                  </ns3:r>
                </ns3:e>
                <ns3:sub>
                  <ns3:r>
                    <ns3:rPr>
                      <ns3:sty ns3:val="p"/>
                    </ns3:rPr>
                    <w:rPr>
                      <w:rFonts w:ascii="Cambria Math" w:eastAsia="Songti TC" w:hAnsi="Cambria Math"/>
                      <w:sz w:val="32"/>
                      <w:szCs w:val="32"/>
                    </w:rPr>
                    <ns3:t>max</ns3:t>
                  </ns3:r>
                </ns3:sub>
              </ns3:sSub>
            </ns3:sup>
            <ns3:e>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e>
          </ns3:nary>
          <ns3:r>
            <ns3:rPr>
              <ns3:sty ns3:val="p"/>
            </ns3:rPr>
            <w:rPr>
              <w:rFonts w:ascii="Cambria Math" w:eastAsia="Songti TC" w:hAnsi="Cambria Math"/>
              <w:sz w:val="32"/>
              <w:szCs w:val="32"/>
            </w:rPr>
            <ns3:t>=</ns3:t>
          </ns3:r>
          <ns3:r>
            <w:rPr>
              <w:rFonts w:ascii="Cambria Math" w:eastAsia="Songti TC" w:hAnsi="Cambria Math"/>
              <w:sz w:val="32"/>
              <w:szCs w:val="32"/>
            </w:rPr>
            <ns3:t>1</ns3:t>
          </ns3:r>
          <ns3:r>
            <ns3:rPr>
              <ns3:sty ns3:val="p"/>
            </ns3:rPr>
            <w:rPr>
              <w:rFonts w:ascii="Cambria Math" w:eastAsia="Songti TC" w:hAnsi="Cambria Math"/>
              <w:sz w:val="32"/>
              <w:szCs w:val="32"/>
            </w:rPr>
            <ns3:t>,</ns3:t>
          </ns3:r>
          <ns3:r>
            <w:rPr>
              <w:rFonts w:ascii="Cambria Math" w:eastAsia="Songti TC" w:hAnsi="Cambria Math"/>
              <w:sz w:val="32"/>
              <w:szCs w:val="32"/>
            </w:rPr>
            <ns3:t> </ns3:t>
          </ns3:r>
          <ns3:r>
            <ns3:rPr>
              <ns3:sty ns3:val="p"/>
            </ns3:rPr>
            <w:rPr>
              <w:rFonts w:ascii="Cambria Math" w:eastAsia="Songti TC" w:hAnsi="Cambria Math"/>
              <w:sz w:val="32"/>
              <w:szCs w:val="32"/>
            </w:rPr>
            <ns3:t>∀</ns3:t>
          </ns3:r>
          <ns3:r>
            <w:rPr>
              <w:rFonts w:ascii="Cambria Math" w:eastAsia="Songti TC" w:hAnsi="Cambria Math"/>
              <w:sz w:val="32"/>
              <w:szCs w:val="32"/>
            </w:rPr>
            <ns3:t>i</ns3:t>
          </ns3:r>
        </ns3:oMath>
      </ns3:oMathPara>
    </w:p>
    <w:p ns2:paraId="446AE1E8"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i</ns3:t>
              </ns3:r>
            </ns3:sub>
            <ns3:sup>
              <ns3:r>
                <w:rPr>
                  <w:rFonts w:ascii="Cambria Math" w:eastAsia="Songti TC" w:hAnsi="Cambria Math"/>
                  <w:sz w:val="32"/>
                  <w:szCs w:val="32"/>
                </w:rPr>
                <ns3:t>​</ns3:t>
              </ns3:r>
            </ns3:sup>
            <ns3:e>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q</ns3:t>
                  </ns3:r>
                </ns3:sub>
                <ns3:sup>
                  <ns3:r>
                    <w:rPr>
                      <w:rFonts w:ascii="Cambria Math" w:eastAsia="Songti TC" w:hAnsi="Cambria Math"/>
                      <w:sz w:val="32"/>
                      <w:szCs w:val="32"/>
                    </w:rPr>
                    <ns3:t>​</ns3:t>
                  </ns3:r>
                </ns3:sup>
                <ns3:e>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V</ns3:t>
                      </ns3:r>
                    </ns3:sup>
                  </ns3:sSubSup>
                </ns3:e>
              </ns3:nary>
            </ns3:e>
          </ns3:nary>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V</ns3:t>
              </ns3:r>
            </ns3:e>
            <ns3:sub>
              <ns3:r>
                <ns3:rPr>
                  <ns3:sty ns3:val="p"/>
                </ns3:rPr>
                <w:rPr>
                  <w:rFonts w:ascii="Cambria Math" w:eastAsia="Songti TC" w:hAnsi="Cambria Math"/>
                  <w:sz w:val="32"/>
                  <w:szCs w:val="32"/>
                </w:rPr>
                <ns3:t>cap</ns3:t>
              </ns3:r>
            </ns3:sub>
          </ns3:sSub>
        </ns3:oMath>
      </ns3:oMathPara>
    </w:p>
    <w:p ns2:paraId="53695CEB"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i</ns3:t>
              </ns3:r>
            </ns3:sub>
            <ns3:sup>
              <ns3:r>
                <w:rPr>
                  <w:rFonts w:ascii="Cambria Math" w:eastAsia="Songti TC" w:hAnsi="Cambria Math"/>
                  <w:sz w:val="32"/>
                  <w:szCs w:val="32"/>
                </w:rPr>
                <ns3:t>​</ns3:t>
              </ns3:r>
            </ns3:sup>
            <ns3:e>
              <ns3:nary>
                <ns3:naryPr>
                  <ns3:chr ns3:val="∑"/>
                  <ns3:limLoc ns3:val="undOvr"/>
                  <ns3:supHide ns3:val="1"/>
                  <ns3:ctrlPr>
                    <w:rPr>
                      <w:rFonts w:ascii="Cambria Math" w:eastAsia="Songti TC" w:hAnsi="Cambria Math"/>
                      <w:sz w:val="32"/>
                      <w:szCs w:val="32"/>
                    </w:rPr>
                  </ns3:ctrlPr>
                </ns3:naryPr>
                <ns3:sub>
                  <ns3:r>
                    <w:rPr>
                      <w:rFonts w:ascii="Cambria Math" w:eastAsia="Songti TC" w:hAnsi="Cambria Math"/>
                      <w:sz w:val="32"/>
                      <w:szCs w:val="32"/>
                    </w:rPr>
                    <ns3:t>q</ns3:t>
                  </ns3:r>
                </ns3:sub>
                <ns3:sup>
                  <ns3:r>
                    <w:rPr>
                      <w:rFonts w:ascii="Cambria Math" w:eastAsia="Songti TC" w:hAnsi="Cambria Math"/>
                      <w:sz w:val="32"/>
                      <w:szCs w:val="32"/>
                    </w:rPr>
                    <ns3:t>​</ns3:t>
                  </ns3:r>
                </ns3:sup>
                <ns3:e>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W</ns3:t>
                      </ns3:r>
                    </ns3:sup>
                  </ns3:sSubSup>
                </ns3:e>
              </ns3:nary>
            </ns3:e>
          </ns3:nary>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W</ns3:t>
              </ns3:r>
            </ns3:e>
            <ns3:sub>
              <ns3:r>
                <ns3:rPr>
                  <ns3:sty ns3:val="p"/>
                </ns3:rPr>
                <w:rPr>
                  <w:rFonts w:ascii="Cambria Math" w:eastAsia="Songti TC" w:hAnsi="Cambria Math"/>
                  <w:sz w:val="32"/>
                  <w:szCs w:val="32"/>
                </w:rPr>
                <ns3:t>cap</ns3:t>
              </ns3:r>
            </ns3:sub>
          </ns3:sSub>
        </ns3:oMath>
      </ns3:oMathPara>
    </w:p>
    <w:p ns2:paraId="0C1E82D5"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
            <ns3:sSubPr>
              <ns3:ctrlPr>
                <w:rPr>
                  <w:rFonts w:ascii="Cambria Math" w:eastAsia="Songti TC" w:hAnsi="Cambria Math"/>
                  <w:sz w:val="32"/>
                  <w:szCs w:val="32"/>
                </w:rPr>
              </ns3:ctrlPr>
            </ns3:sSubPr>
            <ns3:e>
              <ns3:r>
                <w:rPr>
                  <w:rFonts w:ascii="Cambria Math" w:eastAsia="Songti TC" w:hAnsi="Cambria Math"/>
                  <w:sz w:val="32"/>
                  <w:szCs w:val="32"/>
                </w:rPr>
                <ns3:t>x</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0</ns3:t>
          </ns3:r>
          <ns3:r>
            <ns3:rPr>
              <ns3:sty ns3:val="p"/>
            </ns3:rPr>
            <w:rPr>
              <w:rFonts w:ascii="Cambria Math" w:eastAsia="Songti TC" w:hAnsi="Cambria Math"/>
              <w:sz w:val="32"/>
              <w:szCs w:val="32"/>
            </w:rPr>
            <ns3:t>,</ns3:t>
          </ns3:r>
          <ns3:r>
            <w:rPr>
              <w:rFonts w:ascii="Cambria Math" w:eastAsia="Songti TC" w:hAnsi="Cambria Math"/>
              <w:sz w:val="32"/>
              <w:szCs w:val="32"/>
            </w:rPr>
            <ns3:t>1</ns3:t>
          </ns3:r>
          <ns3:r>
            <ns3:rPr>
              <ns3:sty ns3:val="p"/>
            </ns3:rPr>
            <w:rPr>
              <w:rFonts w:ascii="Cambria Math" w:eastAsia="Songti TC" w:hAnsi="Cambria Math"/>
              <w:sz w:val="32"/>
              <w:szCs w:val="32"/>
            </w:rPr>
            <ns3:t>}</ns3:t>
          </ns3:r>
        </ns3:oMath>
      </ns3:oMathPara>
    </w:p>
    <w:p ns2:paraId="098DE898"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该模型本质上是一个带有双资源约束的多重选择离散优化问题。</w:t>
      </w:r>
      <w:r w:rsidRPr="00D86217">
        <w:rPr>
          <w:rFonts w:ascii="Songti TC" w:eastAsia="Songti TC" w:hAnsi="Songti TC" w:cs="Times New Roman"/>
          <w:sz w:val="32"/>
          <w:szCs w:val="32"/>
          <w:lang w:eastAsia="zh-CN"/>
        </w:rPr>
        <w:t xml:space="preserve">q = 0 </w:t>
      </w:r>
      <w:r w:rsidRPr="00D86217">
        <w:rPr>
          <w:rFonts w:ascii="Songti TC" w:eastAsia="Songti TC" w:hAnsi="Songti TC" w:cs="Heiti TC" w:hint="eastAsia"/>
          <w:sz w:val="32"/>
          <w:szCs w:val="32"/>
          <w:lang w:eastAsia="zh-CN"/>
        </w:rPr>
        <w:t>已自然表示</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不上架</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，因此模型将</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进入决策与库存深度决策统一在同一状态变量之中。</w:t>
      </w:r>
    </w:p>
    <w:p ns2:paraId="2420C013"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3.5 求解方法</w:t>
      </w:r>
    </w:p>
    <w:p ns2:paraId="17755CDD" ns2:textId="77777777" w:rsidR="00F546BE" w:rsidRPr="00D86217" w:rsidRDefault="00000000">
      <w:pPr>
        <w:pStyle w:val="Heading3"/>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3.5.1 Greedy</w:t>
      </w:r>
    </w:p>
    <w:p ns2:paraId="0C785A76"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Greedy 的核心思想是，先为每个 SKU 单独确定一个局部最优库存水平，再基于资源收益密度进行全局装载。其局部最优库存水平可表示为：</w:t>
      </w:r>
    </w:p>
    <w:p ns2:paraId="003321FC"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Sup>
            <ns3:sSubSupPr>
              <ns3:ctrlPr>
                <w:rPr>
                  <w:rFonts w:ascii="Cambria Math" w:eastAsia="Songti TC" w:hAnsi="Cambria Math"/>
                  <w:sz w:val="32"/>
                  <w:szCs w:val="32"/>
                </w:rPr>
              </ns3:ctrlPr>
            </ns3:sSubSupPr>
            <ns3:e>
              <ns3:r>
                <w:rPr>
                  <w:rFonts w:ascii="Cambria Math" w:eastAsia="Songti TC" w:hAnsi="Cambria Math"/>
                  <w:sz w:val="32"/>
                  <w:szCs w:val="32"/>
                </w:rPr>
                <ns3:t>q</ns3:t>
              </ns3:r>
            </ns3:e>
            <ns3:sub>
              <ns3:r>
                <w:rPr>
                  <w:rFonts w:ascii="Cambria Math" w:eastAsia="Songti TC" w:hAnsi="Cambria Math"/>
                  <w:sz w:val="32"/>
                  <w:szCs w:val="32"/>
                </w:rPr>
                <ns3:t>i</ns3:t>
              </ns3:r>
            </ns3:sub>
            <ns3:sup>
              <ns3:r>
                <ns3:rPr>
                  <ns3:sty ns3:val="p"/>
                </ns3:rPr>
                <w:rPr>
                  <w:rFonts w:ascii="Cambria Math" w:eastAsia="Songti TC" w:hAnsi="Cambria Math"/>
                  <w:sz w:val="32"/>
                  <w:szCs w:val="32"/>
                </w:rPr>
                <ns3:t>*</ns3:t>
              </ns3:r>
            </ns3:sup>
          </ns3:sSubSup>
          <ns3:r>
            <ns3:rPr>
              <ns3:sty ns3:val="p"/>
            </ns3:rPr>
            <w:rPr>
              <w:rFonts w:ascii="Cambria Math" w:eastAsia="Songti TC" w:hAnsi="Cambria Math"/>
              <w:sz w:val="32"/>
              <w:szCs w:val="32"/>
            </w:rPr>
            <ns3:t>=arg</ns3:t>
          </ns3:r>
          <ns3:limLow>
            <ns3:limLowPr>
              <ns3:ctrlPr>
                <w:rPr>
                  <w:rFonts w:ascii="Cambria Math" w:eastAsia="Songti TC" w:hAnsi="Cambria Math"/>
                  <w:sz w:val="32"/>
                  <w:szCs w:val="32"/>
                </w:rPr>
              </ns3:ctrlPr>
            </ns3:limLowPr>
            <ns3:e>
              <ns3:r>
                <ns3:rPr>
                  <ns3:sty ns3:val="p"/>
                </ns3:rPr>
                <w:rPr>
                  <w:rFonts w:ascii="Cambria Math" w:eastAsia="Songti TC" w:hAnsi="Cambria Math"/>
                  <w:sz w:val="32"/>
                  <w:szCs w:val="32"/>
                </w:rPr>
                <ns3:t>max</ns3:t>
              </ns3:r>
            </ns3:e>
            <ns3:lim>
              <ns3:r>
                <w:rPr>
                  <w:rFonts w:ascii="Cambria Math" w:eastAsia="Songti TC" w:hAnsi="Cambria Math"/>
                  <w:sz w:val="32"/>
                  <w:szCs w:val="32"/>
                </w:rPr>
                <ns3:t>q</ns3:t>
              </ns3:r>
            </ns3:lim>
          </ns3:limLow>
          <ns3:sSub>
            <ns3:sSubPr>
              <ns3:ctrlPr>
                <w:rPr>
                  <w:rFonts w:ascii="Cambria Math" w:eastAsia="Songti TC" w:hAnsi="Cambria Math"/>
                  <w:sz w:val="32"/>
                  <w:szCs w:val="32"/>
                </w:rPr>
              </ns3:ctrlPr>
            </ns3:sSub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oMath>
      </ns3:oMathPara>
    </w:p>
    <w:p ns2:paraId="44AB6E1A" ns2:textId="77777777" w:rsidR="00F546BE" w:rsidRPr="00D86217" w:rsidRDefault="00000000">
      <w:pPr>
        <w:pStyle w:val="Heading3"/>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3.5.2 DP-Lagrangian</w:t>
      </w:r>
    </w:p>
    <w:p ns2:paraId="7FABC611"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 xml:space="preserve">由于原问题同时受到体积与重量两个约束，本文采用拉格朗日松弛方法，将重量约束并入目标函数。给定拉格朗日乘子 </w:t>
      </w:r>
      <w:r w:rsidRPr="00D86217">
        <w:rPr>
          <w:rFonts w:ascii="Songti TC" w:eastAsia="Songti TC" w:hAnsi="Songti TC"/>
          <w:sz w:val="32"/>
          <w:szCs w:val="32"/>
        </w:rPr>
        <w:t>λ</w:t>
      </w:r>
      <w:r w:rsidRPr="00D86217">
        <w:rPr>
          <w:rFonts w:ascii="Songti TC" w:eastAsia="Songti TC" w:hAnsi="Songti TC"/>
          <w:sz w:val="32"/>
          <w:szCs w:val="32"/>
          <w:lang w:eastAsia="zh-CN"/>
        </w:rPr>
        <w:t>，定义松弛收益为：</w:t>
      </w:r>
    </w:p>
    <w:p ns2:paraId="7BDA749B"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Sup>
            <ns3:sSubSupPr>
              <ns3:ctrlPr>
                <w:rPr>
                  <w:rFonts w:ascii="Cambria Math" w:eastAsia="Songti TC" w:hAnsi="Cambria Math"/>
                  <w:sz w:val="32"/>
                  <w:szCs w:val="32"/>
                </w:rPr>
              </ns3:ctrlPr>
            </ns3:sSubSup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λ</ns3:t>
              </ns3:r>
            </ns3:sup>
          </ns3:sSubSup>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G</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λ</ns3:t>
          </ns3:r>
          <ns3:sSubSup>
            <ns3:sSubSupPr>
              <ns3:ctrlPr>
                <w:rPr>
                  <w:rFonts w:ascii="Cambria Math" w:eastAsia="Songti TC" w:hAnsi="Cambria Math"/>
                  <w:sz w:val="32"/>
                  <w:szCs w:val="32"/>
                </w:rPr>
              </ns3:ctrlPr>
            </ns3:sSubSupPr>
            <ns3:e>
              <ns3:r>
                <w:rPr>
                  <w:rFonts w:ascii="Cambria Math" w:eastAsia="Songti TC" w:hAnsi="Cambria Math"/>
                  <w:sz w:val="32"/>
                  <w:szCs w:val="32"/>
                </w:rPr>
                <ns3:t>A</ns3:t>
              </ns3:r>
            </ns3:e>
            <ns3:sub>
              <ns3:r>
                <w:rPr>
                  <w:rFonts w:ascii="Cambria Math" w:eastAsia="Songti TC" w:hAnsi="Cambria Math"/>
                  <w:sz w:val="32"/>
                  <w:szCs w:val="32"/>
                </w:rPr>
                <ns3:t>i</ns3:t>
              </ns3:r>
              <ns3:r>
                <ns3:rPr>
                  <ns3:sty ns3:val="p"/>
                </ns3:rPr>
                <w:rPr>
                  <w:rFonts w:ascii="Cambria Math" w:eastAsia="Songti TC" w:hAnsi="Cambria Math"/>
                  <w:sz w:val="32"/>
                  <w:szCs w:val="32"/>
                </w:rPr>
                <ns3:t>,</ns3:t>
              </ns3:r>
              <ns3:r>
                <w:rPr>
                  <w:rFonts w:ascii="Cambria Math" w:eastAsia="Songti TC" w:hAnsi="Cambria Math"/>
                  <w:sz w:val="32"/>
                  <w:szCs w:val="32"/>
                </w:rPr>
                <ns3:t>q</ns3:t>
              </ns3:r>
            </ns3:sub>
            <ns3:sup>
              <ns3:r>
                <w:rPr>
                  <w:rFonts w:ascii="Cambria Math" w:eastAsia="Songti TC" w:hAnsi="Cambria Math"/>
                  <w:sz w:val="32"/>
                  <w:szCs w:val="32"/>
                </w:rPr>
                <ns3:t>W</ns3:t>
              </ns3:r>
            </ns3:sup>
          </ns3:sSubSup>
        </ns3:oMath>
      </ns3:oMathPara>
    </w:p>
    <w:p ns2:paraId="06B856DF" ns2:textId="77777777" w:rsidR="00F546BE" w:rsidRPr="00D86217" w:rsidRDefault="00000000">
      <w:pPr>
        <w:pStyle w:val="Heading3"/>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3.5.3 CP-SAT</w:t>
      </w:r>
    </w:p>
    <w:p ns2:paraId="68E96687"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为获得高质量参考解，本文进一步将联合模型直接表示为二进制离散整数规划，并调用</w:t>
      </w:r>
      <w:r w:rsidRPr="00D86217">
        <w:rPr>
          <w:rFonts w:ascii="Songti TC" w:eastAsia="Songti TC" w:hAnsi="Songti TC" w:cs="Times New Roman"/>
          <w:sz w:val="32"/>
          <w:szCs w:val="32"/>
          <w:lang w:eastAsia="zh-CN"/>
        </w:rPr>
        <w:t xml:space="preserve"> OR-Tools </w:t>
      </w:r>
      <w:r w:rsidRPr="00D86217">
        <w:rPr>
          <w:rFonts w:ascii="Songti TC" w:eastAsia="Songti TC" w:hAnsi="Songti TC" w:cs="Heiti TC" w:hint="eastAsia"/>
          <w:sz w:val="32"/>
          <w:szCs w:val="32"/>
          <w:lang w:eastAsia="zh-CN"/>
        </w:rPr>
        <w:t>的</w:t>
      </w:r>
      <w:r w:rsidRPr="00D86217">
        <w:rPr>
          <w:rFonts w:ascii="Songti TC" w:eastAsia="Songti TC" w:hAnsi="Songti TC" w:cs="Times New Roman"/>
          <w:sz w:val="32"/>
          <w:szCs w:val="32"/>
          <w:lang w:eastAsia="zh-CN"/>
        </w:rPr>
        <w:t xml:space="preserve"> CP-SAT </w:t>
      </w:r>
      <w:r w:rsidRPr="00D86217">
        <w:rPr>
          <w:rFonts w:ascii="Songti TC" w:eastAsia="Songti TC" w:hAnsi="Songti TC" w:cs="Heiti TC" w:hint="eastAsia"/>
          <w:sz w:val="32"/>
          <w:szCs w:val="32"/>
          <w:lang w:eastAsia="zh-CN"/>
        </w:rPr>
        <w:t>求解器进行求解。由于</w:t>
      </w:r>
      <w:r w:rsidRPr="00D86217">
        <w:rPr>
          <w:rFonts w:ascii="Songti TC" w:eastAsia="Songti TC" w:hAnsi="Songti TC" w:cs="Times New Roman"/>
          <w:sz w:val="32"/>
          <w:szCs w:val="32"/>
          <w:lang w:eastAsia="zh-CN"/>
        </w:rPr>
        <w:t xml:space="preserve"> CP-SAT </w:t>
      </w:r>
      <w:r w:rsidRPr="00D86217">
        <w:rPr>
          <w:rFonts w:ascii="Songti TC" w:eastAsia="Songti TC" w:hAnsi="Songti TC" w:cs="Heiti TC" w:hint="eastAsia"/>
          <w:sz w:val="32"/>
          <w:szCs w:val="32"/>
          <w:lang w:eastAsia="zh-CN"/>
        </w:rPr>
        <w:t>要求整数系数，程序中对收益和资源系数做了统一放缩。该方法可作为对原模型的直接求解方案，能够提供全局最优解或高质量可行解，但当</w:t>
      </w:r>
      <w:r w:rsidRPr="00D86217">
        <w:rPr>
          <w:rFonts w:ascii="Songti TC" w:eastAsia="Songti TC" w:hAnsi="Songti TC" w:cs="Times New Roman"/>
          <w:sz w:val="32"/>
          <w:szCs w:val="32"/>
          <w:lang w:eastAsia="zh-CN"/>
        </w:rPr>
        <w:t xml:space="preserve"> SKU </w:t>
      </w:r>
      <w:r w:rsidRPr="00D86217">
        <w:rPr>
          <w:rFonts w:ascii="Songti TC" w:eastAsia="Songti TC" w:hAnsi="Songti TC" w:cs="Heiti TC" w:hint="eastAsia"/>
          <w:sz w:val="32"/>
          <w:szCs w:val="32"/>
          <w:lang w:eastAsia="zh-CN"/>
        </w:rPr>
        <w:t>数量和库存档位增加时，计算成本可能上升。</w:t>
      </w:r>
    </w:p>
    <w:p ns2:paraId="5D0F27C0"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3.6 Literature-inspired 基线的构造与对比定位</w:t>
      </w:r>
    </w:p>
    <w:p ns2:paraId="2974E15E"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rPr>
        <w:t>本文用于对比的 baseline 属于 literature-inspired benchmark，而非 exact replication benchmark。其目的不是将外部论文原始代码直接迁移到当前数据集上运行，而是在统一前置仓问题设定下，引入一种具有文献动机的局部决策机制，从而与本文的联合优化框架形成机制层面的对照。</w:t>
      </w:r>
    </w:p>
    <w:p ns2:paraId="03F6AD37"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需要进一步说明的是，本文纳入 benchmark 的 hybrid_v2 并非单一步骤的边际密度贪心算法，而是一个两阶段的 hybrid 启发式流程。第一阶段借鉴相关文献中的代理选品思想，基于训练期需求出现概率、日均需求与累计销量构造 MCI 风格得分，对候选 SKU 进行排序并选出进入后续分配阶段的商品集合。第二阶段借鉴联合 assortment-inventory 文献中“替代驱动库存配置”的思想，在已选 SKU 集合上进一步进行库存深度配置：先依据 critical ratio 为各 SKU 生成初始库存水平，再构造基于价格距离、利润代理与受欢迎程度的外生替代矩阵，对缺货需求在已选商品之间的转移进行近似刻画，最后通过 substitution-aware local search 在双资源约束下迭代改进方案。</w:t>
      </w:r>
    </w:p>
    <w:p ns2:paraId="295FD732"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因此，本文中的 hybrid_v2 本质上代表的是一种“先选品、再在替代近似下做局部库存优化”的两阶段文献启发式，而不是单纯的库存增量密度贪心。本文将其纳入统一 benchmark，目的是在当前前置仓问题设定下，引入一种具有文献动机、可解释且在订单级评价上具有竞争力的外部对照方法。</w:t>
      </w:r>
    </w:p>
    <w:p ns2:paraId="5CCF6630"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该基线保留了启发式方法解释性强、运行速度较快的特征，同时又通过替代近似增强了对真实订单履约结构的刻画能力。也正因如此，本文比较的重点不是“原论文 A 与原论文 B 的代码复现”，而是“局部两阶段启发式配置”与“全局联合配置”两类方法在统一前置仓问题设定下的相对表现。</w:t>
      </w:r>
    </w:p>
    <w:p ns2:paraId="1B903527"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从代码来源看，本文中的对比文献模块并不是从外部论文作者处直接获取的原始实现，而是基于仓库现有研究目标独立编写并逐步修订形成的本地 baseline 脚本。其命名中的“Li + Transchel hybrid”体现的是算法思想来源：前一部分对应代理选品与排序逻辑，后一部分对应在替代情形下联合考虑 assortment 与 inventory 的研究视角；二者在当前项目中被重新组织为适配前置仓数据结构与双资源约束的可运行程序。</w:t>
      </w:r>
    </w:p>
    <w:p ns2:paraId="0653DA5C"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具体而言，该脚本之所以采用“文献思想映射”而非“原模型原样复现”的实现路径，主要有三个原因。第一，原始扫描数据能够提供订单明细与 SKU 销量，但无法完整支持部分外部文献所需的消费者效用、全状态替代矩阵或长期动态补货参数；第二，</w:t>
      </w:r>
      <w:r w:rsidRPr="00D86217">
        <w:rPr>
          <w:rFonts w:ascii="Songti TC" w:eastAsia="Songti TC" w:hAnsi="Songti TC"/>
          <w:sz w:val="32"/>
          <w:szCs w:val="32"/>
          <w:lang w:eastAsia="zh-CN"/>
        </w:rPr>
        <w:lastRenderedPageBreak/>
        <w:t>本文的目标是与主方法在统一问题口径下形成可比较 benchmark，而不是在不同问题定义之间做形式上的代码拼接；第三，前置仓场景同时受到体积与重量双约束影响，需对文献中的单容量或不同数据结构下的方法做重新工程化改写。因而，hybrid_v2 的代码应理解为“带有明确文献动机的本地化实现”，而非任何单篇论文的直接源码复刻。</w:t>
      </w:r>
    </w:p>
    <w:p ns2:paraId="59ECAFF2"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3.7 本文方法与文献基</w:t>
      </w:r>
      <w:r w:rsidRPr="00D86217">
        <w:rPr>
          <w:rFonts w:ascii="Songti TC" w:eastAsia="Songti TC" w:hAnsi="Songti TC" w:cs="Microsoft JhengHei" w:hint="eastAsia"/>
          <w:sz w:val="32"/>
          <w:szCs w:val="32"/>
          <w:lang w:eastAsia="zh-CN"/>
        </w:rPr>
        <w:t>线</w:t>
      </w:r>
      <w:r w:rsidRPr="00D86217">
        <w:rPr>
          <w:rFonts w:ascii="Songti TC" w:eastAsia="Songti TC" w:hAnsi="Songti TC" w:cs="Times New Roman"/>
          <w:sz w:val="32"/>
          <w:szCs w:val="32"/>
          <w:lang w:eastAsia="zh-CN"/>
        </w:rPr>
        <w:t>的差异</w:t>
      </w:r>
    </w:p>
    <w:p ns2:paraId="6826BD6A"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表 1 总结了本文联合优化框架与 literature-inspired 基线 hybrid_v2 之间的核心差异。还需指出，本文主方法与 hybrid_v2 虽然在数据输入、容量口径与滚动评估协议上已实现统一，但二者并非在完全相同的算法可行域中搜索。主方法直接在所有候选 SKU 与离散库存水平上进行统一求解；而 hybrid_v2 先在候选池中进行一次前置选品，再仅对入选 SKU 做库存配置，并采用替代近似驱动的局部搜索机制。因此，本文对 hybrid_v2 的定位应理解为“统一业务设定下的强启发式 benchmark”，而不是与主方法共享完全相同状态空间的同构求解器。本文比较的重点也因此</w:t>
      </w:r>
      <w:r w:rsidRPr="00D86217">
        <w:rPr>
          <w:rFonts w:ascii="Songti TC" w:eastAsia="Songti TC" w:hAnsi="Songti TC"/>
          <w:sz w:val="32"/>
          <w:szCs w:val="32"/>
          <w:lang w:eastAsia="zh-CN"/>
        </w:rPr>
        <w:lastRenderedPageBreak/>
        <w:t>落在不同决策机制的相对表现，而非对某一单一数学模型的严格同算法复现。</w:t>
      </w:r>
    </w:p>
    <w:tbl>
      <w:tblPr>
        <w:tblStyle w:val="TableGrid"/>
        <w:tblW w:w="0" w:type="auto"/>
        <w:jc w:val="center"/>
        <w:tblLook w:val="04A0" w:firstRow="1" w:lastRow="0" w:firstColumn="1" w:lastColumn="0" w:noHBand="0" w:noVBand="1"/>
      </w:tblPr>
      <w:tblGrid>
        <w:gridCol w:w="1417"/>
        <w:gridCol w:w="2381"/>
        <w:gridCol w:w="2268"/>
        <w:gridCol w:w="3005"/>
      </w:tblGrid>
      <w:tr w:rsidR="00F546BE" w:rsidRPr="00D86217" ns2:paraId="22AB7EDF" ns2:textId="77777777">
        <w:trPr>
          <w:jc w:val="center"/>
        </w:trPr>
        <w:tc>
          <w:tcPr>
            <w:tcW w:w="1417" w:type="dxa"/>
            <w:shd w:val="clear" w:color="auto" w:fill="D9EAF7"/>
            <w:vAlign w:val="center"/>
          </w:tcPr>
          <w:p ns2:paraId="313D77EE"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比较维度</w:t>
            </w:r>
          </w:p>
        </w:tc>
        <w:tc>
          <w:tcPr>
            <w:tcW w:w="2381" w:type="dxa"/>
            <w:shd w:val="clear" w:color="auto" w:fill="D9EAF7"/>
            <w:vAlign w:val="center"/>
          </w:tcPr>
          <w:p ns2:paraId="1E2EB8EF"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本文联合优化方法</w:t>
            </w:r>
          </w:p>
        </w:tc>
        <w:tc>
          <w:tcPr>
            <w:tcW w:w="2268" w:type="dxa"/>
            <w:shd w:val="clear" w:color="auto" w:fill="D9EAF7"/>
            <w:vAlign w:val="center"/>
          </w:tcPr>
          <w:p ns2:paraId="017969A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文献基线 hybrid_v2</w:t>
            </w:r>
          </w:p>
        </w:tc>
        <w:tc>
          <w:tcPr>
            <w:tcW w:w="3005" w:type="dxa"/>
            <w:shd w:val="clear" w:color="auto" w:fill="D9EAF7"/>
            <w:vAlign w:val="center"/>
          </w:tcPr>
          <w:p ns2:paraId="29D670A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解释</w:t>
            </w:r>
          </w:p>
        </w:tc>
      </w:tr>
      <w:tr w:rsidR="00F546BE" w:rsidRPr="00D86217" ns2:paraId="1237E22E" ns2:textId="77777777">
        <w:trPr>
          <w:jc w:val="center"/>
        </w:trPr>
        <w:tc>
          <w:tcPr>
            <w:tcW w:w="1417" w:type="dxa"/>
            <w:vAlign w:val="center"/>
          </w:tcPr>
          <w:p ns2:paraId="282F00B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决策结构</w:t>
            </w:r>
          </w:p>
        </w:tc>
        <w:tc>
          <w:tcPr>
            <w:tcW w:w="2381" w:type="dxa"/>
            <w:vAlign w:val="center"/>
          </w:tcPr>
          <w:p ns2:paraId="2E3AA064"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SKU 进入与库存水平一体化求解</w:t>
            </w:r>
          </w:p>
        </w:tc>
        <w:tc>
          <w:tcPr>
            <w:tcW w:w="2268" w:type="dxa"/>
            <w:vAlign w:val="center"/>
          </w:tcPr>
          <w:p ns2:paraId="1A27F7DB"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先选品，再做库存配置</w:t>
            </w:r>
          </w:p>
        </w:tc>
        <w:tc>
          <w:tcPr>
            <w:tcW w:w="3005" w:type="dxa"/>
            <w:vAlign w:val="center"/>
          </w:tcPr>
          <w:p ns2:paraId="0A5C4E63"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前者直接在统一状态空间内优化，后者为两阶段启发式</w:t>
            </w:r>
          </w:p>
        </w:tc>
      </w:tr>
      <w:tr w:rsidR="00F546BE" w:rsidRPr="00D86217" ns2:paraId="258F56B4" ns2:textId="77777777">
        <w:trPr>
          <w:jc w:val="center"/>
        </w:trPr>
        <w:tc>
          <w:tcPr>
            <w:tcW w:w="1417" w:type="dxa"/>
            <w:vAlign w:val="center"/>
          </w:tcPr>
          <w:p ns2:paraId="04ECAF0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搜索机制</w:t>
            </w:r>
          </w:p>
        </w:tc>
        <w:tc>
          <w:tcPr>
            <w:tcW w:w="2381" w:type="dxa"/>
            <w:vAlign w:val="center"/>
          </w:tcPr>
          <w:p ns2:paraId="0702829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全局状态选择</w:t>
            </w:r>
          </w:p>
        </w:tc>
        <w:tc>
          <w:tcPr>
            <w:tcW w:w="2268" w:type="dxa"/>
            <w:vAlign w:val="center"/>
          </w:tcPr>
          <w:p ns2:paraId="06595036"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局部搜索与迭代改进</w:t>
            </w:r>
          </w:p>
        </w:tc>
        <w:tc>
          <w:tcPr>
            <w:tcW w:w="3005" w:type="dxa"/>
            <w:vAlign w:val="center"/>
          </w:tcPr>
          <w:p ns2:paraId="2B66E5EC"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前者更能协调全局资源竞争，后者更强调可解释局部改进</w:t>
            </w:r>
          </w:p>
        </w:tc>
      </w:tr>
      <w:tr w:rsidR="00F546BE" w:rsidRPr="00D86217" ns2:paraId="6791D3D7" ns2:textId="77777777">
        <w:trPr>
          <w:jc w:val="center"/>
        </w:trPr>
        <w:tc>
          <w:tcPr>
            <w:tcW w:w="1417" w:type="dxa"/>
            <w:vAlign w:val="center"/>
          </w:tcPr>
          <w:p ns2:paraId="06FE0FE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替代行为处理</w:t>
            </w:r>
          </w:p>
        </w:tc>
        <w:tc>
          <w:tcPr>
            <w:tcW w:w="2381" w:type="dxa"/>
            <w:vAlign w:val="center"/>
          </w:tcPr>
          <w:p ns2:paraId="5BB5885E"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未显式建模替代</w:t>
            </w:r>
          </w:p>
        </w:tc>
        <w:tc>
          <w:tcPr>
            <w:tcW w:w="2268" w:type="dxa"/>
            <w:vAlign w:val="center"/>
          </w:tcPr>
          <w:p ns2:paraId="5E3D661C"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以外生替代矩阵近似刻画</w:t>
            </w:r>
          </w:p>
        </w:tc>
        <w:tc>
          <w:tcPr>
            <w:tcW w:w="3005" w:type="dxa"/>
            <w:vAlign w:val="center"/>
          </w:tcPr>
          <w:p ns2:paraId="74832E3D"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后者更贴近订单级缺货转移逻辑，但仍为近似处理</w:t>
            </w:r>
          </w:p>
        </w:tc>
      </w:tr>
      <w:tr w:rsidR="00F546BE" w:rsidRPr="00D86217" ns2:paraId="4934AC3E" ns2:textId="77777777">
        <w:trPr>
          <w:jc w:val="center"/>
        </w:trPr>
        <w:tc>
          <w:tcPr>
            <w:tcW w:w="1417" w:type="dxa"/>
            <w:vAlign w:val="center"/>
          </w:tcPr>
          <w:p ns2:paraId="6078DEB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固定成本处理</w:t>
            </w:r>
          </w:p>
        </w:tc>
        <w:tc>
          <w:tcPr>
            <w:tcW w:w="2381" w:type="dxa"/>
            <w:vAlign w:val="center"/>
          </w:tcPr>
          <w:p ns2:paraId="1804AC6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直接进入 G_{i,q}</w:t>
            </w:r>
          </w:p>
        </w:tc>
        <w:tc>
          <w:tcPr>
            <w:tcW w:w="2268" w:type="dxa"/>
            <w:vAlign w:val="center"/>
          </w:tcPr>
          <w:p ns2:paraId="0656E5C8"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在容量与利润评价中统一计</w:t>
            </w:r>
            <w:r w:rsidRPr="00D86217">
              <w:rPr>
                <w:rFonts w:ascii="Songti TC" w:eastAsia="Songti TC" w:hAnsi="Songti TC"/>
                <w:sz w:val="32"/>
                <w:szCs w:val="32"/>
                <w:lang w:eastAsia="zh-CN"/>
              </w:rPr>
              <w:lastRenderedPageBreak/>
              <w:t>入</w:t>
            </w:r>
          </w:p>
        </w:tc>
        <w:tc>
          <w:tcPr>
            <w:tcW w:w="3005" w:type="dxa"/>
            <w:vAlign w:val="center"/>
          </w:tcPr>
          <w:p ns2:paraId="4EB9CE85"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lastRenderedPageBreak/>
              <w:t>两者均考虑上架固定成本，但实现路</w:t>
            </w:r>
            <w:r w:rsidRPr="00D86217">
              <w:rPr>
                <w:rFonts w:ascii="Songti TC" w:eastAsia="Songti TC" w:hAnsi="Songti TC"/>
                <w:sz w:val="32"/>
                <w:szCs w:val="32"/>
                <w:lang w:eastAsia="zh-CN"/>
              </w:rPr>
              <w:lastRenderedPageBreak/>
              <w:t>径不同</w:t>
            </w:r>
          </w:p>
        </w:tc>
      </w:tr>
      <w:tr w:rsidR="00F546BE" w:rsidRPr="00D86217" ns2:paraId="1980E273" ns2:textId="77777777">
        <w:trPr>
          <w:jc w:val="center"/>
        </w:trPr>
        <w:tc>
          <w:tcPr>
            <w:tcW w:w="1417" w:type="dxa"/>
            <w:vAlign w:val="center"/>
          </w:tcPr>
          <w:p ns2:paraId="04C09DE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双资源约束</w:t>
            </w:r>
          </w:p>
        </w:tc>
        <w:tc>
          <w:tcPr>
            <w:tcW w:w="2381" w:type="dxa"/>
            <w:vAlign w:val="center"/>
          </w:tcPr>
          <w:p ns2:paraId="6C7605B9"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显式保留体积与重量双约束</w:t>
            </w:r>
          </w:p>
        </w:tc>
        <w:tc>
          <w:tcPr>
            <w:tcW w:w="2268" w:type="dxa"/>
            <w:vAlign w:val="center"/>
          </w:tcPr>
          <w:p ns2:paraId="06C67881"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同样保留体积与重量双约束</w:t>
            </w:r>
          </w:p>
        </w:tc>
        <w:tc>
          <w:tcPr>
            <w:tcW w:w="3005" w:type="dxa"/>
            <w:vAlign w:val="center"/>
          </w:tcPr>
          <w:p ns2:paraId="0709AEBB"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容量口径已经与主方法统一</w:t>
            </w:r>
          </w:p>
        </w:tc>
      </w:tr>
      <w:tr w:rsidR="00F546BE" w:rsidRPr="00D86217" ns2:paraId="2086BA8C" ns2:textId="77777777">
        <w:trPr>
          <w:jc w:val="center"/>
        </w:trPr>
        <w:tc>
          <w:tcPr>
            <w:tcW w:w="1417" w:type="dxa"/>
            <w:vAlign w:val="center"/>
          </w:tcPr>
          <w:p ns2:paraId="007C173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适用场景</w:t>
            </w:r>
          </w:p>
        </w:tc>
        <w:tc>
          <w:tcPr>
            <w:tcW w:w="2381" w:type="dxa"/>
            <w:vAlign w:val="center"/>
          </w:tcPr>
          <w:p ns2:paraId="33927C3B" ns2:textId="77777777" w:rsidR="00AC1896"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更适合统一求解与结构比较</w:t>
            </w:r>
          </w:p>
        </w:tc>
        <w:tc>
          <w:tcPr>
            <w:tcW w:w="2268" w:type="dxa"/>
            <w:vAlign w:val="center"/>
          </w:tcPr>
          <w:p ns2:paraId="15B4BD9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更适合作为强启发式 benchmark</w:t>
            </w:r>
          </w:p>
        </w:tc>
        <w:tc>
          <w:tcPr>
            <w:tcW w:w="3005" w:type="dxa"/>
            <w:vAlign w:val="center"/>
          </w:tcPr>
          <w:p ns2:paraId="51D98316"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二者功能定位不同</w:t>
            </w:r>
          </w:p>
        </w:tc>
      </w:tr>
    </w:tbl>
    <w:p ns2:paraId="6BAF5D08"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 xml:space="preserve">4 </w:t>
      </w:r>
      <w:r w:rsidRPr="00D86217">
        <w:rPr>
          <w:rFonts w:ascii="Songti TC" w:eastAsia="Songti TC" w:hAnsi="Songti TC" w:cs="Microsoft JhengHei" w:hint="eastAsia"/>
          <w:sz w:val="32"/>
          <w:szCs w:val="32"/>
          <w:lang w:eastAsia="zh-CN"/>
        </w:rPr>
        <w:t>实验设计</w:t>
      </w:r>
    </w:p>
    <w:p ns2:paraId="4190E362"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4.1 数据来源与</w:t>
      </w:r>
      <w:r w:rsidRPr="00D86217">
        <w:rPr>
          <w:rFonts w:ascii="Songti TC" w:eastAsia="Songti TC" w:hAnsi="Songti TC" w:cs="Microsoft JhengHei" w:hint="eastAsia"/>
          <w:sz w:val="32"/>
          <w:szCs w:val="32"/>
          <w:lang w:eastAsia="zh-CN"/>
        </w:rPr>
        <w:t>预处</w:t>
      </w:r>
      <w:r w:rsidRPr="00D86217">
        <w:rPr>
          <w:rFonts w:ascii="Songti TC" w:eastAsia="Songti TC" w:hAnsi="Songti TC" w:cs="Times New Roman"/>
          <w:sz w:val="32"/>
          <w:szCs w:val="32"/>
          <w:lang w:eastAsia="zh-CN"/>
        </w:rPr>
        <w:t>理</w:t>
      </w:r>
    </w:p>
    <w:p ns2:paraId="6E6FFA98"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rPr>
        <w:t>实验使用两类核心文件：sku_params.csv 与 daily_demand.csv。前者包含 500 个 SKU 的价格代理参数、分布参数与资源占用参数；后者包含 365 天、500 个 SKU 的历史日需求数据。</w:t>
      </w:r>
      <w:r w:rsidRPr="00D86217">
        <w:rPr>
          <w:rFonts w:ascii="Songti TC" w:eastAsia="Songti TC" w:hAnsi="Songti TC"/>
          <w:sz w:val="32"/>
          <w:szCs w:val="32"/>
          <w:lang w:eastAsia="zh-CN"/>
        </w:rPr>
        <w:t xml:space="preserve">本文先将日需求按周聚合，得到 53 个周样本，再以滚动窗口方式估计需求参数并生成测试方案。需要说明的是，上述模型输入文件并非原始扫描数据的直接导出，而是经过统一清洗与参数估计流程后得到。原始 scanner_data.csv 共包含 131,706 条交易行、5,242 个 SKU 与 64,682 个订单，时间范围为 2016 年 1 月 2 日至 2016 </w:t>
      </w:r>
      <w:r w:rsidRPr="00D86217">
        <w:rPr>
          <w:rFonts w:ascii="Songti TC" w:eastAsia="Songti TC" w:hAnsi="Songti TC"/>
          <w:sz w:val="32"/>
          <w:szCs w:val="32"/>
          <w:lang w:eastAsia="zh-CN"/>
        </w:rPr>
        <w:lastRenderedPageBreak/>
        <w:t>年 12 月 31 日。为提高需求估计与实验评估的稳定性，本文首先删除非整数销量记录，以剔除称重商品对离散库存决策的干扰；随后删除销量位于 99.9% 分位数以上的极端大单，以及单价为 0 或位于单价分布极端尾部的异常记录。经清洗后，样本保留 131,071 条交易行、5,203 个 SKU 与 64,432 个订单。</w:t>
      </w:r>
    </w:p>
    <w:p ns2:paraId="58ED8ACF"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在候选 SKU 的构造上，本文先按 SKU 统计出现天数与累计销量，仅保留出现天数不少于 30 天且累计销量不少于 50 件的商品，以避免极低频、长尾或偶发性商品主导参数估计。满足该条件的 SKU 共 767 个，其销量覆盖率约为 68.47%。在此基础上，进一步按累计销量排序截取 Top 500，形成本文的统一候选池。daily_demand.csv 即由该候选池上的日销量宽表构造而成，共包含 365 个日样本；按周聚合后得到 53 个周样本。</w:t>
      </w:r>
    </w:p>
    <w:p ns2:paraId="2BF30F20"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 xml:space="preserve">从需求分布特征看，数据中同时存在适合泊松分布与适合负二项分布刻画的 SKU；其中，use_negbin = 1 的 SKU 共 345 个，说明高波动 SKU 在样本中占比较高。为了避免低销量长尾商品对结果产生过强干扰，baseline 与 high volatility 场景聚焦于 Top </w:t>
      </w:r>
      <w:r w:rsidRPr="00D86217">
        <w:rPr>
          <w:rFonts w:ascii="Songti TC" w:eastAsia="Songti TC" w:hAnsi="Songti TC"/>
          <w:sz w:val="32"/>
          <w:szCs w:val="32"/>
          <w:lang w:eastAsia="zh-CN"/>
        </w:rPr>
        <w:lastRenderedPageBreak/>
        <w:t>200 SKU，large scale 场景扩展到 Top 500 SKU。Top 200 SKU 对最终候选池总销量的覆盖占比约为 69.32%。</w:t>
      </w:r>
    </w:p>
    <w:p ns2:paraId="269815FE" ns2:textId="77777777" w:rsidR="00AC1896"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值得强调的是，sku_params.csv 中的若干参数属于运营代理变量而非企业真实会计口径。具体而言，收益参数 u_i、持有成本 h_i、缺货惩罚 b_i 由历史价格信息按统一规则缩放构造，上架固定成本 f_i 采用统一常数设定；体积参数 v_i 与重量参数 w_i 也并非实测仓储数据，而是基于价格分层生成的资源占用代理值。因而，本文更关注不同算法在同一参数体系下的相对优劣，而非利润绝对值的精确业务解释。</w:t>
      </w:r>
    </w:p>
    <w:p ns2:paraId="3390832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表</w:t>
      </w:r>
      <w:r w:rsidRPr="00D86217">
        <w:rPr>
          <w:rFonts w:ascii="Songti TC" w:eastAsia="Songti TC" w:hAnsi="Songti TC" w:cs="Times New Roman"/>
          <w:sz w:val="32"/>
          <w:szCs w:val="32"/>
          <w:lang w:eastAsia="zh-CN"/>
        </w:rPr>
        <w:t xml:space="preserve"> 2 </w:t>
      </w:r>
      <w:r w:rsidRPr="00D86217">
        <w:rPr>
          <w:rFonts w:ascii="Songti TC" w:eastAsia="Songti TC" w:hAnsi="Songti TC" w:cs="Heiti TC" w:hint="eastAsia"/>
          <w:sz w:val="32"/>
          <w:szCs w:val="32"/>
          <w:lang w:eastAsia="zh-CN"/>
        </w:rPr>
        <w:t>给出了实验数据与滚动窗口设置。</w:t>
      </w:r>
    </w:p>
    <w:tbl>
      <w:tblPr>
        <w:tblStyle w:val="TableGrid"/>
        <w:tblW w:w="0" w:type="auto"/>
        <w:jc w:val="center"/>
        <w:tblLook w:val="04A0" w:firstRow="1" w:lastRow="0" w:firstColumn="1" w:lastColumn="0" w:noHBand="0" w:noVBand="1"/>
      </w:tblPr>
      <w:tblGrid>
        <w:gridCol w:w="4605"/>
        <w:gridCol w:w="4625"/>
      </w:tblGrid>
      <w:tr w:rsidR="00F546BE" w:rsidRPr="00D86217" ns2:paraId="6BFC65AC" ns2:textId="77777777">
        <w:trPr>
          <w:jc w:val="center"/>
        </w:trPr>
        <w:tc>
          <w:tcPr>
            <w:tcW w:w="4649" w:type="dxa"/>
            <w:shd w:val="clear" w:color="auto" w:fill="D9EAF7"/>
            <w:vAlign w:val="center"/>
          </w:tcPr>
          <w:p ns2:paraId="4A04F6E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项目</w:t>
            </w:r>
          </w:p>
        </w:tc>
        <w:tc>
          <w:tcPr>
            <w:tcW w:w="4649" w:type="dxa"/>
            <w:shd w:val="clear" w:color="auto" w:fill="D9EAF7"/>
            <w:vAlign w:val="center"/>
          </w:tcPr>
          <w:p ns2:paraId="3B81573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取值</w:t>
            </w:r>
          </w:p>
        </w:tc>
      </w:tr>
      <w:tr w:rsidR="00F546BE" w:rsidRPr="00D86217" ns2:paraId="11747D94" ns2:textId="77777777">
        <w:trPr>
          <w:jc w:val="center"/>
        </w:trPr>
        <w:tc>
          <w:tcPr>
            <w:tcW w:w="4649" w:type="dxa"/>
            <w:vAlign w:val="center"/>
          </w:tcPr>
          <w:p ns2:paraId="4CD55F42"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 xml:space="preserve">SKU </w:t>
            </w:r>
            <w:r w:rsidRPr="00D86217">
              <w:rPr>
                <w:rFonts w:ascii="Songti TC" w:eastAsia="Songti TC" w:hAnsi="Songti TC" w:cs="Heiti TC" w:hint="eastAsia"/>
                <w:sz w:val="32"/>
                <w:szCs w:val="32"/>
              </w:rPr>
              <w:t>参数文件</w:t>
            </w:r>
          </w:p>
        </w:tc>
        <w:tc>
          <w:tcPr>
            <w:tcW w:w="4649" w:type="dxa"/>
            <w:vAlign w:val="center"/>
          </w:tcPr>
          <w:p ns2:paraId="30B456D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sku_params.csv</w:t>
            </w:r>
          </w:p>
        </w:tc>
      </w:tr>
      <w:tr w:rsidR="00F546BE" w:rsidRPr="00D86217" ns2:paraId="20E8A6D0" ns2:textId="77777777">
        <w:trPr>
          <w:jc w:val="center"/>
        </w:trPr>
        <w:tc>
          <w:tcPr>
            <w:tcW w:w="4649" w:type="dxa"/>
            <w:vAlign w:val="center"/>
          </w:tcPr>
          <w:p ns2:paraId="3D0259D4"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日需求文件</w:t>
            </w:r>
          </w:p>
        </w:tc>
        <w:tc>
          <w:tcPr>
            <w:tcW w:w="4649" w:type="dxa"/>
            <w:vAlign w:val="center"/>
          </w:tcPr>
          <w:p ns2:paraId="1E3CE34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daily_demand.csv</w:t>
            </w:r>
          </w:p>
        </w:tc>
      </w:tr>
      <w:tr w:rsidR="00F546BE" w:rsidRPr="00D86217" ns2:paraId="0E3A94F2" ns2:textId="77777777">
        <w:trPr>
          <w:jc w:val="center"/>
        </w:trPr>
        <w:tc>
          <w:tcPr>
            <w:tcW w:w="4649" w:type="dxa"/>
            <w:vAlign w:val="center"/>
          </w:tcPr>
          <w:p ns2:paraId="185448FD"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 xml:space="preserve">SKU </w:t>
            </w:r>
            <w:r w:rsidRPr="00D86217">
              <w:rPr>
                <w:rFonts w:ascii="Songti TC" w:eastAsia="Songti TC" w:hAnsi="Songti TC" w:cs="Heiti TC" w:hint="eastAsia"/>
                <w:sz w:val="32"/>
                <w:szCs w:val="32"/>
              </w:rPr>
              <w:t>数量</w:t>
            </w:r>
          </w:p>
        </w:tc>
        <w:tc>
          <w:tcPr>
            <w:tcW w:w="4649" w:type="dxa"/>
            <w:vAlign w:val="center"/>
          </w:tcPr>
          <w:p ns2:paraId="7480DA1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500</w:t>
            </w:r>
          </w:p>
        </w:tc>
      </w:tr>
      <w:tr w:rsidR="00F546BE" w:rsidRPr="00D86217" ns2:paraId="58287B5D" ns2:textId="77777777">
        <w:trPr>
          <w:jc w:val="center"/>
        </w:trPr>
        <w:tc>
          <w:tcPr>
            <w:tcW w:w="4649" w:type="dxa"/>
            <w:vAlign w:val="center"/>
          </w:tcPr>
          <w:p ns2:paraId="7870C86D"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日样本数</w:t>
            </w:r>
          </w:p>
        </w:tc>
        <w:tc>
          <w:tcPr>
            <w:tcW w:w="4649" w:type="dxa"/>
            <w:vAlign w:val="center"/>
          </w:tcPr>
          <w:p ns2:paraId="19C5E68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365</w:t>
            </w:r>
          </w:p>
        </w:tc>
      </w:tr>
      <w:tr w:rsidR="00F546BE" w:rsidRPr="00D86217" ns2:paraId="1ED05A4E" ns2:textId="77777777">
        <w:trPr>
          <w:jc w:val="center"/>
        </w:trPr>
        <w:tc>
          <w:tcPr>
            <w:tcW w:w="4649" w:type="dxa"/>
            <w:vAlign w:val="center"/>
          </w:tcPr>
          <w:p ns2:paraId="241187D6"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lastRenderedPageBreak/>
              <w:t>周样本数</w:t>
            </w:r>
          </w:p>
        </w:tc>
        <w:tc>
          <w:tcPr>
            <w:tcW w:w="4649" w:type="dxa"/>
            <w:vAlign w:val="center"/>
          </w:tcPr>
          <w:p ns2:paraId="4F94E98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53</w:t>
            </w:r>
          </w:p>
        </w:tc>
      </w:tr>
      <w:tr w:rsidR="00F546BE" w:rsidRPr="00D86217" ns2:paraId="1BF52F24" ns2:textId="77777777">
        <w:trPr>
          <w:jc w:val="center"/>
        </w:trPr>
        <w:tc>
          <w:tcPr>
            <w:tcW w:w="4649" w:type="dxa"/>
            <w:vAlign w:val="center"/>
          </w:tcPr>
          <w:p ns2:paraId="3A252FE3"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训练窗口长度</w:t>
            </w:r>
          </w:p>
        </w:tc>
        <w:tc>
          <w:tcPr>
            <w:tcW w:w="4649" w:type="dxa"/>
            <w:vAlign w:val="center"/>
          </w:tcPr>
          <w:p ns2:paraId="3FAAF13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 xml:space="preserve">8 </w:t>
            </w:r>
            <w:r w:rsidRPr="00D86217">
              <w:rPr>
                <w:rFonts w:ascii="Songti TC" w:eastAsia="Songti TC" w:hAnsi="Songti TC" w:cs="Heiti TC" w:hint="eastAsia"/>
                <w:sz w:val="32"/>
                <w:szCs w:val="32"/>
              </w:rPr>
              <w:t>周</w:t>
            </w:r>
          </w:p>
        </w:tc>
      </w:tr>
      <w:tr w:rsidR="00F546BE" w:rsidRPr="00D86217" ns2:paraId="7C18DA01" ns2:textId="77777777">
        <w:trPr>
          <w:jc w:val="center"/>
        </w:trPr>
        <w:tc>
          <w:tcPr>
            <w:tcW w:w="4649" w:type="dxa"/>
            <w:vAlign w:val="center"/>
          </w:tcPr>
          <w:p ns2:paraId="281E2F3A"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测试窗口长度</w:t>
            </w:r>
          </w:p>
        </w:tc>
        <w:tc>
          <w:tcPr>
            <w:tcW w:w="4649" w:type="dxa"/>
            <w:vAlign w:val="center"/>
          </w:tcPr>
          <w:p ns2:paraId="290691E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 xml:space="preserve">1 </w:t>
            </w:r>
            <w:r w:rsidRPr="00D86217">
              <w:rPr>
                <w:rFonts w:ascii="Songti TC" w:eastAsia="Songti TC" w:hAnsi="Songti TC" w:cs="Heiti TC" w:hint="eastAsia"/>
                <w:sz w:val="32"/>
                <w:szCs w:val="32"/>
              </w:rPr>
              <w:t>周</w:t>
            </w:r>
          </w:p>
        </w:tc>
      </w:tr>
      <w:tr w:rsidR="00F546BE" w:rsidRPr="00D86217" ns2:paraId="2D603DC1" ns2:textId="77777777">
        <w:trPr>
          <w:jc w:val="center"/>
        </w:trPr>
        <w:tc>
          <w:tcPr>
            <w:tcW w:w="4649" w:type="dxa"/>
            <w:vAlign w:val="center"/>
          </w:tcPr>
          <w:p ns2:paraId="60705F4F"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滚动窗口数</w:t>
            </w:r>
          </w:p>
        </w:tc>
        <w:tc>
          <w:tcPr>
            <w:tcW w:w="4649" w:type="dxa"/>
            <w:vAlign w:val="center"/>
          </w:tcPr>
          <w:p ns2:paraId="520538C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45</w:t>
            </w:r>
          </w:p>
        </w:tc>
      </w:tr>
      <w:tr w:rsidR="00F546BE" w:rsidRPr="00D86217" ns2:paraId="248ACC32" ns2:textId="77777777">
        <w:trPr>
          <w:jc w:val="center"/>
        </w:trPr>
        <w:tc>
          <w:tcPr>
            <w:tcW w:w="4649" w:type="dxa"/>
            <w:vAlign w:val="center"/>
          </w:tcPr>
          <w:p ns2:paraId="602DDA92"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 xml:space="preserve">Top 200 </w:t>
            </w:r>
            <w:r w:rsidRPr="00D86217">
              <w:rPr>
                <w:rFonts w:ascii="Songti TC" w:eastAsia="Songti TC" w:hAnsi="Songti TC" w:cs="Heiti TC" w:hint="eastAsia"/>
                <w:sz w:val="32"/>
                <w:szCs w:val="32"/>
              </w:rPr>
              <w:t>销量覆盖占比</w:t>
            </w:r>
          </w:p>
        </w:tc>
        <w:tc>
          <w:tcPr>
            <w:tcW w:w="4649" w:type="dxa"/>
            <w:vAlign w:val="center"/>
          </w:tcPr>
          <w:p ns2:paraId="5A26FB7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69.32%</w:t>
            </w:r>
          </w:p>
        </w:tc>
      </w:tr>
    </w:tbl>
    <w:p ns2:paraId="7BC84F36" ns2:textId="77777777" w:rsidR="00F546BE" w:rsidRPr="00D86217" w:rsidRDefault="00000000">
      <w:pPr>
        <w:pStyle w:val="Heading2"/>
        <w:rPr>
          <w:rFonts w:ascii="Songti TC" w:eastAsia="Songti TC" w:hAnsi="Songti TC" w:cs="Times New Roman"/>
          <w:sz w:val="32"/>
          <w:szCs w:val="32"/>
        </w:rPr>
      </w:pPr>
      <w:r w:rsidRPr="00D86217">
        <w:rPr>
          <w:rFonts w:ascii="Songti TC" w:eastAsia="Songti TC" w:hAnsi="Songti TC" w:cs="Times New Roman"/>
          <w:sz w:val="32"/>
          <w:szCs w:val="32"/>
        </w:rPr>
        <w:t xml:space="preserve">4.2 </w:t>
      </w:r>
      <w:r w:rsidRPr="00D86217">
        <w:rPr>
          <w:rFonts w:ascii="Songti TC" w:eastAsia="Songti TC" w:hAnsi="Songti TC" w:cs="Microsoft JhengHei" w:hint="eastAsia"/>
          <w:sz w:val="32"/>
          <w:szCs w:val="32"/>
        </w:rPr>
        <w:t>场</w:t>
      </w:r>
      <w:r w:rsidRPr="00D86217">
        <w:rPr>
          <w:rFonts w:ascii="Songti TC" w:eastAsia="Songti TC" w:hAnsi="Songti TC" w:cs="Times New Roman"/>
          <w:sz w:val="32"/>
          <w:szCs w:val="32"/>
        </w:rPr>
        <w:t>景</w:t>
      </w:r>
      <w:r w:rsidRPr="00D86217">
        <w:rPr>
          <w:rFonts w:ascii="Songti TC" w:eastAsia="Songti TC" w:hAnsi="Songti TC" w:cs="Microsoft JhengHei" w:hint="eastAsia"/>
          <w:sz w:val="32"/>
          <w:szCs w:val="32"/>
        </w:rPr>
        <w:t>设</w:t>
      </w:r>
      <w:r w:rsidRPr="00D86217">
        <w:rPr>
          <w:rFonts w:ascii="Songti TC" w:eastAsia="Songti TC" w:hAnsi="Songti TC" w:cs="Times New Roman"/>
          <w:sz w:val="32"/>
          <w:szCs w:val="32"/>
        </w:rPr>
        <w:t>置与</w:t>
      </w:r>
      <w:r w:rsidRPr="00D86217">
        <w:rPr>
          <w:rFonts w:ascii="Songti TC" w:eastAsia="Songti TC" w:hAnsi="Songti TC" w:cs="Microsoft JhengHei" w:hint="eastAsia"/>
          <w:sz w:val="32"/>
          <w:szCs w:val="32"/>
        </w:rPr>
        <w:t>评</w:t>
      </w:r>
      <w:r w:rsidRPr="00D86217">
        <w:rPr>
          <w:rFonts w:ascii="Songti TC" w:eastAsia="Songti TC" w:hAnsi="Songti TC" w:cs="Times New Roman"/>
          <w:sz w:val="32"/>
          <w:szCs w:val="32"/>
        </w:rPr>
        <w:t>价指</w:t>
      </w:r>
      <w:r w:rsidRPr="00D86217">
        <w:rPr>
          <w:rFonts w:ascii="Songti TC" w:eastAsia="Songti TC" w:hAnsi="Songti TC" w:cs="Microsoft JhengHei" w:hint="eastAsia"/>
          <w:sz w:val="32"/>
          <w:szCs w:val="32"/>
        </w:rPr>
        <w:t>标</w:t>
      </w:r>
    </w:p>
    <w:p ns2:paraId="4E93BB89"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sz w:val="32"/>
          <w:szCs w:val="32"/>
        </w:rPr>
        <w:t>为从不同业务环境下考察算法表现，本文设计三类实验场景：Baseline 场景选择销量排名靠前的 200 个 SKU，容量设为 V_cap = 800、W_cap = 400；High Volatility 场景只保留需求波动较高且适合用负二项分布刻画的 SKU，并从中取 Top 200，容量与 baseline 相同；Large Scale 场景扩展为 Top 500 SKU，同时将容量收紧为 V_cap = 600、W_cap = 300。</w:t>
      </w:r>
    </w:p>
    <w:p ns2:paraId="148E466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表</w:t>
      </w:r>
      <w:r w:rsidRPr="00D86217">
        <w:rPr>
          <w:rFonts w:ascii="Songti TC" w:eastAsia="Songti TC" w:hAnsi="Songti TC" w:cs="Times New Roman"/>
          <w:sz w:val="32"/>
          <w:szCs w:val="32"/>
          <w:lang w:eastAsia="zh-CN"/>
        </w:rPr>
        <w:t xml:space="preserve"> 3 </w:t>
      </w:r>
      <w:r w:rsidRPr="00D86217">
        <w:rPr>
          <w:rFonts w:ascii="Songti TC" w:eastAsia="Songti TC" w:hAnsi="Songti TC" w:cs="Heiti TC" w:hint="eastAsia"/>
          <w:sz w:val="32"/>
          <w:szCs w:val="32"/>
          <w:lang w:eastAsia="zh-CN"/>
        </w:rPr>
        <w:t>列示了三类场景的配置。</w:t>
      </w:r>
    </w:p>
    <w:tbl>
      <w:tblPr>
        <w:tblStyle w:val="TableGrid"/>
        <w:tblW w:w="0" w:type="auto"/>
        <w:jc w:val="center"/>
        <w:tblLook w:val="04A0" w:firstRow="1" w:lastRow="0" w:firstColumn="1" w:lastColumn="0" w:noHBand="0" w:noVBand="1"/>
      </w:tblPr>
      <w:tblGrid>
        <w:gridCol w:w="1854"/>
        <w:gridCol w:w="1852"/>
        <w:gridCol w:w="1842"/>
        <w:gridCol w:w="1842"/>
        <w:gridCol w:w="1840"/>
      </w:tblGrid>
      <w:tr w:rsidR="00F546BE" w:rsidRPr="00D86217" ns2:paraId="1D407259" ns2:textId="77777777">
        <w:trPr>
          <w:jc w:val="center"/>
        </w:trPr>
        <w:tc>
          <w:tcPr>
            <w:tcW w:w="1860" w:type="dxa"/>
            <w:shd w:val="clear" w:color="auto" w:fill="D9EAF7"/>
            <w:vAlign w:val="center"/>
          </w:tcPr>
          <w:p ns2:paraId="313053E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场景</w:t>
            </w:r>
          </w:p>
        </w:tc>
        <w:tc>
          <w:tcPr>
            <w:tcW w:w="1860" w:type="dxa"/>
            <w:shd w:val="clear" w:color="auto" w:fill="D9EAF7"/>
            <w:vAlign w:val="center"/>
          </w:tcPr>
          <w:p ns2:paraId="2610C23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b/>
                <w:sz w:val="32"/>
                <w:szCs w:val="32"/>
              </w:rPr>
              <w:t xml:space="preserve">SKU </w:t>
            </w:r>
            <w:r w:rsidRPr="00D86217">
              <w:rPr>
                <w:rFonts w:ascii="Songti TC" w:eastAsia="Songti TC" w:hAnsi="Songti TC" w:cs="Heiti TC" w:hint="eastAsia"/>
                <w:b/>
                <w:sz w:val="32"/>
                <w:szCs w:val="32"/>
              </w:rPr>
              <w:t>范围</w:t>
            </w:r>
          </w:p>
        </w:tc>
        <w:tc>
          <w:tcPr>
            <w:tcW w:w="1860" w:type="dxa"/>
            <w:shd w:val="clear" w:color="auto" w:fill="D9EAF7"/>
            <w:vAlign w:val="center"/>
          </w:tcPr>
          <w:p ns2:paraId="6BF81312"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容量</w:t>
            </w:r>
            <w:r w:rsidRPr="00D86217">
              <w:rPr>
                <w:rFonts w:ascii="Songti TC" w:eastAsia="Songti TC" w:hAnsi="Songti TC" w:cs="Times New Roman"/>
                <w:b/>
                <w:sz w:val="32"/>
                <w:szCs w:val="32"/>
              </w:rPr>
              <w:t xml:space="preserve"> V</w:t>
            </w:r>
          </w:p>
        </w:tc>
        <w:tc>
          <w:tcPr>
            <w:tcW w:w="1860" w:type="dxa"/>
            <w:shd w:val="clear" w:color="auto" w:fill="D9EAF7"/>
            <w:vAlign w:val="center"/>
          </w:tcPr>
          <w:p ns2:paraId="270077E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容量</w:t>
            </w:r>
            <w:r w:rsidRPr="00D86217">
              <w:rPr>
                <w:rFonts w:ascii="Songti TC" w:eastAsia="Songti TC" w:hAnsi="Songti TC" w:cs="Times New Roman"/>
                <w:b/>
                <w:sz w:val="32"/>
                <w:szCs w:val="32"/>
              </w:rPr>
              <w:t xml:space="preserve"> W</w:t>
            </w:r>
          </w:p>
        </w:tc>
        <w:tc>
          <w:tcPr>
            <w:tcW w:w="1860" w:type="dxa"/>
            <w:shd w:val="clear" w:color="auto" w:fill="D9EAF7"/>
            <w:vAlign w:val="center"/>
          </w:tcPr>
          <w:p ns2:paraId="58039A3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目的</w:t>
            </w:r>
          </w:p>
        </w:tc>
      </w:tr>
      <w:tr w:rsidR="00F546BE" w:rsidRPr="00D86217" ns2:paraId="21821F1D" ns2:textId="77777777">
        <w:trPr>
          <w:jc w:val="center"/>
        </w:trPr>
        <w:tc>
          <w:tcPr>
            <w:tcW w:w="1860" w:type="dxa"/>
            <w:vAlign w:val="center"/>
          </w:tcPr>
          <w:p ns2:paraId="4C6F7A8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Baseline</w:t>
            </w:r>
          </w:p>
        </w:tc>
        <w:tc>
          <w:tcPr>
            <w:tcW w:w="1860" w:type="dxa"/>
            <w:vAlign w:val="center"/>
          </w:tcPr>
          <w:p ns2:paraId="6BBD523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 xml:space="preserve">Top 200 </w:t>
            </w:r>
            <w:r w:rsidRPr="00D86217">
              <w:rPr>
                <w:rFonts w:ascii="Songti TC" w:eastAsia="Songti TC" w:hAnsi="Songti TC" w:cs="Times New Roman"/>
                <w:sz w:val="32"/>
                <w:szCs w:val="32"/>
              </w:rPr>
              <w:lastRenderedPageBreak/>
              <w:t>SKU</w:t>
            </w:r>
          </w:p>
        </w:tc>
        <w:tc>
          <w:tcPr>
            <w:tcW w:w="1860" w:type="dxa"/>
            <w:vAlign w:val="center"/>
          </w:tcPr>
          <w:p ns2:paraId="5908878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lastRenderedPageBreak/>
              <w:t>800</w:t>
            </w:r>
          </w:p>
        </w:tc>
        <w:tc>
          <w:tcPr>
            <w:tcW w:w="1860" w:type="dxa"/>
            <w:vAlign w:val="center"/>
          </w:tcPr>
          <w:p ns2:paraId="374568F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400</w:t>
            </w:r>
          </w:p>
        </w:tc>
        <w:tc>
          <w:tcPr>
            <w:tcW w:w="1860" w:type="dxa"/>
            <w:vAlign w:val="center"/>
          </w:tcPr>
          <w:p ns2:paraId="7CD8BAC5"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Heiti TC" w:hint="eastAsia"/>
                <w:sz w:val="32"/>
                <w:szCs w:val="32"/>
              </w:rPr>
              <w:t>基础对比环</w:t>
            </w:r>
            <w:r w:rsidRPr="00D86217">
              <w:rPr>
                <w:rFonts w:ascii="Songti TC" w:eastAsia="Songti TC" w:hAnsi="Songti TC" w:cs="Heiti TC" w:hint="eastAsia"/>
                <w:sz w:val="32"/>
                <w:szCs w:val="32"/>
              </w:rPr>
              <w:lastRenderedPageBreak/>
              <w:t>境</w:t>
            </w:r>
          </w:p>
        </w:tc>
      </w:tr>
      <w:tr w:rsidR="00F546BE" w:rsidRPr="00D86217" ns2:paraId="4ECEA66B" ns2:textId="77777777">
        <w:trPr>
          <w:jc w:val="center"/>
        </w:trPr>
        <w:tc>
          <w:tcPr>
            <w:tcW w:w="1860" w:type="dxa"/>
            <w:vAlign w:val="center"/>
          </w:tcPr>
          <w:p ns2:paraId="17F065A4"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lastRenderedPageBreak/>
              <w:t>High volatility</w:t>
            </w:r>
          </w:p>
        </w:tc>
        <w:tc>
          <w:tcPr>
            <w:tcW w:w="1860" w:type="dxa"/>
            <w:vAlign w:val="center"/>
          </w:tcPr>
          <w:p ns2:paraId="7C7810B4"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Top 200 (NegBin only)</w:t>
            </w:r>
          </w:p>
        </w:tc>
        <w:tc>
          <w:tcPr>
            <w:tcW w:w="1860" w:type="dxa"/>
            <w:vAlign w:val="center"/>
          </w:tcPr>
          <w:p ns2:paraId="2525B836"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800</w:t>
            </w:r>
          </w:p>
        </w:tc>
        <w:tc>
          <w:tcPr>
            <w:tcW w:w="1860" w:type="dxa"/>
            <w:vAlign w:val="center"/>
          </w:tcPr>
          <w:p ns2:paraId="3318BBF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400</w:t>
            </w:r>
          </w:p>
        </w:tc>
        <w:tc>
          <w:tcPr>
            <w:tcW w:w="1860" w:type="dxa"/>
            <w:vAlign w:val="center"/>
          </w:tcPr>
          <w:p ns2:paraId="56EFF674" ns2:textId="77777777" w:rsidR="00F546BE" w:rsidRPr="00D86217" w:rsidRDefault="00000000">
            <w:pPr>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检验高波动需求下的稳定性</w:t>
            </w:r>
          </w:p>
        </w:tc>
      </w:tr>
      <w:tr w:rsidR="00F546BE" w:rsidRPr="00D86217" ns2:paraId="0DF79B67" ns2:textId="77777777">
        <w:trPr>
          <w:jc w:val="center"/>
        </w:trPr>
        <w:tc>
          <w:tcPr>
            <w:tcW w:w="1860" w:type="dxa"/>
            <w:vAlign w:val="center"/>
          </w:tcPr>
          <w:p ns2:paraId="68D32E6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Large scale</w:t>
            </w:r>
          </w:p>
        </w:tc>
        <w:tc>
          <w:tcPr>
            <w:tcW w:w="1860" w:type="dxa"/>
            <w:vAlign w:val="center"/>
          </w:tcPr>
          <w:p ns2:paraId="08A76BC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Top 500 SKU</w:t>
            </w:r>
          </w:p>
        </w:tc>
        <w:tc>
          <w:tcPr>
            <w:tcW w:w="1860" w:type="dxa"/>
            <w:vAlign w:val="center"/>
          </w:tcPr>
          <w:p ns2:paraId="19DF572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600</w:t>
            </w:r>
          </w:p>
        </w:tc>
        <w:tc>
          <w:tcPr>
            <w:tcW w:w="1860" w:type="dxa"/>
            <w:vAlign w:val="center"/>
          </w:tcPr>
          <w:p ns2:paraId="281FA8D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300</w:t>
            </w:r>
          </w:p>
        </w:tc>
        <w:tc>
          <w:tcPr>
            <w:tcW w:w="1860" w:type="dxa"/>
            <w:vAlign w:val="center"/>
          </w:tcPr>
          <w:p ns2:paraId="619E38D8" ns2:textId="77777777" w:rsidR="00F546BE" w:rsidRPr="00D86217" w:rsidRDefault="00000000">
            <w:pPr>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检验大规模且容量更紧时的适应性</w:t>
            </w:r>
          </w:p>
        </w:tc>
      </w:tr>
    </w:tbl>
    <w:p ns2:paraId="6F11653A" ns2:textId="77777777" w:rsidR="00F546BE"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在每个滚动窗口中，使用前 8 周数据估计需求均值，并使用后 1 周数据作为测试期。鲁棒版本进一步采用单侧 90% 分位修正。第一阶段实验的主要评价指标包括：行满足率（Line Fill Rate, LFR）、平均缺货概率（Average Stockout Probability）、平均运行时间（seconds）以及上架 SKU 数量。该层结果用于衡量算法在统一代理目标下的样本外表现。</w:t>
      </w:r>
    </w:p>
    <w:p ns2:paraId="096565B9" ns2:textId="77777777" w:rsidR="009E7108" w:rsidRPr="00D86217" w:rsidRDefault="00000000">
      <w:pPr>
        <w:spacing w:line="360" w:lineRule="auto"/>
        <w:ind w:firstLine="420"/>
        <w:rPr>
          <w:rFonts w:ascii="Songti TC" w:eastAsia="Songti TC" w:hAnsi="Songti TC"/>
          <w:sz w:val="32"/>
          <w:szCs w:val="32"/>
        </w:rPr>
      </w:pPr>
      <ns3:oMathPara>
        <ns3:oMathParaPr>
          <ns3:jc ns3:val="center"/>
        </ns3:oMathParaPr>
        <ns3:oMath>
          <ns3:sSubSup>
            <ns3:sSubSupPr>
              <ns3:ctrlPr>
                <w:rPr>
                  <w:rFonts w:ascii="Cambria Math" w:eastAsia="Songti TC" w:hAnsi="Cambria Math"/>
                  <w:sz w:val="32"/>
                  <w:szCs w:val="32"/>
                </w:rPr>
              </ns3:ctrlPr>
            </ns3:sSubSupPr>
            <ns3:e>
              <ns3:r>
                <w:rPr>
                  <w:rFonts w:ascii="Cambria Math" w:eastAsia="Songti TC" w:hAnsi="Cambria Math"/>
                  <w:sz w:val="32"/>
                  <w:szCs w:val="32"/>
                </w:rPr>
                <ns3:t>μ</ns3:t>
              </ns3:r>
            </ns3:e>
            <ns3:sub>
              <ns3:r>
                <w:rPr>
                  <w:rFonts w:ascii="Cambria Math" w:eastAsia="Songti TC" w:hAnsi="Cambria Math"/>
                  <w:sz w:val="32"/>
                  <w:szCs w:val="32"/>
                </w:rPr>
                <ns3:t>i</ns3:t>
              </ns3:r>
            </ns3:sub>
            <ns3:sup>
              <ns3:r>
                <ns3:rPr>
                  <ns3:sty ns3:val="p"/>
                </ns3:rPr>
                <w:rPr>
                  <w:rFonts w:ascii="Cambria Math" w:eastAsia="Songti TC" w:hAnsi="Cambria Math"/>
                  <w:sz w:val="32"/>
                  <w:szCs w:val="32"/>
                </w:rPr>
                <ns3:t>rob</ns3:t>
              </ns3:r>
            </ns3:sup>
          </ns3:sSubSup>
          <ns3:r>
            <ns3:rPr>
              <ns3:sty ns3:val="p"/>
            </ns3:rPr>
            <w:rPr>
              <w:rFonts w:ascii="Cambria Math" w:eastAsia="Songti TC" w:hAnsi="Cambria Math"/>
              <w:sz w:val="32"/>
              <w:szCs w:val="32"/>
            </w:rPr>
            <ns3:t>=</ns3:t>
          </ns3:r>
          <ns3:sSub>
            <ns3:sSubPr>
              <ns3:ctrlPr>
                <w:rPr>
                  <w:rFonts w:ascii="Cambria Math" w:eastAsia="Songti TC" w:hAnsi="Cambria Math"/>
                  <w:sz w:val="32"/>
                  <w:szCs w:val="32"/>
                </w:rPr>
              </ns3:ctrlPr>
            </ns3:sSubPr>
            <ns3:e>
              <ns3:r>
                <w:rPr>
                  <w:rFonts w:ascii="Cambria Math" w:eastAsia="Songti TC" w:hAnsi="Cambria Math"/>
                  <w:sz w:val="32"/>
                  <w:szCs w:val="32"/>
                </w:rPr>
                <ns3:t>μ</ns3:t>
              </ns3:r>
            </ns3:e>
            <ns3:sub>
              <ns3:r>
                <w:rPr>
                  <w:rFonts w:ascii="Cambria Math" w:eastAsia="Songti TC" w:hAnsi="Cambria Math"/>
                  <w:sz w:val="32"/>
                  <w:szCs w:val="32"/>
                </w:rPr>
                <ns3:t>i</ns3:t>
              </ns3:r>
            </ns3:sub>
          </ns3:sSub>
          <ns3:r>
            <ns3:rPr>
              <ns3:sty ns3:val="p"/>
            </ns3:rPr>
            <w:rPr>
              <w:rFonts w:ascii="Cambria Math" w:eastAsia="Songti TC" w:hAnsi="Cambria Math"/>
              <w:sz w:val="32"/>
              <w:szCs w:val="32"/>
            </w:rPr>
            <ns3:t>+</ns3:t>
          </ns3:r>
          <ns3:r>
            <w:rPr>
              <w:rFonts w:ascii="Cambria Math" w:eastAsia="Songti TC" w:hAnsi="Cambria Math"/>
              <w:sz w:val="32"/>
              <w:szCs w:val="32"/>
            </w:rPr>
            <ns3:t>z</ns3:t>
          </ns3:r>
          <ns3:r>
            <ns3:rPr>
              <ns3:sty ns3:val="p"/>
            </ns3:rPr>
            <w:rPr>
              <w:rFonts w:ascii="Cambria Math" w:eastAsia="Songti TC" w:hAnsi="Cambria Math"/>
              <w:sz w:val="32"/>
              <w:szCs w:val="32"/>
            </w:rPr>
            <ns3:t>⋅</ns3:t>
          </ns3:r>
          <ns3:r>
            <w:rPr>
              <w:rFonts w:ascii="Cambria Math" w:eastAsia="Songti TC" w:hAnsi="Cambria Math"/>
              <w:sz w:val="32"/>
              <w:szCs w:val="32"/>
            </w:rPr>
            <ns3:t>S</ns3:t>
          </ns3:r>
          <ns3:sSub>
            <ns3:sSubPr>
              <ns3:ctrlPr>
                <w:rPr>
                  <w:rFonts w:ascii="Cambria Math" w:eastAsia="Songti TC" w:hAnsi="Cambria Math"/>
                  <w:sz w:val="32"/>
                  <w:szCs w:val="32"/>
                </w:rPr>
              </ns3:ctrlPr>
            </ns3:sSubPr>
            <ns3:e>
              <ns3:r>
                <w:rPr>
                  <w:rFonts w:ascii="Cambria Math" w:eastAsia="Songti TC" w:hAnsi="Cambria Math"/>
                  <w:sz w:val="32"/>
                  <w:szCs w:val="32"/>
                </w:rPr>
                <ns3:t>E</ns3:t>
              </ns3:r>
            </ns3:e>
            <ns3:sub>
              <ns3:r>
                <w:rPr>
                  <w:rFonts w:ascii="Cambria Math" w:eastAsia="Songti TC" w:hAnsi="Cambria Math"/>
                  <w:sz w:val="32"/>
                  <w:szCs w:val="32"/>
                </w:rPr>
                <ns3:t>i</ns3:t>
              </ns3:r>
            </ns3:sub>
          </ns3:sSub>
        </ns3:oMath>
      </ns3:oMathPara>
    </w:p>
    <w:p ns2:paraId="11FC233B"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同时，从订单结构看，样本期平均篮子大小为 1.73 个 SKU/单，其中单 SKU 订单占比约 60.88%，多 SKU 订单占比约 39.12%。</w:t>
      </w:r>
      <w:r w:rsidRPr="00D86217">
        <w:rPr>
          <w:rFonts w:ascii="Songti TC" w:eastAsia="Songti TC" w:hAnsi="Songti TC"/>
          <w:sz w:val="32"/>
          <w:szCs w:val="32"/>
          <w:lang w:eastAsia="zh-CN"/>
        </w:rPr>
        <w:lastRenderedPageBreak/>
        <w:t>这意味着，即使某一方案在 SKU 级 line fill rate 上表现较好，也不必然在整单履约口径下保持同等优势。特别是在多 SKU 订单中，只要其中一部分商品缺货，就可能导致整单失败或部分履约，因此订单结构本身就是理解 proxy 指标与 basket-level 指标差异的重要背景。与此同时，本文进一步加入第二阶段 benchmark：在 baseline 场景下对主方法与 hybrid_v2 做共同窗口对齐，并在真实订单篮上执行 replay，以刻画更贴近即时零售履约体验的订单级效果。在本文设定下，hybrid_v2 的容量口径已与主方法完全统一，因此 benchmark 的解释重点不在于“谁的 proxy 数值更大”，而在于“在统一容量口径与统一窗口下，不同方法在订单级 KPI 上如何表现”。</w:t>
      </w:r>
    </w:p>
    <w:p ns2:paraId="10E04AAE" ns2:textId="77777777" w:rsidR="009E7108" w:rsidRPr="00D86217" w:rsidRDefault="00000000">
      <w:pPr>
        <w:pStyle w:val="Heading2"/>
        <w:rPr>
          <w:rFonts w:ascii="Songti TC" w:eastAsia="Songti TC" w:hAnsi="Songti TC"/>
          <w:sz w:val="32"/>
          <w:szCs w:val="32"/>
          <w:lang w:eastAsia="zh-CN"/>
        </w:rPr>
      </w:pPr>
      <w:r w:rsidRPr="00D86217">
        <w:rPr>
          <w:rFonts w:ascii="Songti TC" w:eastAsia="Songti TC" w:hAnsi="Songti TC"/>
          <w:sz w:val="32"/>
          <w:szCs w:val="32"/>
          <w:lang w:eastAsia="zh-CN"/>
        </w:rPr>
        <w:t>4.3 Benchmark 设计：共同窗口与订单篮子回放</w:t>
      </w:r>
    </w:p>
    <w:p ns2:paraId="079DAA30" ns2:textId="77777777" w:rsidR="009E7108"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为保证 benchmark 的可比性，本文不直接将不同实验批次的汇总结果横向拼接，而是采用共同窗口对齐策略。具体而言，benchmark 脚本同时读取主方法与 hybrid_v2 的 plans.csv 与 rolling_results.csv，并与由 scanner_data.csv 构造得到的滚动窗口</w:t>
      </w:r>
      <w:r w:rsidRPr="00D86217">
        <w:rPr>
          <w:rFonts w:ascii="Songti TC" w:eastAsia="Songti TC" w:hAnsi="Songti TC"/>
          <w:sz w:val="32"/>
          <w:szCs w:val="32"/>
          <w:lang w:eastAsia="zh-CN"/>
        </w:rPr>
        <w:lastRenderedPageBreak/>
        <w:t>求交，仅保留各类结果同时存在的窗口。当前 baseline 场景下，最终共同窗口数为 43。需要说明的是，不同结果文件中的窗口数并不完全一致。主方法的滚动实验基于周聚合需求共生成 45 个窗口；hybrid_v2 的独立重跑结果保留了 44 个 baseline 窗口；而在进一步与订单级 scanner_data 构造的测试区间、主方法方案文件及 hybrid_v2 方案文件取交集后，最终可用于 basket replay 的共同窗口数为 43。本文正文中凡涉及订单级 benchmark 的横向比较，均以这 43 个 shared windows 为准，而不将不同窗口集合下的 summary 结果直接拼接比较。</w:t>
      </w:r>
    </w:p>
    <w:p ns2:paraId="4696B706" ns2:textId="77777777" w:rsidR="009E7108"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在共同窗口上，本文进一步使用真实订单级扫描数据进行篮子回放。设 whole-order replay 要求订单中所有行项目均可满足时才计为整单成功；partial-order replay 则允许部分行先履约，并分别报告 basket OFR、basket LFR 与 basket QFR。与此同时，benchmark 输出文件中额外保留 aggregated_lfr_basis 字段，用于标记 aggregated_lfr 的口径来源，提醒读者该指标只是各方法自身 rolling_results 中的 proxy 指标，而非可以跨方法直接当作同一</w:t>
      </w:r>
      <w:r w:rsidRPr="00D86217">
        <w:rPr>
          <w:rFonts w:ascii="Songti TC" w:eastAsia="Songti TC" w:hAnsi="Songti TC"/>
          <w:sz w:val="32"/>
          <w:szCs w:val="32"/>
          <w:lang w:eastAsia="zh-CN"/>
        </w:rPr>
        <w:lastRenderedPageBreak/>
        <w:t>绝对量纲比较的真实订单级指标。同时，本文所说的“统一 benchmark”主要是指统一数据来源、统一容量核算口径、统一滚动窗口协议与统一订单回放规则，而不意味着不同算法完全共享同一求解空间。尤其对于 hybrid_v2，其内部仍保留先选品后配货的两阶段机制，因此本文的 benchmark 本质上属于统一业务环境下的机制比较。</w:t>
      </w:r>
    </w:p>
    <w:p ns2:paraId="1EF834E0"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sz w:val="32"/>
          <w:szCs w:val="32"/>
          <w:lang w:eastAsia="zh-CN"/>
        </w:rPr>
        <w:t>4.4 代码实现说明</w:t>
      </w:r>
    </w:p>
    <w:p ns2:paraId="33114B18"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 xml:space="preserve">本文所有算法均在统一数据接口和统一评估口径下实现。Greedy、DP-Lagrangian 与 CP-SAT 对应主论文代码；literature-inspired / hybrid 文献基线由 src/literature/li_transchel_hybrid_baseline_v2.py 输出至 results/literature/hybrid_v2/；而 benchmark 过程由 src/literature/benchmark_vs_hybrid_v2.py 完成，自动读取主方法与 hybrid_v2 的 rolling_results.csv 和 plans.csv，筛选共同窗口，并输出 benchmark_whole_summary.csv、benchmark_partial_summary.csv 等结果文件。本文同时在 </w:t>
      </w:r>
      <w:r w:rsidRPr="00D86217">
        <w:rPr>
          <w:rFonts w:ascii="Songti TC" w:eastAsia="Songti TC" w:hAnsi="Songti TC"/>
          <w:sz w:val="32"/>
          <w:szCs w:val="32"/>
          <w:lang w:eastAsia="zh-CN"/>
        </w:rPr>
        <w:lastRenderedPageBreak/>
        <w:t xml:space="preserve">benchmark 导出中增加 aggregated_lfr_basis 和文字提示说明，以避免将 hybrid_v2 的聚合 LFR 与主方法的解析期望值简单并列为同类绝对指标。为便于复现，本文的实验流程可概括为三个连续步骤：首先，由数据预处理脚本从原始 scanner_data.csv 生成 sku_params.csv 与 daily_demand.csv；其次，主优化脚本在三类场景下执行 rolling-window 求解，并输出 summary.csv、rolling_results.csv 与 plans.csv；最后，literature baseline 脚本生成 hybrid_v2 的滚动方案与汇总结果，benchmark 脚本在共同窗口上读取主方法与 hybrid_v2 的方案文件，并基于真实订单明细执行 whole-order 与 partial-order 两类篮子回放。由此，本文的聚合层结果与订单层结果均可在同一项目目录下追溯到对应源文件。 </w:t>
      </w:r>
      <w:r w:rsidRPr="00D86217">
        <w:rPr>
          <w:rFonts w:ascii="Songti TC" w:eastAsia="Songti TC" w:hAnsi="Songti TC"/>
          <w:sz w:val="32"/>
          <w:szCs w:val="32"/>
        </w:rPr>
        <w:t>其中，literature baseline 的代码组织也具有明确的模块化结构：数据读取与滚动窗口控制负责统一主方法与基线的输入口径；Stage A 根据训练窗口生成 MCI 风格选品得分；Stage B 在入选 SKU 集合上执行 critical-ratio 初始化、容量修复与 substitution-aware local search；最后统一输出 rolling_results、plans、</w:t>
      </w:r>
      <w:r w:rsidRPr="00D86217">
        <w:rPr>
          <w:rFonts w:ascii="Songti TC" w:eastAsia="Songti TC" w:hAnsi="Songti TC"/>
          <w:sz w:val="32"/>
          <w:szCs w:val="32"/>
        </w:rPr>
        <w:lastRenderedPageBreak/>
        <w:t>window_metrics、substitution_matrix 等文件，以便与主方法做 shared-window 对齐及订单篮 replay。</w:t>
      </w:r>
      <w:r w:rsidRPr="00D86217">
        <w:rPr>
          <w:rFonts w:ascii="Songti TC" w:eastAsia="Songti TC" w:hAnsi="Songti TC"/>
          <w:sz w:val="32"/>
          <w:szCs w:val="32"/>
          <w:lang w:eastAsia="zh-CN"/>
        </w:rPr>
        <w:t>这样的代码组织使该 baseline 既保留了文献思想来源，又能在项目内部形成清晰、可复查的实验流水线。</w:t>
      </w:r>
    </w:p>
    <w:p ns2:paraId="397AA9C4"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 xml:space="preserve">5 </w:t>
      </w:r>
      <w:r w:rsidRPr="00D86217">
        <w:rPr>
          <w:rFonts w:ascii="Songti TC" w:eastAsia="Songti TC" w:hAnsi="Songti TC" w:cs="Microsoft JhengHei" w:hint="eastAsia"/>
          <w:sz w:val="32"/>
          <w:szCs w:val="32"/>
          <w:lang w:eastAsia="zh-CN"/>
        </w:rPr>
        <w:t>实验结</w:t>
      </w:r>
      <w:r w:rsidRPr="00D86217">
        <w:rPr>
          <w:rFonts w:ascii="Songti TC" w:eastAsia="Songti TC" w:hAnsi="Songti TC" w:cs="Times New Roman"/>
          <w:sz w:val="32"/>
          <w:szCs w:val="32"/>
          <w:lang w:eastAsia="zh-CN"/>
        </w:rPr>
        <w:t>果与分析</w:t>
      </w:r>
    </w:p>
    <w:p ns2:paraId="31CF9A12"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 xml:space="preserve">5.1 </w:t>
      </w:r>
      <w:r w:rsidRPr="00D86217">
        <w:rPr>
          <w:rFonts w:ascii="Songti TC" w:eastAsia="Songti TC" w:hAnsi="Songti TC" w:cs="Microsoft JhengHei" w:hint="eastAsia"/>
          <w:sz w:val="32"/>
          <w:szCs w:val="32"/>
          <w:lang w:eastAsia="zh-CN"/>
        </w:rPr>
        <w:t>总</w:t>
      </w:r>
      <w:r w:rsidRPr="00D86217">
        <w:rPr>
          <w:rFonts w:ascii="Songti TC" w:eastAsia="Songti TC" w:hAnsi="Songti TC" w:cs="Times New Roman"/>
          <w:sz w:val="32"/>
          <w:szCs w:val="32"/>
          <w:lang w:eastAsia="zh-CN"/>
        </w:rPr>
        <w:t>体</w:t>
      </w:r>
      <w:r w:rsidRPr="00D86217">
        <w:rPr>
          <w:rFonts w:ascii="Songti TC" w:eastAsia="Songti TC" w:hAnsi="Songti TC" w:cs="Microsoft JhengHei" w:hint="eastAsia"/>
          <w:sz w:val="32"/>
          <w:szCs w:val="32"/>
          <w:lang w:eastAsia="zh-CN"/>
        </w:rPr>
        <w:t>结</w:t>
      </w:r>
      <w:r w:rsidRPr="00D86217">
        <w:rPr>
          <w:rFonts w:ascii="Songti TC" w:eastAsia="Songti TC" w:hAnsi="Songti TC" w:cs="Times New Roman"/>
          <w:sz w:val="32"/>
          <w:szCs w:val="32"/>
          <w:lang w:eastAsia="zh-CN"/>
        </w:rPr>
        <w:t>果</w:t>
      </w:r>
    </w:p>
    <w:p ns2:paraId="04568487"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t>表 4 给出了三类场景下各算法的平均 line fill rate、平均缺货概率与平均运行时间。为了突出核心结论，表中保留了主方法与 literature-inspired 基线在同一评估框架下的直接对比结果。</w:t>
      </w:r>
    </w:p>
    <w:p ns2:paraId="0626D64F" ns2:textId="77777777" w:rsidR="00AC1896" w:rsidRPr="00D86217" w:rsidRDefault="00000000">
      <w:pPr>
        <w:pStyle w:val="Heading3"/>
        <w:rPr>
          <w:rFonts w:ascii="Songti TC" w:eastAsia="Songti TC" w:hAnsi="Songti TC"/>
          <w:sz w:val="32"/>
          <w:szCs w:val="32"/>
        </w:rPr>
      </w:pPr>
      <w:r w:rsidRPr="00D86217">
        <w:rPr>
          <w:rFonts w:ascii="Songti TC" w:eastAsia="Songti TC" w:hAnsi="Songti TC"/>
          <w:sz w:val="32"/>
          <w:szCs w:val="32"/>
        </w:rPr>
        <w:t>5.1.1 绝对 line fill rate 偏低的结构性解释</w:t>
      </w:r>
    </w:p>
    <w:p ns2:paraId="1AF84F12"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rPr>
        <w:t>需要说明的是，本文实验中报告的绝对 line fill rate 水平在直觉上偏低，例如 Baseline 场景约为 0.20，Large Scale 场景约为 0.09。</w:t>
      </w:r>
      <w:r w:rsidRPr="00D86217">
        <w:rPr>
          <w:rFonts w:ascii="Songti TC" w:eastAsia="Songti TC" w:hAnsi="Songti TC"/>
          <w:sz w:val="32"/>
          <w:szCs w:val="32"/>
          <w:lang w:eastAsia="zh-CN"/>
        </w:rPr>
        <w:t xml:space="preserve">但这一结果主要反映了前置仓高密度、小仓容、多 SKU 竞争有限容量条件下的结构性约束，而不应被简单解读为算法失效。当前参数设定中，当 q &gt; 0 时，SKU 的体积占用满足 A^V_{i,q} </w:t>
      </w:r>
      <w:r w:rsidRPr="00D86217">
        <w:rPr>
          <w:rFonts w:ascii="Songti TC" w:eastAsia="Songti TC" w:hAnsi="Songti TC"/>
          <w:sz w:val="32"/>
          <w:szCs w:val="32"/>
          <w:lang w:eastAsia="zh-CN"/>
        </w:rPr>
        <w:lastRenderedPageBreak/>
        <w:t>= s_i^V + v_i q，其中固定槽位成本 s_i^V = 2.0；同时库存决策上限设为 q_max = 15。该设定意在刻画前置仓“小仓、多品、上架即占槽位”的运营现实，即每个上架 SKU 除线性库存占用外，还需先消耗一部分固定仓容。</w:t>
      </w:r>
    </w:p>
    <w:p ns2:paraId="42FE2C1F"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从容量结构看，这一设定会显著压缩单 SKU 的可分配库存深度。在 Baseline 场景下，候选池为 Top 200 SKU，总体积容量为 V_cap = 800。若所有 SKU 均上架，仅固定槽位成本就将消耗 200 × 2.0 = 400 个单位，占总体积容量的 50%；剩余容量还需在全部 SKU 之间分配实际库存。在 Large Scale 场景下，候选池扩大至 Top 500 SKU，而总体积容量收紧为 600，此时若全部上架，则固定槽位成本上限达到 500 × 2.0 = 1000，已显著超过总容量约束。由此可见，在该参数设定下，优化器必然需要在“扩大 SKU 覆盖范围”和“提高单 SKU 库存深度”之间进行强制权衡，许多 SKU 的最优库存只能落在较浅区间。</w:t>
      </w:r>
    </w:p>
    <w:p ns2:paraId="2BEF7F26"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从需求与评估口径看，本文采用周尺度需求建模，而总体 line fill rate 将未上架 SKU 的需求也计入总需求分母。因此，当容量</w:t>
      </w:r>
      <w:r w:rsidRPr="00D86217">
        <w:rPr>
          <w:rFonts w:ascii="Songti TC" w:eastAsia="Songti TC" w:hAnsi="Songti TC"/>
          <w:sz w:val="32"/>
          <w:szCs w:val="32"/>
          <w:lang w:eastAsia="zh-CN"/>
        </w:rPr>
        <w:lastRenderedPageBreak/>
        <w:t>约束迫使部分 SKU 不得不上架为 0，或者使大量 SKU 只能维持 1-2 件的浅库存时，总体服务水平就会被系统性压低。换言之，该指标衡量的是“在完整候选需求池上，前置仓方案能够覆盖多少需求”，其口径本身就比仅对已上架 SKU 计算 fill rate 更为严格。这也解释了为何在资源紧张场景下，即使算法已经实现了相对高效的配置，绝对 LFR 仍可能维持在较低水平。</w:t>
      </w:r>
    </w:p>
    <w:p ns2:paraId="1DED9F23"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因此，本文更关注不同算法在共同资源边界下的相对配置效率，而非脱离容量约束背景对绝对 line fill rate 作简单比较。对本研究而言，低 LFR 更应被理解为前置仓高密度竞争结构的内生结果，而不是算法无效的直接证据。若业务目标转向显著提高绝对 LFR，则需要同步放宽容量设定、降低候选 SKU 规模，或调整固定槽位成本与最大库存深度等参数；而在当前“高密度、小仓、多 SKU 竞争容量”的设定下，算法之间的相对差异更能反映其全局协调能力的高低。后文如对 mu_weekly 分布、最终 q 分布及固定槽位占用比例进行补充展示，也将进一步支撑这一解释。</w:t>
      </w:r>
    </w:p>
    <w:p ns2:paraId="3FFEBC62"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表</w:t>
      </w:r>
      <w:r w:rsidRPr="00D86217">
        <w:rPr>
          <w:rFonts w:ascii="Songti TC" w:eastAsia="Songti TC" w:hAnsi="Songti TC" w:cs="Times New Roman"/>
          <w:sz w:val="32"/>
          <w:szCs w:val="32"/>
        </w:rPr>
        <w:t xml:space="preserve"> 4-1 Baseline </w:t>
      </w:r>
      <w:r w:rsidRPr="00D86217">
        <w:rPr>
          <w:rFonts w:ascii="Songti TC" w:eastAsia="Songti TC" w:hAnsi="Songti TC" w:cs="Heiti TC" w:hint="eastAsia"/>
          <w:sz w:val="32"/>
          <w:szCs w:val="32"/>
        </w:rPr>
        <w:t>场景结果汇总</w:t>
      </w:r>
    </w:p>
    <w:tbl>
      <w:tblPr>
        <w:tblStyle w:val="TableGrid"/>
        <w:tblW w:w="0" w:type="auto"/>
        <w:jc w:val="center"/>
        <w:tblLook w:val="04A0" w:firstRow="1" w:lastRow="0" w:firstColumn="1" w:lastColumn="0" w:noHBand="0" w:noVBand="1"/>
      </w:tblPr>
      <w:tblGrid>
        <w:gridCol w:w="2680"/>
        <w:gridCol w:w="2176"/>
        <w:gridCol w:w="2176"/>
        <w:gridCol w:w="2198"/>
      </w:tblGrid>
      <w:tr w:rsidR="00F546BE" w:rsidRPr="00D86217" ns2:paraId="67E0C676" ns2:textId="77777777">
        <w:trPr>
          <w:jc w:val="center"/>
        </w:trPr>
        <w:tc>
          <w:tcPr>
            <w:tcW w:w="2324" w:type="dxa"/>
            <w:shd w:val="clear" w:color="auto" w:fill="D9EAF7"/>
            <w:vAlign w:val="center"/>
          </w:tcPr>
          <w:p ns2:paraId="2A8DDE0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lastRenderedPageBreak/>
              <w:t>方法</w:t>
            </w:r>
          </w:p>
        </w:tc>
        <w:tc>
          <w:tcPr>
            <w:tcW w:w="2324" w:type="dxa"/>
            <w:shd w:val="clear" w:color="auto" w:fill="D9EAF7"/>
            <w:vAlign w:val="center"/>
          </w:tcPr>
          <w:p ns2:paraId="1F8CB2D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b/>
                <w:sz w:val="32"/>
                <w:szCs w:val="32"/>
              </w:rPr>
              <w:t>LFR</w:t>
            </w:r>
          </w:p>
        </w:tc>
        <w:tc>
          <w:tcPr>
            <w:tcW w:w="2324" w:type="dxa"/>
            <w:shd w:val="clear" w:color="auto" w:fill="D9EAF7"/>
            <w:vAlign w:val="center"/>
          </w:tcPr>
          <w:p ns2:paraId="73B6210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平均缺货概率</w:t>
            </w:r>
          </w:p>
        </w:tc>
        <w:tc>
          <w:tcPr>
            <w:tcW w:w="2324" w:type="dxa"/>
            <w:shd w:val="clear" w:color="auto" w:fill="D9EAF7"/>
            <w:vAlign w:val="center"/>
          </w:tcPr>
          <w:p ns2:paraId="2D1DB62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平均运行时间</w:t>
            </w:r>
            <w:r w:rsidRPr="00D86217">
              <w:rPr>
                <w:rFonts w:ascii="Songti TC" w:eastAsia="Songti TC" w:hAnsi="Songti TC" w:cs="Times New Roman"/>
                <w:b/>
                <w:sz w:val="32"/>
                <w:szCs w:val="32"/>
              </w:rPr>
              <w:t>(s)</w:t>
            </w:r>
          </w:p>
        </w:tc>
      </w:tr>
      <w:tr w:rsidR="00F546BE" w:rsidRPr="00D86217" ns2:paraId="79D8C26D" ns2:textId="77777777">
        <w:trPr>
          <w:jc w:val="center"/>
        </w:trPr>
        <w:tc>
          <w:tcPr>
            <w:tcW w:w="2324" w:type="dxa"/>
            <w:vAlign w:val="center"/>
          </w:tcPr>
          <w:p ns2:paraId="352A78BB"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DP-Lagrangian</w:t>
            </w:r>
          </w:p>
        </w:tc>
        <w:tc>
          <w:tcPr>
            <w:tcW w:w="2324" w:type="dxa"/>
            <w:vAlign w:val="center"/>
          </w:tcPr>
          <w:p ns2:paraId="39666BE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0.204244</w:t>
            </w:r>
          </w:p>
        </w:tc>
        <w:tc>
          <w:tcPr>
            <w:tcW w:w="2324" w:type="dxa"/>
            <w:vAlign w:val="center"/>
          </w:tcPr>
          <w:p ns2:paraId="29478D0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0.796609</w:t>
            </w:r>
          </w:p>
        </w:tc>
        <w:tc>
          <w:tcPr>
            <w:tcW w:w="2324" w:type="dxa"/>
            <w:vAlign w:val="center"/>
          </w:tcPr>
          <w:p ns2:paraId="38FA6A9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17.135525</w:t>
            </w:r>
          </w:p>
        </w:tc>
      </w:tr>
      <w:tr w:rsidR="00F546BE" w:rsidRPr="00D86217" ns2:paraId="1457A419" ns2:textId="77777777">
        <w:trPr>
          <w:jc w:val="center"/>
        </w:trPr>
        <w:tc>
          <w:tcPr>
            <w:tcW w:w="2324" w:type="dxa"/>
            <w:vAlign w:val="center"/>
          </w:tcPr>
          <w:p ns2:paraId="0BA7D50C"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literature_nominal</w:t>
            </w:r>
          </w:p>
        </w:tc>
        <w:tc>
          <w:tcPr>
            <w:tcW w:w="2324" w:type="dxa"/>
            <w:vAlign w:val="center"/>
          </w:tcPr>
          <w:p ns2:paraId="40A4F42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0.195782</w:t>
            </w:r>
          </w:p>
        </w:tc>
        <w:tc>
          <w:tcPr>
            <w:tcW w:w="2324" w:type="dxa"/>
            <w:vAlign w:val="center"/>
          </w:tcPr>
          <w:p ns2:paraId="1337E20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0.807717</w:t>
            </w:r>
          </w:p>
        </w:tc>
        <w:tc>
          <w:tcPr>
            <w:tcW w:w="2324" w:type="dxa"/>
            <w:vAlign w:val="center"/>
          </w:tcPr>
          <w:p ns2:paraId="61E7CAB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0.279523</w:t>
            </w:r>
          </w:p>
        </w:tc>
      </w:tr>
      <w:tr w:rsidR="00F546BE" w:rsidRPr="00D86217" ns2:paraId="572E1F10" ns2:textId="77777777">
        <w:trPr>
          <w:jc w:val="center"/>
        </w:trPr>
        <w:tc>
          <w:tcPr>
            <w:tcW w:w="2324" w:type="dxa"/>
            <w:vAlign w:val="center"/>
          </w:tcPr>
          <w:p ns2:paraId="013F049D"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w:t>
            </w:r>
          </w:p>
        </w:tc>
        <w:tc>
          <w:tcPr>
            <w:tcW w:w="2324" w:type="dxa"/>
            <w:vAlign w:val="center"/>
          </w:tcPr>
          <w:p ns2:paraId="69A0B0F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0.195239</w:t>
            </w:r>
          </w:p>
        </w:tc>
        <w:tc>
          <w:tcPr>
            <w:tcW w:w="2324" w:type="dxa"/>
            <w:vAlign w:val="center"/>
          </w:tcPr>
          <w:p ns2:paraId="54B284F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0.807976</w:t>
            </w:r>
          </w:p>
        </w:tc>
        <w:tc>
          <w:tcPr>
            <w:tcW w:w="2324" w:type="dxa"/>
            <w:vAlign w:val="center"/>
          </w:tcPr>
          <w:p ns2:paraId="5FA4FA9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0.203813</w:t>
            </w:r>
          </w:p>
        </w:tc>
      </w:tr>
      <w:tr w:rsidR="00F546BE" w:rsidRPr="00D86217" ns2:paraId="2B4283C6" ns2:textId="77777777">
        <w:trPr>
          <w:jc w:val="center"/>
        </w:trPr>
        <w:tc>
          <w:tcPr>
            <w:tcW w:w="2324" w:type="dxa"/>
            <w:vAlign w:val="center"/>
          </w:tcPr>
          <w:p ns2:paraId="1F6A8919"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DP-Rob</w:t>
            </w:r>
          </w:p>
        </w:tc>
        <w:tc>
          <w:tcPr>
            <w:tcW w:w="2324" w:type="dxa"/>
            <w:vAlign w:val="center"/>
          </w:tcPr>
          <w:p ns2:paraId="551A473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0.189616</w:t>
            </w:r>
          </w:p>
        </w:tc>
        <w:tc>
          <w:tcPr>
            <w:tcW w:w="2324" w:type="dxa"/>
            <w:vAlign w:val="center"/>
          </w:tcPr>
          <w:p ns2:paraId="6C2AFF97"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0.796806</w:t>
            </w:r>
          </w:p>
        </w:tc>
        <w:tc>
          <w:tcPr>
            <w:tcW w:w="2324" w:type="dxa"/>
            <w:vAlign w:val="center"/>
          </w:tcPr>
          <w:p ns2:paraId="489C324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16.812682</w:t>
            </w:r>
          </w:p>
        </w:tc>
      </w:tr>
      <w:tr w:rsidR="00F546BE" w:rsidRPr="00D86217" ns2:paraId="17F6F91B" ns2:textId="77777777">
        <w:trPr>
          <w:jc w:val="center"/>
        </w:trPr>
        <w:tc>
          <w:tcPr>
            <w:tcW w:w="2324" w:type="dxa"/>
            <w:vAlign w:val="center"/>
          </w:tcPr>
          <w:p ns2:paraId="31C60791"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Greedy</w:t>
            </w:r>
          </w:p>
        </w:tc>
        <w:tc>
          <w:tcPr>
            <w:tcW w:w="2324" w:type="dxa"/>
            <w:vAlign w:val="center"/>
          </w:tcPr>
          <w:p ns2:paraId="151D07D7"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0.184861</w:t>
            </w:r>
          </w:p>
        </w:tc>
        <w:tc>
          <w:tcPr>
            <w:tcW w:w="2324" w:type="dxa"/>
            <w:vAlign w:val="center"/>
          </w:tcPr>
          <w:p ns2:paraId="15C2857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0.819920</w:t>
            </w:r>
          </w:p>
        </w:tc>
        <w:tc>
          <w:tcPr>
            <w:tcW w:w="2324" w:type="dxa"/>
            <w:vAlign w:val="center"/>
          </w:tcPr>
          <w:p ns2:paraId="62880A1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0.000396</w:t>
            </w:r>
          </w:p>
        </w:tc>
      </w:tr>
      <w:tr w:rsidR="00F546BE" w:rsidRPr="00D86217" ns2:paraId="262B4E54" ns2:textId="77777777">
        <w:trPr>
          <w:jc w:val="center"/>
        </w:trPr>
        <w:tc>
          <w:tcPr>
            <w:tcW w:w="2324" w:type="dxa"/>
            <w:vAlign w:val="center"/>
          </w:tcPr>
          <w:p ns2:paraId="78BF4CDC"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literature_robust</w:t>
            </w:r>
          </w:p>
        </w:tc>
        <w:tc>
          <w:tcPr>
            <w:tcW w:w="2324" w:type="dxa"/>
            <w:vAlign w:val="center"/>
          </w:tcPr>
          <w:p ns2:paraId="5DF47BC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0.181925</w:t>
            </w:r>
          </w:p>
        </w:tc>
        <w:tc>
          <w:tcPr>
            <w:tcW w:w="2324" w:type="dxa"/>
            <w:vAlign w:val="center"/>
          </w:tcPr>
          <w:p ns2:paraId="073D2B5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0.806605</w:t>
            </w:r>
          </w:p>
        </w:tc>
        <w:tc>
          <w:tcPr>
            <w:tcW w:w="2324" w:type="dxa"/>
            <w:vAlign w:val="center"/>
          </w:tcPr>
          <w:p ns2:paraId="50B40B8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0.262002</w:t>
            </w:r>
          </w:p>
        </w:tc>
      </w:tr>
      <w:tr w:rsidR="00F546BE" w:rsidRPr="00D86217" ns2:paraId="53073041" ns2:textId="77777777">
        <w:trPr>
          <w:jc w:val="center"/>
        </w:trPr>
        <w:tc>
          <w:tcPr>
            <w:tcW w:w="2324" w:type="dxa"/>
            <w:vAlign w:val="center"/>
          </w:tcPr>
          <w:p ns2:paraId="6668B1E6"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CP-SAT-Rob</w:t>
            </w:r>
          </w:p>
        </w:tc>
        <w:tc>
          <w:tcPr>
            <w:tcW w:w="2324" w:type="dxa"/>
            <w:vAlign w:val="center"/>
          </w:tcPr>
          <w:p ns2:paraId="597DA60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0.181445</w:t>
            </w:r>
          </w:p>
        </w:tc>
        <w:tc>
          <w:tcPr>
            <w:tcW w:w="2324" w:type="dxa"/>
            <w:vAlign w:val="center"/>
          </w:tcPr>
          <w:p ns2:paraId="44578D2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0.806767</w:t>
            </w:r>
          </w:p>
        </w:tc>
        <w:tc>
          <w:tcPr>
            <w:tcW w:w="2324" w:type="dxa"/>
            <w:vAlign w:val="center"/>
          </w:tcPr>
          <w:p ns2:paraId="6DCFAC0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0.236977</w:t>
            </w:r>
          </w:p>
        </w:tc>
      </w:tr>
      <w:tr w:rsidR="00F546BE" w:rsidRPr="00D86217" ns2:paraId="34D12953" ns2:textId="77777777">
        <w:trPr>
          <w:jc w:val="center"/>
        </w:trPr>
        <w:tc>
          <w:tcPr>
            <w:tcW w:w="2324" w:type="dxa"/>
            <w:vAlign w:val="center"/>
          </w:tcPr>
          <w:p ns2:paraId="55D311CB"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Greedy-Rob</w:t>
            </w:r>
          </w:p>
        </w:tc>
        <w:tc>
          <w:tcPr>
            <w:tcW w:w="2324" w:type="dxa"/>
            <w:vAlign w:val="center"/>
          </w:tcPr>
          <w:p ns2:paraId="1D5E6CF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0.169922</w:t>
            </w:r>
          </w:p>
        </w:tc>
        <w:tc>
          <w:tcPr>
            <w:tcW w:w="2324" w:type="dxa"/>
            <w:vAlign w:val="center"/>
          </w:tcPr>
          <w:p ns2:paraId="4A871FD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0.821365</w:t>
            </w:r>
          </w:p>
        </w:tc>
        <w:tc>
          <w:tcPr>
            <w:tcW w:w="2324" w:type="dxa"/>
            <w:vAlign w:val="center"/>
          </w:tcPr>
          <w:p ns2:paraId="3CDE3CD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0.000444</w:t>
            </w:r>
          </w:p>
        </w:tc>
      </w:tr>
    </w:tbl>
    <w:p ns2:paraId="572B1C7C" ns2:textId="77777777" w:rsidR="00F546BE" w:rsidRPr="00D86217" w:rsidRDefault="00F546BE">
      <w:pPr>
        <w:spacing w:line="360" w:lineRule="auto"/>
        <w:ind w:firstLine="420"/>
        <w:rPr>
          <w:rFonts w:ascii="Songti TC" w:eastAsia="Songti TC" w:hAnsi="Songti TC" w:cs="Times New Roman"/>
          <w:sz w:val="32"/>
          <w:szCs w:val="32"/>
        </w:rPr>
      </w:pPr>
    </w:p>
    <w:p ns2:paraId="2BF097E4"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表</w:t>
      </w:r>
      <w:r w:rsidRPr="00D86217">
        <w:rPr>
          <w:rFonts w:ascii="Songti TC" w:eastAsia="Songti TC" w:hAnsi="Songti TC" w:cs="Times New Roman"/>
          <w:sz w:val="32"/>
          <w:szCs w:val="32"/>
        </w:rPr>
        <w:t xml:space="preserve"> 4-2 High volatility </w:t>
      </w:r>
      <w:r w:rsidRPr="00D86217">
        <w:rPr>
          <w:rFonts w:ascii="Songti TC" w:eastAsia="Songti TC" w:hAnsi="Songti TC" w:cs="Heiti TC" w:hint="eastAsia"/>
          <w:sz w:val="32"/>
          <w:szCs w:val="32"/>
        </w:rPr>
        <w:t>场景结果汇总</w:t>
      </w:r>
    </w:p>
    <w:tbl>
      <w:tblPr>
        <w:tblStyle w:val="TableGrid"/>
        <w:tblW w:w="0" w:type="auto"/>
        <w:jc w:val="center"/>
        <w:tblLook w:val="04A0" w:firstRow="1" w:lastRow="0" w:firstColumn="1" w:lastColumn="0" w:noHBand="0" w:noVBand="1"/>
      </w:tblPr>
      <w:tblGrid>
        <w:gridCol w:w="2680"/>
        <w:gridCol w:w="2176"/>
        <w:gridCol w:w="2176"/>
        <w:gridCol w:w="2198"/>
      </w:tblGrid>
      <w:tr w:rsidR="00F546BE" w:rsidRPr="00D86217" ns2:paraId="562998F9" ns2:textId="77777777">
        <w:trPr>
          <w:jc w:val="center"/>
        </w:trPr>
        <w:tc>
          <w:tcPr>
            <w:tcW w:w="2324" w:type="dxa"/>
            <w:shd w:val="clear" w:color="auto" w:fill="D9EAF7"/>
            <w:vAlign w:val="center"/>
          </w:tcPr>
          <w:p ns2:paraId="47FFCD4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方法</w:t>
            </w:r>
          </w:p>
        </w:tc>
        <w:tc>
          <w:tcPr>
            <w:tcW w:w="2324" w:type="dxa"/>
            <w:shd w:val="clear" w:color="auto" w:fill="D9EAF7"/>
            <w:vAlign w:val="center"/>
          </w:tcPr>
          <w:p ns2:paraId="3B74347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b/>
                <w:sz w:val="32"/>
                <w:szCs w:val="32"/>
              </w:rPr>
              <w:t>LFR</w:t>
            </w:r>
          </w:p>
        </w:tc>
        <w:tc>
          <w:tcPr>
            <w:tcW w:w="2324" w:type="dxa"/>
            <w:shd w:val="clear" w:color="auto" w:fill="D9EAF7"/>
            <w:vAlign w:val="center"/>
          </w:tcPr>
          <w:p ns2:paraId="740E11E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平均缺货概率</w:t>
            </w:r>
          </w:p>
        </w:tc>
        <w:tc>
          <w:tcPr>
            <w:tcW w:w="2324" w:type="dxa"/>
            <w:shd w:val="clear" w:color="auto" w:fill="D9EAF7"/>
            <w:vAlign w:val="center"/>
          </w:tcPr>
          <w:p ns2:paraId="5AD2704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平均运行时间</w:t>
            </w:r>
            <w:r w:rsidRPr="00D86217">
              <w:rPr>
                <w:rFonts w:ascii="Songti TC" w:eastAsia="Songti TC" w:hAnsi="Songti TC" w:cs="Times New Roman"/>
                <w:b/>
                <w:sz w:val="32"/>
                <w:szCs w:val="32"/>
              </w:rPr>
              <w:t>(s)</w:t>
            </w:r>
          </w:p>
        </w:tc>
      </w:tr>
      <w:tr w:rsidR="00F546BE" w:rsidRPr="00D86217" ns2:paraId="2980A59B" ns2:textId="77777777">
        <w:trPr>
          <w:jc w:val="center"/>
        </w:trPr>
        <w:tc>
          <w:tcPr>
            <w:tcW w:w="2324" w:type="dxa"/>
            <w:vAlign w:val="center"/>
          </w:tcPr>
          <w:p ns2:paraId="14DE721C"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DP-Lagrangian</w:t>
            </w:r>
          </w:p>
        </w:tc>
        <w:tc>
          <w:tcPr>
            <w:tcW w:w="2324" w:type="dxa"/>
            <w:vAlign w:val="center"/>
          </w:tcPr>
          <w:p ns2:paraId="34CC53F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0.203266</w:t>
            </w:r>
          </w:p>
        </w:tc>
        <w:tc>
          <w:tcPr>
            <w:tcW w:w="2324" w:type="dxa"/>
            <w:vAlign w:val="center"/>
          </w:tcPr>
          <w:p ns2:paraId="1DBF1D7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0.833611</w:t>
            </w:r>
          </w:p>
        </w:tc>
        <w:tc>
          <w:tcPr>
            <w:tcW w:w="2324" w:type="dxa"/>
            <w:vAlign w:val="center"/>
          </w:tcPr>
          <w:p ns2:paraId="47DAA1DE"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17.132725</w:t>
            </w:r>
          </w:p>
        </w:tc>
      </w:tr>
      <w:tr w:rsidR="00F546BE" w:rsidRPr="00D86217" ns2:paraId="5581DBF7" ns2:textId="77777777">
        <w:trPr>
          <w:jc w:val="center"/>
        </w:trPr>
        <w:tc>
          <w:tcPr>
            <w:tcW w:w="2324" w:type="dxa"/>
            <w:vAlign w:val="center"/>
          </w:tcPr>
          <w:p ns2:paraId="475DEA9F"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lastRenderedPageBreak/>
              <w:t>literature_nominal</w:t>
            </w:r>
          </w:p>
        </w:tc>
        <w:tc>
          <w:tcPr>
            <w:tcW w:w="2324" w:type="dxa"/>
            <w:vAlign w:val="center"/>
          </w:tcPr>
          <w:p ns2:paraId="78FEC241"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0.196919</w:t>
            </w:r>
          </w:p>
        </w:tc>
        <w:tc>
          <w:tcPr>
            <w:tcW w:w="2324" w:type="dxa"/>
            <w:vAlign w:val="center"/>
          </w:tcPr>
          <w:p ns2:paraId="606F386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0.841351</w:t>
            </w:r>
          </w:p>
        </w:tc>
        <w:tc>
          <w:tcPr>
            <w:tcW w:w="2324" w:type="dxa"/>
            <w:vAlign w:val="center"/>
          </w:tcPr>
          <w:p ns2:paraId="25D41DA4"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0.384985</w:t>
            </w:r>
          </w:p>
        </w:tc>
      </w:tr>
      <w:tr w:rsidR="00F546BE" w:rsidRPr="00D86217" ns2:paraId="4A5B6817" ns2:textId="77777777">
        <w:trPr>
          <w:jc w:val="center"/>
        </w:trPr>
        <w:tc>
          <w:tcPr>
            <w:tcW w:w="2324" w:type="dxa"/>
            <w:vAlign w:val="center"/>
          </w:tcPr>
          <w:p ns2:paraId="71E08631"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w:t>
            </w:r>
          </w:p>
        </w:tc>
        <w:tc>
          <w:tcPr>
            <w:tcW w:w="2324" w:type="dxa"/>
            <w:vAlign w:val="center"/>
          </w:tcPr>
          <w:p ns2:paraId="4D89027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0.195774</w:t>
            </w:r>
          </w:p>
        </w:tc>
        <w:tc>
          <w:tcPr>
            <w:tcW w:w="2324" w:type="dxa"/>
            <w:vAlign w:val="center"/>
          </w:tcPr>
          <w:p ns2:paraId="1C310C1E"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0.841555</w:t>
            </w:r>
          </w:p>
        </w:tc>
        <w:tc>
          <w:tcPr>
            <w:tcW w:w="2324" w:type="dxa"/>
            <w:vAlign w:val="center"/>
          </w:tcPr>
          <w:p ns2:paraId="20AA8FC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0.174853</w:t>
            </w:r>
          </w:p>
        </w:tc>
      </w:tr>
      <w:tr w:rsidR="00F546BE" w:rsidRPr="00D86217" ns2:paraId="0A93328F" ns2:textId="77777777">
        <w:trPr>
          <w:jc w:val="center"/>
        </w:trPr>
        <w:tc>
          <w:tcPr>
            <w:tcW w:w="2324" w:type="dxa"/>
            <w:vAlign w:val="center"/>
          </w:tcPr>
          <w:p ns2:paraId="2FB5122C"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Greedy</w:t>
            </w:r>
          </w:p>
        </w:tc>
        <w:tc>
          <w:tcPr>
            <w:tcW w:w="2324" w:type="dxa"/>
            <w:vAlign w:val="center"/>
          </w:tcPr>
          <w:p ns2:paraId="5086F754"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0.186741</w:t>
            </w:r>
          </w:p>
        </w:tc>
        <w:tc>
          <w:tcPr>
            <w:tcW w:w="2324" w:type="dxa"/>
            <w:vAlign w:val="center"/>
          </w:tcPr>
          <w:p ns2:paraId="64CB271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0.855115</w:t>
            </w:r>
          </w:p>
        </w:tc>
        <w:tc>
          <w:tcPr>
            <w:tcW w:w="2324" w:type="dxa"/>
            <w:vAlign w:val="center"/>
          </w:tcPr>
          <w:p ns2:paraId="60A73B1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0.000333</w:t>
            </w:r>
          </w:p>
        </w:tc>
      </w:tr>
      <w:tr w:rsidR="00F546BE" w:rsidRPr="00D86217" ns2:paraId="5AFE5041" ns2:textId="77777777">
        <w:trPr>
          <w:jc w:val="center"/>
        </w:trPr>
        <w:tc>
          <w:tcPr>
            <w:tcW w:w="2324" w:type="dxa"/>
            <w:vAlign w:val="center"/>
          </w:tcPr>
          <w:p ns2:paraId="4C0750D2"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DP-Rob</w:t>
            </w:r>
          </w:p>
        </w:tc>
        <w:tc>
          <w:tcPr>
            <w:tcW w:w="2324" w:type="dxa"/>
            <w:vAlign w:val="center"/>
          </w:tcPr>
          <w:p ns2:paraId="4FB45CF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0.184320</w:t>
            </w:r>
          </w:p>
        </w:tc>
        <w:tc>
          <w:tcPr>
            <w:tcW w:w="2324" w:type="dxa"/>
            <w:vAlign w:val="center"/>
          </w:tcPr>
          <w:p ns2:paraId="555F069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0.837643</w:t>
            </w:r>
          </w:p>
        </w:tc>
        <w:tc>
          <w:tcPr>
            <w:tcW w:w="2324" w:type="dxa"/>
            <w:vAlign w:val="center"/>
          </w:tcPr>
          <w:p ns2:paraId="398C6B54"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16.809971</w:t>
            </w:r>
          </w:p>
        </w:tc>
      </w:tr>
      <w:tr w:rsidR="00F546BE" w:rsidRPr="00D86217" ns2:paraId="4CB76321" ns2:textId="77777777">
        <w:trPr>
          <w:jc w:val="center"/>
        </w:trPr>
        <w:tc>
          <w:tcPr>
            <w:tcW w:w="2324" w:type="dxa"/>
            <w:vAlign w:val="center"/>
          </w:tcPr>
          <w:p ns2:paraId="6959A62D"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literature_robust</w:t>
            </w:r>
          </w:p>
        </w:tc>
        <w:tc>
          <w:tcPr>
            <w:tcW w:w="2324" w:type="dxa"/>
            <w:vAlign w:val="center"/>
          </w:tcPr>
          <w:p ns2:paraId="2F49010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0.178036</w:t>
            </w:r>
          </w:p>
        </w:tc>
        <w:tc>
          <w:tcPr>
            <w:tcW w:w="2324" w:type="dxa"/>
            <w:vAlign w:val="center"/>
          </w:tcPr>
          <w:p ns2:paraId="1EB8A2D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0.843711</w:t>
            </w:r>
          </w:p>
        </w:tc>
        <w:tc>
          <w:tcPr>
            <w:tcW w:w="2324" w:type="dxa"/>
            <w:vAlign w:val="center"/>
          </w:tcPr>
          <w:p ns2:paraId="2C4ACD6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0.364660</w:t>
            </w:r>
          </w:p>
        </w:tc>
      </w:tr>
      <w:tr w:rsidR="00F546BE" w:rsidRPr="00D86217" ns2:paraId="15B5643D" ns2:textId="77777777">
        <w:trPr>
          <w:jc w:val="center"/>
        </w:trPr>
        <w:tc>
          <w:tcPr>
            <w:tcW w:w="2324" w:type="dxa"/>
            <w:vAlign w:val="center"/>
          </w:tcPr>
          <w:p ns2:paraId="3262B9FD"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CP-SAT-Rob</w:t>
            </w:r>
          </w:p>
        </w:tc>
        <w:tc>
          <w:tcPr>
            <w:tcW w:w="2324" w:type="dxa"/>
            <w:vAlign w:val="center"/>
          </w:tcPr>
          <w:p ns2:paraId="1085DFF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0.177453</w:t>
            </w:r>
          </w:p>
        </w:tc>
        <w:tc>
          <w:tcPr>
            <w:tcW w:w="2324" w:type="dxa"/>
            <w:vAlign w:val="center"/>
          </w:tcPr>
          <w:p ns2:paraId="7AED3A3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0.844288</w:t>
            </w:r>
          </w:p>
        </w:tc>
        <w:tc>
          <w:tcPr>
            <w:tcW w:w="2324" w:type="dxa"/>
            <w:vAlign w:val="center"/>
          </w:tcPr>
          <w:p ns2:paraId="79DFB1D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0.153723</w:t>
            </w:r>
          </w:p>
        </w:tc>
      </w:tr>
      <w:tr w:rsidR="00F546BE" w:rsidRPr="00D86217" ns2:paraId="1D71ED77" ns2:textId="77777777">
        <w:trPr>
          <w:jc w:val="center"/>
        </w:trPr>
        <w:tc>
          <w:tcPr>
            <w:tcW w:w="2324" w:type="dxa"/>
            <w:vAlign w:val="center"/>
          </w:tcPr>
          <w:p ns2:paraId="6AD32C62"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Greedy-Rob</w:t>
            </w:r>
          </w:p>
        </w:tc>
        <w:tc>
          <w:tcPr>
            <w:tcW w:w="2324" w:type="dxa"/>
            <w:vAlign w:val="center"/>
          </w:tcPr>
          <w:p ns2:paraId="425A9C9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0.167857</w:t>
            </w:r>
          </w:p>
        </w:tc>
        <w:tc>
          <w:tcPr>
            <w:tcW w:w="2324" w:type="dxa"/>
            <w:vAlign w:val="center"/>
          </w:tcPr>
          <w:p ns2:paraId="293649C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0.859037</w:t>
            </w:r>
          </w:p>
        </w:tc>
        <w:tc>
          <w:tcPr>
            <w:tcW w:w="2324" w:type="dxa"/>
            <w:vAlign w:val="center"/>
          </w:tcPr>
          <w:p ns2:paraId="22B88FD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0.000369</w:t>
            </w:r>
          </w:p>
        </w:tc>
      </w:tr>
    </w:tbl>
    <w:p ns2:paraId="36AFABF9" ns2:textId="77777777" w:rsidR="00F546BE" w:rsidRPr="00D86217" w:rsidRDefault="00F546BE">
      <w:pPr>
        <w:spacing w:line="360" w:lineRule="auto"/>
        <w:ind w:firstLine="420"/>
        <w:rPr>
          <w:rFonts w:ascii="Songti TC" w:eastAsia="Songti TC" w:hAnsi="Songti TC" w:cs="Times New Roman"/>
          <w:sz w:val="32"/>
          <w:szCs w:val="32"/>
        </w:rPr>
      </w:pPr>
    </w:p>
    <w:p ns2:paraId="0C653CB6"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表</w:t>
      </w:r>
      <w:r w:rsidRPr="00D86217">
        <w:rPr>
          <w:rFonts w:ascii="Songti TC" w:eastAsia="Songti TC" w:hAnsi="Songti TC" w:cs="Times New Roman"/>
          <w:sz w:val="32"/>
          <w:szCs w:val="32"/>
        </w:rPr>
        <w:t xml:space="preserve"> 4-3 Large scale </w:t>
      </w:r>
      <w:r w:rsidRPr="00D86217">
        <w:rPr>
          <w:rFonts w:ascii="Songti TC" w:eastAsia="Songti TC" w:hAnsi="Songti TC" w:cs="Heiti TC" w:hint="eastAsia"/>
          <w:sz w:val="32"/>
          <w:szCs w:val="32"/>
        </w:rPr>
        <w:t>场景结果汇总</w:t>
      </w:r>
    </w:p>
    <w:tbl>
      <w:tblPr>
        <w:tblStyle w:val="TableGrid"/>
        <w:tblW w:w="0" w:type="auto"/>
        <w:jc w:val="center"/>
        <w:tblLook w:val="04A0" w:firstRow="1" w:lastRow="0" w:firstColumn="1" w:lastColumn="0" w:noHBand="0" w:noVBand="1"/>
      </w:tblPr>
      <w:tblGrid>
        <w:gridCol w:w="2680"/>
        <w:gridCol w:w="2176"/>
        <w:gridCol w:w="2176"/>
        <w:gridCol w:w="2198"/>
      </w:tblGrid>
      <w:tr w:rsidR="00F546BE" w:rsidRPr="00D86217" ns2:paraId="5380B815" ns2:textId="77777777">
        <w:trPr>
          <w:jc w:val="center"/>
        </w:trPr>
        <w:tc>
          <w:tcPr>
            <w:tcW w:w="2324" w:type="dxa"/>
            <w:shd w:val="clear" w:color="auto" w:fill="D9EAF7"/>
            <w:vAlign w:val="center"/>
          </w:tcPr>
          <w:p ns2:paraId="22D6D00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方法</w:t>
            </w:r>
          </w:p>
        </w:tc>
        <w:tc>
          <w:tcPr>
            <w:tcW w:w="2324" w:type="dxa"/>
            <w:shd w:val="clear" w:color="auto" w:fill="D9EAF7"/>
            <w:vAlign w:val="center"/>
          </w:tcPr>
          <w:p ns2:paraId="25F6B7E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b/>
                <w:sz w:val="32"/>
                <w:szCs w:val="32"/>
              </w:rPr>
              <w:t>LFR</w:t>
            </w:r>
          </w:p>
        </w:tc>
        <w:tc>
          <w:tcPr>
            <w:tcW w:w="2324" w:type="dxa"/>
            <w:shd w:val="clear" w:color="auto" w:fill="D9EAF7"/>
            <w:vAlign w:val="center"/>
          </w:tcPr>
          <w:p ns2:paraId="04FA6806"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平均缺货概率</w:t>
            </w:r>
          </w:p>
        </w:tc>
        <w:tc>
          <w:tcPr>
            <w:tcW w:w="2324" w:type="dxa"/>
            <w:shd w:val="clear" w:color="auto" w:fill="D9EAF7"/>
            <w:vAlign w:val="center"/>
          </w:tcPr>
          <w:p ns2:paraId="157563C2"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Heiti TC" w:hint="eastAsia"/>
                <w:b/>
                <w:sz w:val="32"/>
                <w:szCs w:val="32"/>
              </w:rPr>
              <w:t>平均运行时间</w:t>
            </w:r>
            <w:r w:rsidRPr="00D86217">
              <w:rPr>
                <w:rFonts w:ascii="Songti TC" w:eastAsia="Songti TC" w:hAnsi="Songti TC" w:cs="Times New Roman"/>
                <w:b/>
                <w:sz w:val="32"/>
                <w:szCs w:val="32"/>
              </w:rPr>
              <w:t>(s)</w:t>
            </w:r>
          </w:p>
        </w:tc>
      </w:tr>
      <w:tr w:rsidR="00F546BE" w:rsidRPr="00D86217" ns2:paraId="362F15FA" ns2:textId="77777777">
        <w:trPr>
          <w:jc w:val="center"/>
        </w:trPr>
        <w:tc>
          <w:tcPr>
            <w:tcW w:w="2324" w:type="dxa"/>
            <w:vAlign w:val="center"/>
          </w:tcPr>
          <w:p ns2:paraId="0C22D6B9"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DP-Lagrangian</w:t>
            </w:r>
          </w:p>
        </w:tc>
        <w:tc>
          <w:tcPr>
            <w:tcW w:w="2324" w:type="dxa"/>
            <w:vAlign w:val="center"/>
          </w:tcPr>
          <w:p ns2:paraId="2F94298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0.090535</w:t>
            </w:r>
          </w:p>
        </w:tc>
        <w:tc>
          <w:tcPr>
            <w:tcW w:w="2324" w:type="dxa"/>
            <w:vAlign w:val="center"/>
          </w:tcPr>
          <w:p ns2:paraId="620B2F2F"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0.926674</w:t>
            </w:r>
          </w:p>
        </w:tc>
        <w:tc>
          <w:tcPr>
            <w:tcW w:w="2324" w:type="dxa"/>
            <w:vAlign w:val="center"/>
          </w:tcPr>
          <w:p ns2:paraId="621E0EE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34.974454</w:t>
            </w:r>
          </w:p>
        </w:tc>
      </w:tr>
      <w:tr w:rsidR="00F546BE" w:rsidRPr="00D86217" ns2:paraId="78A2CD83" ns2:textId="77777777">
        <w:trPr>
          <w:jc w:val="center"/>
        </w:trPr>
        <w:tc>
          <w:tcPr>
            <w:tcW w:w="2324" w:type="dxa"/>
            <w:vAlign w:val="center"/>
          </w:tcPr>
          <w:p ns2:paraId="476AF209"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literature_nominal</w:t>
            </w:r>
          </w:p>
        </w:tc>
        <w:tc>
          <w:tcPr>
            <w:tcW w:w="2324" w:type="dxa"/>
            <w:vAlign w:val="center"/>
          </w:tcPr>
          <w:p ns2:paraId="6CD4116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0.086762</w:t>
            </w:r>
          </w:p>
        </w:tc>
        <w:tc>
          <w:tcPr>
            <w:tcW w:w="2324" w:type="dxa"/>
            <w:vAlign w:val="center"/>
          </w:tcPr>
          <w:p ns2:paraId="1EAD210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0.931821</w:t>
            </w:r>
          </w:p>
        </w:tc>
        <w:tc>
          <w:tcPr>
            <w:tcW w:w="2324" w:type="dxa"/>
            <w:vAlign w:val="center"/>
          </w:tcPr>
          <w:p ns2:paraId="72D88CE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0.490013</w:t>
            </w:r>
          </w:p>
        </w:tc>
      </w:tr>
      <w:tr w:rsidR="00F546BE" w:rsidRPr="00D86217" ns2:paraId="056CFAC7" ns2:textId="77777777">
        <w:trPr>
          <w:jc w:val="center"/>
        </w:trPr>
        <w:tc>
          <w:tcPr>
            <w:tcW w:w="2324" w:type="dxa"/>
            <w:vAlign w:val="center"/>
          </w:tcPr>
          <w:p ns2:paraId="18B318FF"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w:t>
            </w:r>
          </w:p>
        </w:tc>
        <w:tc>
          <w:tcPr>
            <w:tcW w:w="2324" w:type="dxa"/>
            <w:vAlign w:val="center"/>
          </w:tcPr>
          <w:p ns2:paraId="29D2B29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0.085194</w:t>
            </w:r>
          </w:p>
        </w:tc>
        <w:tc>
          <w:tcPr>
            <w:tcW w:w="2324" w:type="dxa"/>
            <w:vAlign w:val="center"/>
          </w:tcPr>
          <w:p ns2:paraId="131A67C2"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0.933091</w:t>
            </w:r>
          </w:p>
        </w:tc>
        <w:tc>
          <w:tcPr>
            <w:tcW w:w="2324" w:type="dxa"/>
            <w:vAlign w:val="center"/>
          </w:tcPr>
          <w:p ns2:paraId="770B3E96"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0.274124</w:t>
            </w:r>
          </w:p>
        </w:tc>
      </w:tr>
      <w:tr w:rsidR="00F546BE" w:rsidRPr="00D86217" ns2:paraId="4335AC30" ns2:textId="77777777">
        <w:trPr>
          <w:jc w:val="center"/>
        </w:trPr>
        <w:tc>
          <w:tcPr>
            <w:tcW w:w="2324" w:type="dxa"/>
            <w:vAlign w:val="center"/>
          </w:tcPr>
          <w:p ns2:paraId="40DD688E"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DP-Rob</w:t>
            </w:r>
          </w:p>
        </w:tc>
        <w:tc>
          <w:tcPr>
            <w:tcW w:w="2324" w:type="dxa"/>
            <w:vAlign w:val="center"/>
          </w:tcPr>
          <w:p ns2:paraId="0900D546"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0.079701</w:t>
            </w:r>
          </w:p>
        </w:tc>
        <w:tc>
          <w:tcPr>
            <w:tcW w:w="2324" w:type="dxa"/>
            <w:vAlign w:val="center"/>
          </w:tcPr>
          <w:p ns2:paraId="00028F10"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0.923987</w:t>
            </w:r>
          </w:p>
        </w:tc>
        <w:tc>
          <w:tcPr>
            <w:tcW w:w="2324" w:type="dxa"/>
            <w:vAlign w:val="center"/>
          </w:tcPr>
          <w:p ns2:paraId="7D3707D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34.640129</w:t>
            </w:r>
          </w:p>
        </w:tc>
      </w:tr>
      <w:tr w:rsidR="00F546BE" w:rsidRPr="00D86217" ns2:paraId="6714B59F" ns2:textId="77777777">
        <w:trPr>
          <w:jc w:val="center"/>
        </w:trPr>
        <w:tc>
          <w:tcPr>
            <w:tcW w:w="2324" w:type="dxa"/>
            <w:vAlign w:val="center"/>
          </w:tcPr>
          <w:p ns2:paraId="7D1B7B49"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lastRenderedPageBreak/>
              <w:t>Greedy</w:t>
            </w:r>
          </w:p>
        </w:tc>
        <w:tc>
          <w:tcPr>
            <w:tcW w:w="2324" w:type="dxa"/>
            <w:vAlign w:val="center"/>
          </w:tcPr>
          <w:p ns2:paraId="2255952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0.078950</w:t>
            </w:r>
          </w:p>
        </w:tc>
        <w:tc>
          <w:tcPr>
            <w:tcW w:w="2324" w:type="dxa"/>
            <w:vAlign w:val="center"/>
          </w:tcPr>
          <w:p ns2:paraId="4848001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0.939250</w:t>
            </w:r>
          </w:p>
        </w:tc>
        <w:tc>
          <w:tcPr>
            <w:tcW w:w="2324" w:type="dxa"/>
            <w:vAlign w:val="center"/>
          </w:tcPr>
          <w:p ns2:paraId="0D39378C"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0.000704</w:t>
            </w:r>
          </w:p>
        </w:tc>
      </w:tr>
      <w:tr w:rsidR="00F546BE" w:rsidRPr="00D86217" ns2:paraId="47CEBE47" ns2:textId="77777777">
        <w:trPr>
          <w:jc w:val="center"/>
        </w:trPr>
        <w:tc>
          <w:tcPr>
            <w:tcW w:w="2324" w:type="dxa"/>
            <w:vAlign w:val="center"/>
          </w:tcPr>
          <w:p ns2:paraId="208884B5"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literature_robust</w:t>
            </w:r>
          </w:p>
        </w:tc>
        <w:tc>
          <w:tcPr>
            <w:tcW w:w="2324" w:type="dxa"/>
            <w:vAlign w:val="center"/>
          </w:tcPr>
          <w:p ns2:paraId="3057D57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0.076240</w:t>
            </w:r>
          </w:p>
        </w:tc>
        <w:tc>
          <w:tcPr>
            <w:tcW w:w="2324" w:type="dxa"/>
            <w:vAlign w:val="center"/>
          </w:tcPr>
          <w:p ns2:paraId="34A51B89"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0.930605</w:t>
            </w:r>
          </w:p>
        </w:tc>
        <w:tc>
          <w:tcPr>
            <w:tcW w:w="2324" w:type="dxa"/>
            <w:vAlign w:val="center"/>
          </w:tcPr>
          <w:p ns2:paraId="3D1E206D"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0.482291</w:t>
            </w:r>
          </w:p>
        </w:tc>
      </w:tr>
      <w:tr w:rsidR="00F546BE" w:rsidRPr="00D86217" ns2:paraId="62CE661E" ns2:textId="77777777">
        <w:trPr>
          <w:jc w:val="center"/>
        </w:trPr>
        <w:tc>
          <w:tcPr>
            <w:tcW w:w="2324" w:type="dxa"/>
            <w:vAlign w:val="center"/>
          </w:tcPr>
          <w:p ns2:paraId="61668AF9"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CP-SAT-Rob</w:t>
            </w:r>
          </w:p>
        </w:tc>
        <w:tc>
          <w:tcPr>
            <w:tcW w:w="2324" w:type="dxa"/>
            <w:vAlign w:val="center"/>
          </w:tcPr>
          <w:p ns2:paraId="35EE62DA"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0.075817</w:t>
            </w:r>
          </w:p>
        </w:tc>
        <w:tc>
          <w:tcPr>
            <w:tcW w:w="2324" w:type="dxa"/>
            <w:vAlign w:val="center"/>
          </w:tcPr>
          <w:p ns2:paraId="15530A5B"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0.930953</w:t>
            </w:r>
          </w:p>
        </w:tc>
        <w:tc>
          <w:tcPr>
            <w:tcW w:w="2324" w:type="dxa"/>
            <w:vAlign w:val="center"/>
          </w:tcPr>
          <w:p ns2:paraId="2DC111A3"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0.310888</w:t>
            </w:r>
          </w:p>
        </w:tc>
      </w:tr>
      <w:tr w:rsidR="00F546BE" w:rsidRPr="00D86217" ns2:paraId="48EF1171" ns2:textId="77777777">
        <w:trPr>
          <w:jc w:val="center"/>
        </w:trPr>
        <w:tc>
          <w:tcPr>
            <w:tcW w:w="2324" w:type="dxa"/>
            <w:vAlign w:val="center"/>
          </w:tcPr>
          <w:p ns2:paraId="233066D1" ns2:textId="77777777" w:rsidR="00F546BE" w:rsidRPr="00D86217" w:rsidRDefault="00000000">
            <w:pPr>
              <w:rPr>
                <w:rFonts w:ascii="Songti TC" w:eastAsia="Songti TC" w:hAnsi="Songti TC" w:cs="Times New Roman"/>
                <w:sz w:val="32"/>
                <w:szCs w:val="32"/>
              </w:rPr>
            </w:pPr>
            <w:r w:rsidRPr="00D86217">
              <w:rPr>
                <w:rFonts w:ascii="Songti TC" w:eastAsia="Songti TC" w:hAnsi="Songti TC" w:cs="Times New Roman"/>
                <w:sz w:val="32"/>
                <w:szCs w:val="32"/>
              </w:rPr>
              <w:t>Greedy-Rob</w:t>
            </w:r>
          </w:p>
        </w:tc>
        <w:tc>
          <w:tcPr>
            <w:tcW w:w="2324" w:type="dxa"/>
            <w:vAlign w:val="center"/>
          </w:tcPr>
          <w:p ns2:paraId="12E51235"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0.067391</w:t>
            </w:r>
          </w:p>
        </w:tc>
        <w:tc>
          <w:tcPr>
            <w:tcW w:w="2324" w:type="dxa"/>
            <w:vAlign w:val="center"/>
          </w:tcPr>
          <w:p ns2:paraId="78F82A28"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0.940271</w:t>
            </w:r>
          </w:p>
        </w:tc>
        <w:tc>
          <w:tcPr>
            <w:tcW w:w="2324" w:type="dxa"/>
            <w:vAlign w:val="center"/>
          </w:tcPr>
          <w:p ns2:paraId="6376357E" ns2:textId="77777777" w:rsidR="00F546BE" w:rsidRPr="00D86217" w:rsidRDefault="00000000">
            <w:pPr>
              <w:jc w:val="center"/>
              <w:rPr>
                <w:rFonts w:ascii="Songti TC" w:eastAsia="Songti TC" w:hAnsi="Songti TC" w:cs="Times New Roman"/>
                <w:sz w:val="32"/>
                <w:szCs w:val="32"/>
              </w:rPr>
            </w:pPr>
            <w:r w:rsidRPr="00D86217">
              <w:rPr>
                <w:rFonts w:ascii="Songti TC" w:eastAsia="Songti TC" w:hAnsi="Songti TC" w:cs="Times New Roman"/>
                <w:sz w:val="32"/>
                <w:szCs w:val="32"/>
              </w:rPr>
              <w:t>0.000803</w:t>
            </w:r>
          </w:p>
        </w:tc>
      </w:tr>
    </w:tbl>
    <w:p ns2:paraId="167D00C2" ns2:textId="77777777" w:rsidR="00F546BE" w:rsidRPr="00D86217" w:rsidRDefault="00F546BE">
      <w:pPr>
        <w:spacing w:line="360" w:lineRule="auto"/>
        <w:ind w:firstLine="420"/>
        <w:rPr>
          <w:rFonts w:ascii="Songti TC" w:eastAsia="Songti TC" w:hAnsi="Songti TC" w:cs="Times New Roman"/>
          <w:sz w:val="32"/>
          <w:szCs w:val="32"/>
        </w:rPr>
      </w:pPr>
    </w:p>
    <w:p ns2:paraId="5492CABF"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图</w:t>
      </w:r>
      <w:r w:rsidRPr="00D86217">
        <w:rPr>
          <w:rFonts w:ascii="Songti TC" w:eastAsia="Songti TC" w:hAnsi="Songti TC" w:cs="Times New Roman"/>
          <w:sz w:val="32"/>
          <w:szCs w:val="32"/>
        </w:rPr>
        <w:t xml:space="preserve"> 1 </w:t>
      </w:r>
      <w:r w:rsidRPr="00D86217">
        <w:rPr>
          <w:rFonts w:ascii="Songti TC" w:eastAsia="Songti TC" w:hAnsi="Songti TC" w:cs="Heiti TC" w:hint="eastAsia"/>
          <w:sz w:val="32"/>
          <w:szCs w:val="32"/>
        </w:rPr>
        <w:t>展示了四类代表性</w:t>
      </w:r>
      <w:r w:rsidRPr="00D86217">
        <w:rPr>
          <w:rFonts w:ascii="Songti TC" w:eastAsia="Songti TC" w:hAnsi="Songti TC" w:cs="Times New Roman"/>
          <w:sz w:val="32"/>
          <w:szCs w:val="32"/>
        </w:rPr>
        <w:t xml:space="preserve"> nominal </w:t>
      </w:r>
      <w:r w:rsidRPr="00D86217">
        <w:rPr>
          <w:rFonts w:ascii="Songti TC" w:eastAsia="Songti TC" w:hAnsi="Songti TC" w:cs="Heiti TC" w:hint="eastAsia"/>
          <w:sz w:val="32"/>
          <w:szCs w:val="32"/>
        </w:rPr>
        <w:t>方法在不同场景中的平均</w:t>
      </w:r>
      <w:r w:rsidRPr="00D86217">
        <w:rPr>
          <w:rFonts w:ascii="Songti TC" w:eastAsia="Songti TC" w:hAnsi="Songti TC" w:cs="Times New Roman"/>
          <w:sz w:val="32"/>
          <w:szCs w:val="32"/>
        </w:rPr>
        <w:t xml:space="preserve"> line fill rate</w:t>
      </w:r>
      <w:r w:rsidRPr="00D86217">
        <w:rPr>
          <w:rFonts w:ascii="Songti TC" w:eastAsia="Songti TC" w:hAnsi="Songti TC" w:cs="Heiti TC" w:hint="eastAsia"/>
          <w:sz w:val="32"/>
          <w:szCs w:val="32"/>
        </w:rPr>
        <w:t>。</w:t>
      </w:r>
    </w:p>
    <w:p ns2:paraId="1E78EB0A"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Times New Roman"/>
          <w:noProof/>
          <w:sz w:val="32"/>
          <w:szCs w:val="32"/>
        </w:rPr>
        <w:drawing>
          <ns4:inline distT="0" distB="0" distL="0" distR="0" ns5:anchorId="203D7449" ns5:editId="70A2D2EF">
            <ns4:extent cx="5760000" cy="3033129"/>
            <ns4:effectExtent l="0" t="0" r="0" b="0"/>
            <ns4:docPr id="1" name="Picture 1"/>
            <ns4:cNvGraphicFramePr>
              <ns6:graphicFrameLocks noChangeAspect="1"/>
            </ns4:cNvGraphicFramePr>
            <ns6:graphic>
              <ns6:graphicData uri="http://schemas.openxmlformats.org/drawingml/2006/picture">
                <ns7:pic>
                  <ns7:nvPicPr>
                    <ns7:cNvPr id="0" name="lfr_chart.png"/>
                    <ns7:cNvPicPr/>
                  </ns7:nvPicPr>
                  <ns7:blipFill>
                    <ns6:blip ns8:embed="rId8"/>
                    <ns6:stretch>
                      <ns6:fillRect/>
                    </ns6:stretch>
                  </ns7:blipFill>
                  <ns7:spPr>
                    <ns6:xfrm>
                      <ns6:off x="0" y="0"/>
                      <ns6:ext cx="5760000" cy="3033129"/>
                    </ns6:xfrm>
                    <ns6:prstGeom prst="rect">
                      <ns6:avLst/>
                    </ns6:prstGeom>
                  </ns7:spPr>
                </ns7:pic>
              </ns6:graphicData>
            </ns6:graphic>
          </ns4:inline>
        </w:drawing>
      </w:r>
    </w:p>
    <w:p ns2:paraId="1FDD9675" ns2:textId="77777777" w:rsidR="00F546BE" w:rsidRPr="00D86217" w:rsidRDefault="00000000">
      <w:pPr>
        <w:spacing w:line="360" w:lineRule="auto"/>
        <w:ind w:firstLine="420"/>
        <w:jc w:val="center"/>
        <w:rPr>
          <w:rFonts w:ascii="Songti TC" w:eastAsia="Songti TC" w:hAnsi="Songti TC" w:cs="Times New Roman"/>
          <w:sz w:val="32"/>
          <w:szCs w:val="32"/>
        </w:rPr>
      </w:pPr>
      <w:r w:rsidRPr="00D86217">
        <w:rPr>
          <w:rFonts w:ascii="Songti TC" w:eastAsia="Songti TC" w:hAnsi="Songti TC" w:cs="Heiti TC" w:hint="eastAsia"/>
          <w:sz w:val="32"/>
          <w:szCs w:val="32"/>
        </w:rPr>
        <w:t>图</w:t>
      </w:r>
      <w:r w:rsidRPr="00D86217">
        <w:rPr>
          <w:rFonts w:ascii="Songti TC" w:eastAsia="Songti TC" w:hAnsi="Songti TC" w:cs="Times New Roman"/>
          <w:sz w:val="32"/>
          <w:szCs w:val="32"/>
        </w:rPr>
        <w:t xml:space="preserve"> 1 </w:t>
      </w:r>
      <w:r w:rsidRPr="00D86217">
        <w:rPr>
          <w:rFonts w:ascii="Songti TC" w:eastAsia="Songti TC" w:hAnsi="Songti TC" w:cs="Heiti TC" w:hint="eastAsia"/>
          <w:sz w:val="32"/>
          <w:szCs w:val="32"/>
        </w:rPr>
        <w:t>不同场景下</w:t>
      </w:r>
      <w:r w:rsidRPr="00D86217">
        <w:rPr>
          <w:rFonts w:ascii="Songti TC" w:eastAsia="Songti TC" w:hAnsi="Songti TC" w:cs="Times New Roman"/>
          <w:sz w:val="32"/>
          <w:szCs w:val="32"/>
        </w:rPr>
        <w:t xml:space="preserve"> nominal </w:t>
      </w:r>
      <w:r w:rsidRPr="00D86217">
        <w:rPr>
          <w:rFonts w:ascii="Songti TC" w:eastAsia="Songti TC" w:hAnsi="Songti TC" w:cs="Heiti TC" w:hint="eastAsia"/>
          <w:sz w:val="32"/>
          <w:szCs w:val="32"/>
        </w:rPr>
        <w:t>方法的平均</w:t>
      </w:r>
      <w:r w:rsidRPr="00D86217">
        <w:rPr>
          <w:rFonts w:ascii="Songti TC" w:eastAsia="Songti TC" w:hAnsi="Songti TC" w:cs="Times New Roman"/>
          <w:sz w:val="32"/>
          <w:szCs w:val="32"/>
        </w:rPr>
        <w:t xml:space="preserve"> line fill rate</w:t>
      </w:r>
    </w:p>
    <w:p ns2:paraId="12E1C659"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lastRenderedPageBreak/>
        <w:t>图</w:t>
      </w:r>
      <w:r w:rsidRPr="00D86217">
        <w:rPr>
          <w:rFonts w:ascii="Songti TC" w:eastAsia="Songti TC" w:hAnsi="Songti TC" w:cs="Times New Roman"/>
          <w:sz w:val="32"/>
          <w:szCs w:val="32"/>
        </w:rPr>
        <w:t xml:space="preserve"> 2 </w:t>
      </w:r>
      <w:r w:rsidRPr="00D86217">
        <w:rPr>
          <w:rFonts w:ascii="Songti TC" w:eastAsia="Songti TC" w:hAnsi="Songti TC" w:cs="Heiti TC" w:hint="eastAsia"/>
          <w:sz w:val="32"/>
          <w:szCs w:val="32"/>
        </w:rPr>
        <w:t>展示了不同场景下</w:t>
      </w:r>
      <w:r w:rsidRPr="00D86217">
        <w:rPr>
          <w:rFonts w:ascii="Songti TC" w:eastAsia="Songti TC" w:hAnsi="Songti TC" w:cs="Times New Roman"/>
          <w:sz w:val="32"/>
          <w:szCs w:val="32"/>
        </w:rPr>
        <w:t xml:space="preserve"> nominal </w:t>
      </w:r>
      <w:r w:rsidRPr="00D86217">
        <w:rPr>
          <w:rFonts w:ascii="Songti TC" w:eastAsia="Songti TC" w:hAnsi="Songti TC" w:cs="Heiti TC" w:hint="eastAsia"/>
          <w:sz w:val="32"/>
          <w:szCs w:val="32"/>
        </w:rPr>
        <w:t>方法的平均运行时间（对数尺度）。</w:t>
      </w:r>
    </w:p>
    <w:p ns2:paraId="7A82EE83"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Times New Roman"/>
          <w:noProof/>
          <w:sz w:val="32"/>
          <w:szCs w:val="32"/>
        </w:rPr>
        <w:drawing>
          <ns4:inline distT="0" distB="0" distL="0" distR="0" ns5:anchorId="3183006E" ns5:editId="09B43B21">
            <ns4:extent cx="5760000" cy="3037788"/>
            <ns4:effectExtent l="0" t="0" r="0" b="0"/>
            <ns4:docPr id="2" name="Picture 2"/>
            <ns4:cNvGraphicFramePr>
              <ns6:graphicFrameLocks noChangeAspect="1"/>
            </ns4:cNvGraphicFramePr>
            <ns6:graphic>
              <ns6:graphicData uri="http://schemas.openxmlformats.org/drawingml/2006/picture">
                <ns7:pic>
                  <ns7:nvPicPr>
                    <ns7:cNvPr id="0" name="runtime_chart.png"/>
                    <ns7:cNvPicPr/>
                  </ns7:nvPicPr>
                  <ns7:blipFill>
                    <ns6:blip ns8:embed="rId9"/>
                    <ns6:stretch>
                      <ns6:fillRect/>
                    </ns6:stretch>
                  </ns7:blipFill>
                  <ns7:spPr>
                    <ns6:xfrm>
                      <ns6:off x="0" y="0"/>
                      <ns6:ext cx="5760000" cy="3037788"/>
                    </ns6:xfrm>
                    <ns6:prstGeom prst="rect">
                      <ns6:avLst/>
                    </ns6:prstGeom>
                  </ns7:spPr>
                </ns7:pic>
              </ns6:graphicData>
            </ns6:graphic>
          </ns4:inline>
        </w:drawing>
      </w:r>
    </w:p>
    <w:p ns2:paraId="0C0521E9" ns2:textId="77777777" w:rsidR="00F546BE" w:rsidRPr="00D86217" w:rsidRDefault="00000000">
      <w:pPr>
        <w:spacing w:line="360" w:lineRule="auto"/>
        <w:ind w:firstLine="420"/>
        <w:jc w:val="center"/>
        <w:rPr>
          <w:rFonts w:ascii="Songti TC" w:eastAsia="Songti TC" w:hAnsi="Songti TC" w:cs="Times New Roman"/>
          <w:sz w:val="32"/>
          <w:szCs w:val="32"/>
        </w:rPr>
      </w:pPr>
      <w:r w:rsidRPr="00D86217">
        <w:rPr>
          <w:rFonts w:ascii="Songti TC" w:eastAsia="Songti TC" w:hAnsi="Songti TC" w:cs="Heiti TC" w:hint="eastAsia"/>
          <w:sz w:val="32"/>
          <w:szCs w:val="32"/>
        </w:rPr>
        <w:t>图</w:t>
      </w:r>
      <w:r w:rsidRPr="00D86217">
        <w:rPr>
          <w:rFonts w:ascii="Songti TC" w:eastAsia="Songti TC" w:hAnsi="Songti TC" w:cs="Times New Roman"/>
          <w:sz w:val="32"/>
          <w:szCs w:val="32"/>
        </w:rPr>
        <w:t xml:space="preserve"> 2 </w:t>
      </w:r>
      <w:r w:rsidRPr="00D86217">
        <w:rPr>
          <w:rFonts w:ascii="Songti TC" w:eastAsia="Songti TC" w:hAnsi="Songti TC" w:cs="Heiti TC" w:hint="eastAsia"/>
          <w:sz w:val="32"/>
          <w:szCs w:val="32"/>
        </w:rPr>
        <w:t>不同场景下</w:t>
      </w:r>
      <w:r w:rsidRPr="00D86217">
        <w:rPr>
          <w:rFonts w:ascii="Songti TC" w:eastAsia="Songti TC" w:hAnsi="Songti TC" w:cs="Times New Roman"/>
          <w:sz w:val="32"/>
          <w:szCs w:val="32"/>
        </w:rPr>
        <w:t xml:space="preserve"> nominal </w:t>
      </w:r>
      <w:r w:rsidRPr="00D86217">
        <w:rPr>
          <w:rFonts w:ascii="Songti TC" w:eastAsia="Songti TC" w:hAnsi="Songti TC" w:cs="Heiti TC" w:hint="eastAsia"/>
          <w:sz w:val="32"/>
          <w:szCs w:val="32"/>
        </w:rPr>
        <w:t>方法的平均运行时间（</w:t>
      </w:r>
      <w:r w:rsidRPr="00D86217">
        <w:rPr>
          <w:rFonts w:ascii="Songti TC" w:eastAsia="Songti TC" w:hAnsi="Songti TC" w:cs="Times New Roman"/>
          <w:sz w:val="32"/>
          <w:szCs w:val="32"/>
        </w:rPr>
        <w:t>log scale</w:t>
      </w:r>
      <w:r w:rsidRPr="00D86217">
        <w:rPr>
          <w:rFonts w:ascii="Songti TC" w:eastAsia="Songti TC" w:hAnsi="Songti TC" w:cs="Heiti TC" w:hint="eastAsia"/>
          <w:sz w:val="32"/>
          <w:szCs w:val="32"/>
        </w:rPr>
        <w:t>）</w:t>
      </w:r>
    </w:p>
    <w:p ns2:paraId="3BF2A6F6"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Times New Roman"/>
          <w:noProof/>
          <w:sz w:val="32"/>
          <w:szCs w:val="32"/>
        </w:rPr>
        <w:drawing>
          <ns4:inline distT="0" distB="0" distL="0" distR="0" ns5:anchorId="624D192F" ns5:editId="42CC02C1">
            <ns4:extent cx="5220000" cy="3720424"/>
            <ns4:effectExtent l="0" t="0" r="0" b="0"/>
            <ns4:docPr id="3" name="Picture 3"/>
            <ns4:cNvGraphicFramePr>
              <ns6:graphicFrameLocks noChangeAspect="1"/>
            </ns4:cNvGraphicFramePr>
            <ns6:graphic>
              <ns6:graphicData uri="http://schemas.openxmlformats.org/drawingml/2006/picture">
                <ns7:pic>
                  <ns7:nvPicPr>
                    <ns7:cNvPr id="0" name="efficiency_chart.png"/>
                    <ns7:cNvPicPr/>
                  </ns7:nvPicPr>
                  <ns7:blipFill>
                    <ns6:blip ns8:embed="rId10"/>
                    <ns6:stretch>
                      <ns6:fillRect/>
                    </ns6:stretch>
                  </ns7:blipFill>
                  <ns7:spPr>
                    <ns6:xfrm>
                      <ns6:off x="0" y="0"/>
                      <ns6:ext cx="5220000" cy="3720424"/>
                    </ns6:xfrm>
                    <ns6:prstGeom prst="rect">
                      <ns6:avLst/>
                    </ns6:prstGeom>
                  </ns7:spPr>
                </ns7:pic>
              </ns6:graphicData>
            </ns6:graphic>
          </ns4:inline>
        </w:drawing>
      </w:r>
    </w:p>
    <w:p ns2:paraId="66FBF17F" ns2:textId="77777777" w:rsidR="00F546BE" w:rsidRPr="00D86217" w:rsidRDefault="00000000">
      <w:pPr>
        <w:spacing w:line="360" w:lineRule="auto"/>
        <w:ind w:firstLine="420"/>
        <w:jc w:val="center"/>
        <w:rPr>
          <w:rFonts w:ascii="Songti TC" w:eastAsia="Songti TC" w:hAnsi="Songti TC" w:cs="Times New Roman"/>
          <w:sz w:val="32"/>
          <w:szCs w:val="32"/>
          <w:lang w:eastAsia="zh-CN"/>
        </w:rPr>
      </w:pPr>
      <w:r w:rsidRPr="00D86217">
        <w:rPr>
          <w:rFonts w:ascii="Songti TC" w:eastAsia="Songti TC" w:hAnsi="Songti TC" w:cs="Heiti TC" w:hint="eastAsia"/>
          <w:sz w:val="32"/>
          <w:szCs w:val="32"/>
          <w:lang w:eastAsia="zh-CN"/>
        </w:rPr>
        <w:lastRenderedPageBreak/>
        <w:t>图</w:t>
      </w:r>
      <w:r w:rsidRPr="00D86217">
        <w:rPr>
          <w:rFonts w:ascii="Songti TC" w:eastAsia="Songti TC" w:hAnsi="Songti TC" w:cs="Times New Roman"/>
          <w:sz w:val="32"/>
          <w:szCs w:val="32"/>
          <w:lang w:eastAsia="zh-CN"/>
        </w:rPr>
        <w:t xml:space="preserve"> 3 </w:t>
      </w:r>
      <w:r w:rsidRPr="00D86217">
        <w:rPr>
          <w:rFonts w:ascii="Songti TC" w:eastAsia="Songti TC" w:hAnsi="Songti TC" w:cs="Heiti TC" w:hint="eastAsia"/>
          <w:sz w:val="32"/>
          <w:szCs w:val="32"/>
          <w:lang w:eastAsia="zh-CN"/>
        </w:rPr>
        <w:t>不同场景下算法的效果</w:t>
      </w:r>
      <w:r w:rsidRPr="00D86217">
        <w:rPr>
          <w:rFonts w:ascii="Songti TC" w:eastAsia="Songti TC" w:hAnsi="Songti TC" w:cs="Times New Roman"/>
          <w:sz w:val="32"/>
          <w:szCs w:val="32"/>
          <w:lang w:eastAsia="zh-CN"/>
        </w:rPr>
        <w:t>—</w:t>
      </w:r>
      <w:r w:rsidRPr="00D86217">
        <w:rPr>
          <w:rFonts w:ascii="Songti TC" w:eastAsia="Songti TC" w:hAnsi="Songti TC" w:cs="Heiti TC" w:hint="eastAsia"/>
          <w:sz w:val="32"/>
          <w:szCs w:val="32"/>
          <w:lang w:eastAsia="zh-CN"/>
        </w:rPr>
        <w:t>效率权衡</w:t>
      </w:r>
    </w:p>
    <w:p ns2:paraId="6A6C95F0"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sz w:val="32"/>
          <w:szCs w:val="32"/>
          <w:lang w:eastAsia="zh-CN"/>
        </w:rPr>
        <w:t>5.2 统一容量口径后的聚合层结果说明</w:t>
      </w:r>
    </w:p>
    <w:p ns2:paraId="62C0FB3E"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在统一容量口径并完成全量运行后，baseline 场景下 summary.csv 中 hybrid_v2 的聚合 LFR 约为 0.285。由此可见，容量口径一致性会显著影响 proxy 层数值，因此本文在结果解释中始终以统一口径下的输出为准。</w:t>
      </w:r>
    </w:p>
    <w:p ns2:paraId="2073584F"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在统一容量口径下，DP-Lagrangian 仍然是三类场景下平均 LFR 最高的主方法，说明其在联合配置与双资源协调上的优势依旧存在；而 hybrid_v2 仍然可被视为一个强启发式 benchmark。换言之，本研究的核心结论主要依赖两层证据：主方法在聚合层的表现，以及 hybrid_v2 在订单级 benchmark 中的竞争力。</w:t>
      </w:r>
    </w:p>
    <w:p ns2:paraId="040F9FED"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这一处理也带来一个方法论启示：当算法内部使用不同的容量核算方式时，即使都输出名为 LFR 的指标，也可能并不具备直接横向比较的含义。因此，本文明确区分两类比较：其一，聚合层结果用于观察各方法在各自 proxy 框架下的样本外稳定性；</w:t>
      </w:r>
      <w:r w:rsidRPr="00D86217">
        <w:rPr>
          <w:rFonts w:ascii="Songti TC" w:eastAsia="Songti TC" w:hAnsi="Songti TC"/>
          <w:sz w:val="32"/>
          <w:szCs w:val="32"/>
          <w:lang w:eastAsia="zh-CN"/>
        </w:rPr>
        <w:lastRenderedPageBreak/>
        <w:t>其二，共同窗口的真实订单篮 benchmark 用于比较更贴近业务 KPI 的履约表现。两层结果互为补充，而不是彼此替代。</w:t>
      </w:r>
    </w:p>
    <w:p ns2:paraId="6676F6AD"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从效率角度看，hybrid_v2 仍然保留了启发式方法解释性强、实现直观的特点；运行时间也应与共同窗口 benchmark 结合解读。对于实际前置仓运营而言，这意味着算法选型不能只看一个 summary 表中的平均 LFR，还必须同时关注容量口径是否一致、指标是否同量纲，以及最终是用 SKU 级 proxy 还是订单级履约来定义“好方案”。</w:t>
      </w:r>
    </w:p>
    <w:p ns2:paraId="7CE231C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表 5 总结了与 benchmark 解释直接相关的关键要点。</w:t>
      </w:r>
    </w:p>
    <w:tbl>
      <w:tblPr>
        <w:tblStyle w:val="TableGrid"/>
        <w:tblW w:w="0" w:type="auto"/>
        <w:jc w:val="center"/>
        <w:tblLook w:val="04A0" w:firstRow="1" w:lastRow="0" w:firstColumn="1" w:lastColumn="0" w:noHBand="0" w:noVBand="1"/>
      </w:tblPr>
      <w:tblGrid>
        <w:gridCol w:w="2002"/>
        <w:gridCol w:w="2924"/>
        <w:gridCol w:w="2276"/>
        <w:gridCol w:w="2028"/>
      </w:tblGrid>
      <w:tr w:rsidR="00F546BE" w:rsidRPr="00D86217" ns2:paraId="2E7D38C6" ns2:textId="77777777">
        <w:trPr>
          <w:jc w:val="center"/>
        </w:trPr>
        <w:tc>
          <w:tcPr>
            <w:tcW w:w="2324" w:type="dxa"/>
            <w:shd w:val="clear" w:color="auto" w:fill="D9EAF7"/>
            <w:vAlign w:val="center"/>
          </w:tcPr>
          <w:p ns2:paraId="0C9D4EFB"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说明项</w:t>
            </w:r>
          </w:p>
        </w:tc>
        <w:tc>
          <w:tcPr>
            <w:tcW w:w="2324" w:type="dxa"/>
            <w:shd w:val="clear" w:color="auto" w:fill="D9EAF7"/>
            <w:vAlign w:val="center"/>
          </w:tcPr>
          <w:p ns2:paraId="09EBAE02"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本次处理</w:t>
            </w:r>
          </w:p>
        </w:tc>
        <w:tc>
          <w:tcPr>
            <w:tcW w:w="2324" w:type="dxa"/>
            <w:shd w:val="clear" w:color="auto" w:fill="D9EAF7"/>
            <w:vAlign w:val="center"/>
          </w:tcPr>
          <w:p ns2:paraId="317F2665"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对结果的影响</w:t>
            </w:r>
          </w:p>
        </w:tc>
        <w:tc>
          <w:tcPr>
            <w:tcW w:w="2324" w:type="dxa"/>
            <w:shd w:val="clear" w:color="auto" w:fill="D9EAF7"/>
            <w:vAlign w:val="center"/>
          </w:tcPr>
          <w:p ns2:paraId="75F0B5D9"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正文解读</w:t>
            </w:r>
          </w:p>
        </w:tc>
      </w:tr>
      <w:tr w:rsidR="00F546BE" w:rsidRPr="00D86217" ns2:paraId="3B2E3BD3" ns2:textId="77777777">
        <w:trPr>
          <w:jc w:val="center"/>
        </w:trPr>
        <w:tc>
          <w:tcPr>
            <w:tcW w:w="2324" w:type="dxa"/>
            <w:vAlign w:val="center"/>
          </w:tcPr>
          <w:p ns2:paraId="14F7CFD6"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容量口径</w:t>
            </w:r>
          </w:p>
        </w:tc>
        <w:tc>
          <w:tcPr>
            <w:tcW w:w="2324" w:type="dxa"/>
            <w:vAlign w:val="center"/>
          </w:tcPr>
          <w:p ns2:paraId="01ECF84C"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hybrid_v2 在 q&gt;0 时统一计入固定槽位成本：体积 2.0、重量 0.5</w:t>
            </w:r>
          </w:p>
        </w:tc>
        <w:tc>
          <w:tcPr>
            <w:tcW w:w="2324" w:type="dxa"/>
            <w:vAlign w:val="center"/>
          </w:tcPr>
          <w:p ns2:paraId="7AFE2DE2"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强调仅以统一容量口径下的结果解释 proxy 表现</w:t>
            </w:r>
          </w:p>
        </w:tc>
        <w:tc>
          <w:tcPr>
            <w:tcW w:w="2324" w:type="dxa"/>
            <w:vAlign w:val="center"/>
          </w:tcPr>
          <w:p ns2:paraId="043332BD"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正式结论以重跑后结果为准</w:t>
            </w:r>
          </w:p>
        </w:tc>
      </w:tr>
      <w:tr w:rsidR="00F546BE" w:rsidRPr="00D86217" ns2:paraId="39D968B4" ns2:textId="77777777">
        <w:trPr>
          <w:jc w:val="center"/>
        </w:trPr>
        <w:tc>
          <w:tcPr>
            <w:tcW w:w="2324" w:type="dxa"/>
            <w:vAlign w:val="center"/>
          </w:tcPr>
          <w:p ns2:paraId="77B9EC35"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边际容量判</w:t>
            </w:r>
            <w:r w:rsidRPr="00D86217">
              <w:rPr>
                <w:rFonts w:ascii="Songti TC" w:eastAsia="Songti TC" w:hAnsi="Songti TC"/>
                <w:sz w:val="32"/>
                <w:szCs w:val="32"/>
              </w:rPr>
              <w:lastRenderedPageBreak/>
              <w:t>断</w:t>
            </w:r>
          </w:p>
        </w:tc>
        <w:tc>
          <w:tcPr>
            <w:tcW w:w="2324" w:type="dxa"/>
            <w:vAlign w:val="center"/>
          </w:tcPr>
          <w:p ns2:paraId="32A7B64D"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 xml:space="preserve">同步修正 add/swap </w:t>
            </w:r>
            <w:r w:rsidRPr="00D86217">
              <w:rPr>
                <w:rFonts w:ascii="Songti TC" w:eastAsia="Songti TC" w:hAnsi="Songti TC"/>
                <w:sz w:val="32"/>
                <w:szCs w:val="32"/>
              </w:rPr>
              <w:lastRenderedPageBreak/>
              <w:t>中 0→1 与 1→0 的边际容量核算</w:t>
            </w:r>
          </w:p>
        </w:tc>
        <w:tc>
          <w:tcPr>
            <w:tcW w:w="2324" w:type="dxa"/>
            <w:vAlign w:val="center"/>
          </w:tcPr>
          <w:p ns2:paraId="670963FD"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lastRenderedPageBreak/>
              <w:t>避免只改总量</w:t>
            </w:r>
            <w:r w:rsidRPr="00D86217">
              <w:rPr>
                <w:rFonts w:ascii="Songti TC" w:eastAsia="Songti TC" w:hAnsi="Songti TC"/>
                <w:sz w:val="32"/>
                <w:szCs w:val="32"/>
                <w:lang w:eastAsia="zh-CN"/>
              </w:rPr>
              <w:lastRenderedPageBreak/>
              <w:t>函数而遗漏局部动作</w:t>
            </w:r>
          </w:p>
        </w:tc>
        <w:tc>
          <w:tcPr>
            <w:tcW w:w="2324" w:type="dxa"/>
            <w:vAlign w:val="center"/>
          </w:tcPr>
          <w:p ns2:paraId="6E4DCDB4"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比较基础更</w:t>
            </w:r>
            <w:r w:rsidRPr="00D86217">
              <w:rPr>
                <w:rFonts w:ascii="Songti TC" w:eastAsia="Songti TC" w:hAnsi="Songti TC"/>
                <w:sz w:val="32"/>
                <w:szCs w:val="32"/>
              </w:rPr>
              <w:lastRenderedPageBreak/>
              <w:t>可比</w:t>
            </w:r>
          </w:p>
        </w:tc>
      </w:tr>
      <w:tr w:rsidR="00F546BE" w:rsidRPr="00D86217" ns2:paraId="49090371" ns2:textId="77777777">
        <w:trPr>
          <w:jc w:val="center"/>
        </w:trPr>
        <w:tc>
          <w:tcPr>
            <w:tcW w:w="2324" w:type="dxa"/>
            <w:vAlign w:val="center"/>
          </w:tcPr>
          <w:p ns2:paraId="64929409"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proxy 注记</w:t>
            </w:r>
          </w:p>
        </w:tc>
        <w:tc>
          <w:tcPr>
            <w:tcW w:w="2324" w:type="dxa"/>
            <w:vAlign w:val="center"/>
          </w:tcPr>
          <w:p ns2:paraId="66460485"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benchmark 输出新增 aggregated_lfr_basis</w:t>
            </w:r>
          </w:p>
        </w:tc>
        <w:tc>
          <w:tcPr>
            <w:tcW w:w="2324" w:type="dxa"/>
            <w:vAlign w:val="center"/>
          </w:tcPr>
          <w:p ns2:paraId="272847B2"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避免把不同 basis 的 aggregated_lfr 当成同一绝对量比较</w:t>
            </w:r>
          </w:p>
        </w:tc>
        <w:tc>
          <w:tcPr>
            <w:tcW w:w="2324" w:type="dxa"/>
            <w:vAlign w:val="center"/>
          </w:tcPr>
          <w:p ns2:paraId="4F534849"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订单级横向比较以 basket replay 为主</w:t>
            </w:r>
          </w:p>
        </w:tc>
      </w:tr>
    </w:tbl>
    <w:p ns2:paraId="79D5E79B" ns2:textId="77777777" w:rsidR="009E7108" w:rsidRPr="00D86217" w:rsidRDefault="00000000">
      <w:pPr>
        <w:pStyle w:val="Heading2"/>
        <w:rPr>
          <w:rFonts w:ascii="Songti TC" w:eastAsia="Songti TC" w:hAnsi="Songti TC"/>
          <w:sz w:val="32"/>
          <w:szCs w:val="32"/>
          <w:lang w:eastAsia="zh-CN"/>
        </w:rPr>
      </w:pPr>
      <w:r w:rsidRPr="00D86217">
        <w:rPr>
          <w:rFonts w:ascii="Songti TC" w:eastAsia="Songti TC" w:hAnsi="Songti TC"/>
          <w:sz w:val="32"/>
          <w:szCs w:val="32"/>
          <w:lang w:eastAsia="zh-CN"/>
        </w:rPr>
        <w:t>5.3 基于共同窗口的 benchmark：真实订单篮子回放</w:t>
      </w:r>
    </w:p>
    <w:p ns2:paraId="1E23122F" ns2:textId="77777777" w:rsidR="009E7108"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rPr>
        <w:t>为了避免不同实验批次、不同窗口集合带来的比较偏差，本文进一步采用仓库中 benchmark_vs_hybrid_v2.py 脚本，对主方法与 hybrid_v2 在 baseline 场景下做共同窗口对齐。最终可比较的窗口数为 43。与前述聚合需求层面结果不同，这一 benchmark 直接利用 scanner_data.csv 的真实订单篮进行 replay，并分别在整单履约（whole-order）与部分履约（partial-order）两种口径下评估方法表现。</w:t>
      </w:r>
      <w:r w:rsidRPr="00D86217">
        <w:rPr>
          <w:rFonts w:ascii="Songti TC" w:eastAsia="Songti TC" w:hAnsi="Songti TC"/>
          <w:sz w:val="32"/>
          <w:szCs w:val="32"/>
          <w:lang w:eastAsia="zh-CN"/>
        </w:rPr>
        <w:t>本轮 benchmark 使用的是容量口径统一后的 hybrid_v2 结果，因此更适合作为正文中的订单级对照。</w:t>
      </w:r>
    </w:p>
    <w:p ns2:paraId="427D45B4" ns2:textId="77777777" w:rsidR="009E7108"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lastRenderedPageBreak/>
        <w:t>若以真实订单级表现为准，hybrid_v2 仍然是当前数据上的最强 benchmark，但其优势会随评价口径不同而发生明显变化。在 baseline 场景的 43 个共同窗口上，whole-order replay 显示 hybrid_v2 的平均 basket LFR 为 0.0632，平均 basket OFR 为 0.1071；对应地，主方法中表现最好的 dp_nominal 的平均 basket LFR 为 0.0416，平均 basket OFR 为 0.0754，cpsat_nominal 分别为 0.0386 与 0.0705。由此可见，在整单口径下，hybrid_v2 相比主方法仍保有较明显优势。</w:t>
      </w:r>
    </w:p>
    <w:p ns2:paraId="5AE7DFCF"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rPr>
        <w:t>但在 partial-order replay 中，这一优势已明显收窄。hybrid_v2 的平均 basket LFR 为 0.1244，而 dp_nominal 已达到 0.1211，二者差距仅约 0.0033；cpsat_nominal 为 0.1156，也与 hybrid_v2 相距不远。</w:t>
      </w:r>
      <w:r w:rsidRPr="00D86217">
        <w:rPr>
          <w:rFonts w:ascii="Songti TC" w:eastAsia="Songti TC" w:hAnsi="Songti TC"/>
          <w:sz w:val="32"/>
          <w:szCs w:val="32"/>
          <w:lang w:eastAsia="zh-CN"/>
        </w:rPr>
        <w:t>该结果说明，在允许部分履约的情形下，主方法与文献启发式之间的差距显著缩小。因此，更准确的结论应是：hybrid_v2 在整单指标上优势较为稳健，但在部分履约指标上仅保持小幅领先，而非在所有订单级指标上都呈现压倒性优势。</w:t>
      </w:r>
    </w:p>
    <w:p ns2:paraId="0C81E4BD" ns2:textId="77777777" w:rsidR="009E7108" w:rsidRPr="00D86217" w:rsidRDefault="00000000">
      <w:pPr>
        <w:spacing w:line="360" w:lineRule="auto"/>
        <w:ind w:firstLine="420"/>
        <w:rPr>
          <w:rFonts w:ascii="Songti TC" w:eastAsia="Songti TC" w:hAnsi="Songti TC"/>
          <w:sz w:val="32"/>
          <w:szCs w:val="32"/>
        </w:rPr>
      </w:pPr>
      <w:r w:rsidRPr="00D86217">
        <w:rPr>
          <w:rFonts w:ascii="Songti TC" w:eastAsia="Songti TC" w:hAnsi="Songti TC"/>
          <w:sz w:val="32"/>
          <w:szCs w:val="32"/>
        </w:rPr>
        <w:t>表 6 共同窗口 benchmark 结果（整单履约口径）</w:t>
      </w:r>
    </w:p>
    <w:tbl>
      <w:tblPr>
        <w:tblStyle w:val="TableGrid"/>
        <w:tblW w:w="0" w:type="auto"/>
        <w:tblLook w:val="04A0" w:firstRow="1" w:lastRow="0" w:firstColumn="1" w:lastColumn="0" w:noHBand="0" w:noVBand="1"/>
      </w:tblPr>
      <w:tblGrid>
        <w:gridCol w:w="2307"/>
        <w:gridCol w:w="1711"/>
        <w:gridCol w:w="1711"/>
        <w:gridCol w:w="1821"/>
        <w:gridCol w:w="1680"/>
      </w:tblGrid>
      <w:tr w:rsidR="009E7108" w:rsidRPr="00D86217" ns2:paraId="259390FD" ns2:textId="77777777">
        <w:tc>
          <w:tcPr>
            <w:tcW w:w="1860" w:type="dxa"/>
          </w:tcPr>
          <w:p ns2:paraId="6E30E6A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算法</w:t>
            </w:r>
          </w:p>
        </w:tc>
        <w:tc>
          <w:tcPr>
            <w:tcW w:w="1860" w:type="dxa"/>
          </w:tcPr>
          <w:p ns2:paraId="650D4CC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basket OFR</w:t>
            </w:r>
          </w:p>
        </w:tc>
        <w:tc>
          <w:tcPr>
            <w:tcW w:w="1860" w:type="dxa"/>
          </w:tcPr>
          <w:p ns2:paraId="4A47BD2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basket LFR</w:t>
            </w:r>
          </w:p>
        </w:tc>
        <w:tc>
          <w:tcPr>
            <w:tcW w:w="1860" w:type="dxa"/>
          </w:tcPr>
          <w:p ns2:paraId="3D31080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aggregated LFR</w:t>
            </w:r>
          </w:p>
        </w:tc>
        <w:tc>
          <w:tcPr>
            <w:tcW w:w="1860" w:type="dxa"/>
          </w:tcPr>
          <w:p ns2:paraId="1D0D62C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平均时间(s)</w:t>
            </w:r>
          </w:p>
        </w:tc>
      </w:tr>
      <w:tr w:rsidR="009E7108" w:rsidRPr="00D86217" ns2:paraId="55D45BF1" ns2:textId="77777777">
        <w:tc>
          <w:tcPr>
            <w:tcW w:w="1860" w:type="dxa"/>
          </w:tcPr>
          <w:p ns2:paraId="292DF6D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hybrid_v2</w:t>
            </w:r>
          </w:p>
        </w:tc>
        <w:tc>
          <w:tcPr>
            <w:tcW w:w="1860" w:type="dxa"/>
          </w:tcPr>
          <w:p ns2:paraId="6362F057"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0.1071</w:t>
            </w:r>
          </w:p>
        </w:tc>
        <w:tc>
          <w:tcPr>
            <w:tcW w:w="1860" w:type="dxa"/>
          </w:tcPr>
          <w:p ns2:paraId="65AB24D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0.0632</w:t>
            </w:r>
          </w:p>
        </w:tc>
        <w:tc>
          <w:tcPr>
            <w:tcW w:w="1860" w:type="dxa"/>
          </w:tcPr>
          <w:p ns2:paraId="71B0B01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0.2836</w:t>
            </w:r>
          </w:p>
        </w:tc>
        <w:tc>
          <w:tcPr>
            <w:tcW w:w="1860" w:type="dxa"/>
          </w:tcPr>
          <w:p ns2:paraId="225FF20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13.00</w:t>
            </w:r>
          </w:p>
        </w:tc>
      </w:tr>
      <w:tr w:rsidR="009E7108" w:rsidRPr="00D86217" ns2:paraId="2DDE91CA" ns2:textId="77777777">
        <w:tc>
          <w:tcPr>
            <w:tcW w:w="1860" w:type="dxa"/>
          </w:tcPr>
          <w:p ns2:paraId="4ED81A3F"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dp_nominal</w:t>
            </w:r>
          </w:p>
        </w:tc>
        <w:tc>
          <w:tcPr>
            <w:tcW w:w="1860" w:type="dxa"/>
          </w:tcPr>
          <w:p ns2:paraId="5373B9B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0.0754</w:t>
            </w:r>
          </w:p>
        </w:tc>
        <w:tc>
          <w:tcPr>
            <w:tcW w:w="1860" w:type="dxa"/>
          </w:tcPr>
          <w:p ns2:paraId="19A9026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0.0416</w:t>
            </w:r>
          </w:p>
        </w:tc>
        <w:tc>
          <w:tcPr>
            <w:tcW w:w="1860" w:type="dxa"/>
          </w:tcPr>
          <w:p ns2:paraId="03CE814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0.2025</w:t>
            </w:r>
          </w:p>
        </w:tc>
        <w:tc>
          <w:tcPr>
            <w:tcW w:w="1860" w:type="dxa"/>
          </w:tcPr>
          <w:p ns2:paraId="2442B32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17.13</w:t>
            </w:r>
          </w:p>
        </w:tc>
      </w:tr>
      <w:tr w:rsidR="009E7108" w:rsidRPr="00D86217" ns2:paraId="57AA58E1" ns2:textId="77777777">
        <w:tc>
          <w:tcPr>
            <w:tcW w:w="1860" w:type="dxa"/>
          </w:tcPr>
          <w:p ns2:paraId="4E8BD0F1"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cpsat_nominal</w:t>
            </w:r>
          </w:p>
        </w:tc>
        <w:tc>
          <w:tcPr>
            <w:tcW w:w="1860" w:type="dxa"/>
          </w:tcPr>
          <w:p ns2:paraId="64DB903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0.0705</w:t>
            </w:r>
          </w:p>
        </w:tc>
        <w:tc>
          <w:tcPr>
            <w:tcW w:w="1860" w:type="dxa"/>
          </w:tcPr>
          <w:p ns2:paraId="563909B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0.0386</w:t>
            </w:r>
          </w:p>
        </w:tc>
        <w:tc>
          <w:tcPr>
            <w:tcW w:w="1860" w:type="dxa"/>
          </w:tcPr>
          <w:p ns2:paraId="65377D7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0.1934</w:t>
            </w:r>
          </w:p>
        </w:tc>
        <w:tc>
          <w:tcPr>
            <w:tcW w:w="1860" w:type="dxa"/>
          </w:tcPr>
          <w:p ns2:paraId="1CD5F87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0.20</w:t>
            </w:r>
          </w:p>
        </w:tc>
      </w:tr>
      <w:tr w:rsidR="009E7108" w:rsidRPr="00D86217" ns2:paraId="0D3CC595" ns2:textId="77777777">
        <w:tc>
          <w:tcPr>
            <w:tcW w:w="1860" w:type="dxa"/>
          </w:tcPr>
          <w:p ns2:paraId="3D20938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dp_robust</w:t>
            </w:r>
          </w:p>
        </w:tc>
        <w:tc>
          <w:tcPr>
            <w:tcW w:w="1860" w:type="dxa"/>
          </w:tcPr>
          <w:p ns2:paraId="25C9133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0.0659</w:t>
            </w:r>
          </w:p>
        </w:tc>
        <w:tc>
          <w:tcPr>
            <w:tcW w:w="1860" w:type="dxa"/>
          </w:tcPr>
          <w:p ns2:paraId="2DF3D98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0.0359</w:t>
            </w:r>
          </w:p>
        </w:tc>
        <w:tc>
          <w:tcPr>
            <w:tcW w:w="1860" w:type="dxa"/>
          </w:tcPr>
          <w:p ns2:paraId="7EED367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0.1877</w:t>
            </w:r>
          </w:p>
        </w:tc>
        <w:tc>
          <w:tcPr>
            <w:tcW w:w="1860" w:type="dxa"/>
          </w:tcPr>
          <w:p ns2:paraId="6D4F109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16.81</w:t>
            </w:r>
          </w:p>
        </w:tc>
      </w:tr>
      <w:tr w:rsidR="009E7108" w:rsidRPr="00D86217" ns2:paraId="5F3633D8" ns2:textId="77777777">
        <w:tc>
          <w:tcPr>
            <w:tcW w:w="1860" w:type="dxa"/>
          </w:tcPr>
          <w:p ns2:paraId="6F748C5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cpsat_robust</w:t>
            </w:r>
          </w:p>
        </w:tc>
        <w:tc>
          <w:tcPr>
            <w:tcW w:w="1860" w:type="dxa"/>
          </w:tcPr>
          <w:p ns2:paraId="6537D93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0.0618</w:t>
            </w:r>
          </w:p>
        </w:tc>
        <w:tc>
          <w:tcPr>
            <w:tcW w:w="1860" w:type="dxa"/>
          </w:tcPr>
          <w:p ns2:paraId="2A93F78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0.0335</w:t>
            </w:r>
          </w:p>
        </w:tc>
        <w:tc>
          <w:tcPr>
            <w:tcW w:w="1860" w:type="dxa"/>
          </w:tcPr>
          <w:p ns2:paraId="098AED61"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0.1798</w:t>
            </w:r>
          </w:p>
        </w:tc>
        <w:tc>
          <w:tcPr>
            <w:tcW w:w="1860" w:type="dxa"/>
          </w:tcPr>
          <w:p ns2:paraId="31C149B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0.24</w:t>
            </w:r>
          </w:p>
        </w:tc>
      </w:tr>
      <w:tr w:rsidR="009E7108" w:rsidRPr="00D86217" ns2:paraId="58F39AB8" ns2:textId="77777777">
        <w:tc>
          <w:tcPr>
            <w:tcW w:w="1860" w:type="dxa"/>
          </w:tcPr>
          <w:p ns2:paraId="3D6FC60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greedy_nominal</w:t>
            </w:r>
          </w:p>
        </w:tc>
        <w:tc>
          <w:tcPr>
            <w:tcW w:w="1860" w:type="dxa"/>
          </w:tcPr>
          <w:p ns2:paraId="040DBFB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0.0614</w:t>
            </w:r>
          </w:p>
        </w:tc>
        <w:tc>
          <w:tcPr>
            <w:tcW w:w="1860" w:type="dxa"/>
          </w:tcPr>
          <w:p ns2:paraId="1E814F1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0.0333</w:t>
            </w:r>
          </w:p>
        </w:tc>
        <w:tc>
          <w:tcPr>
            <w:tcW w:w="1860" w:type="dxa"/>
          </w:tcPr>
          <w:p ns2:paraId="61C2E26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0.1831</w:t>
            </w:r>
          </w:p>
        </w:tc>
        <w:tc>
          <w:tcPr>
            <w:tcW w:w="1860" w:type="dxa"/>
          </w:tcPr>
          <w:p ns2:paraId="0C73FE68"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0.00</w:t>
            </w:r>
          </w:p>
        </w:tc>
      </w:tr>
      <w:tr w:rsidR="009E7108" w:rsidRPr="00D86217" ns2:paraId="54B27D66" ns2:textId="77777777">
        <w:tc>
          <w:tcPr>
            <w:tcW w:w="1860" w:type="dxa"/>
          </w:tcPr>
          <w:p ns2:paraId="148374D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greedy_robust</w:t>
            </w:r>
          </w:p>
        </w:tc>
        <w:tc>
          <w:tcPr>
            <w:tcW w:w="1860" w:type="dxa"/>
          </w:tcPr>
          <w:p ns2:paraId="12270AF8"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0.0546</w:t>
            </w:r>
          </w:p>
        </w:tc>
        <w:tc>
          <w:tcPr>
            <w:tcW w:w="1860" w:type="dxa"/>
          </w:tcPr>
          <w:p ns2:paraId="7EDC86E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0.0292</w:t>
            </w:r>
          </w:p>
        </w:tc>
        <w:tc>
          <w:tcPr>
            <w:tcW w:w="1860" w:type="dxa"/>
          </w:tcPr>
          <w:p ns2:paraId="6D30890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0.1679</w:t>
            </w:r>
          </w:p>
        </w:tc>
        <w:tc>
          <w:tcPr>
            <w:tcW w:w="1860" w:type="dxa"/>
          </w:tcPr>
          <w:p ns2:paraId="7A0609C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0.00</w:t>
            </w:r>
          </w:p>
        </w:tc>
      </w:tr>
    </w:tbl>
    <w:p ns2:paraId="5E818500" ns2:textId="77777777" w:rsidR="009E7108" w:rsidRPr="00D86217" w:rsidRDefault="00000000">
      <w:pPr>
        <w:spacing w:line="360" w:lineRule="auto"/>
        <w:ind w:firstLine="420"/>
        <w:rPr>
          <w:rFonts w:ascii="Songti TC" w:eastAsia="Songti TC" w:hAnsi="Songti TC"/>
          <w:sz w:val="32"/>
          <w:szCs w:val="32"/>
        </w:rPr>
      </w:pPr>
      <w:r w:rsidRPr="00D86217">
        <w:rPr>
          <w:rFonts w:ascii="Songti TC" w:eastAsia="Songti TC" w:hAnsi="Songti TC"/>
          <w:sz w:val="32"/>
          <w:szCs w:val="32"/>
        </w:rPr>
        <w:t>表 7 共同窗口 benchmark 结果（部分履约口径）</w:t>
      </w:r>
    </w:p>
    <w:tbl>
      <w:tblPr>
        <w:tblStyle w:val="TableGrid"/>
        <w:tblW w:w="0" w:type="auto"/>
        <w:tblLook w:val="04A0" w:firstRow="1" w:lastRow="0" w:firstColumn="1" w:lastColumn="0" w:noHBand="0" w:noVBand="1"/>
      </w:tblPr>
      <w:tblGrid>
        <w:gridCol w:w="2307"/>
        <w:gridCol w:w="1737"/>
        <w:gridCol w:w="1737"/>
        <w:gridCol w:w="1737"/>
        <w:gridCol w:w="1712"/>
      </w:tblGrid>
      <w:tr w:rsidR="009E7108" w:rsidRPr="00D86217" ns2:paraId="16A7B367" ns2:textId="77777777">
        <w:tc>
          <w:tcPr>
            <w:tcW w:w="1860" w:type="dxa"/>
          </w:tcPr>
          <w:p ns2:paraId="29D82DC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算法</w:t>
            </w:r>
          </w:p>
        </w:tc>
        <w:tc>
          <w:tcPr>
            <w:tcW w:w="1860" w:type="dxa"/>
          </w:tcPr>
          <w:p ns2:paraId="656066B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basket OFR</w:t>
            </w:r>
          </w:p>
        </w:tc>
        <w:tc>
          <w:tcPr>
            <w:tcW w:w="1860" w:type="dxa"/>
          </w:tcPr>
          <w:p ns2:paraId="3E520C6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basket LFR</w:t>
            </w:r>
          </w:p>
        </w:tc>
        <w:tc>
          <w:tcPr>
            <w:tcW w:w="1860" w:type="dxa"/>
          </w:tcPr>
          <w:p ns2:paraId="6CB341B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basket QFR</w:t>
            </w:r>
          </w:p>
        </w:tc>
        <w:tc>
          <w:tcPr>
            <w:tcW w:w="1860" w:type="dxa"/>
          </w:tcPr>
          <w:p ns2:paraId="33EC989E"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平均时间(s)</w:t>
            </w:r>
          </w:p>
        </w:tc>
      </w:tr>
      <w:tr w:rsidR="009E7108" w:rsidRPr="00D86217" ns2:paraId="2D78ACCD" ns2:textId="77777777">
        <w:tc>
          <w:tcPr>
            <w:tcW w:w="1860" w:type="dxa"/>
          </w:tcPr>
          <w:p ns2:paraId="3A9A2D4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hybrid_v2</w:t>
            </w:r>
          </w:p>
        </w:tc>
        <w:tc>
          <w:tcPr>
            <w:tcW w:w="1860" w:type="dxa"/>
          </w:tcPr>
          <w:p ns2:paraId="47C7620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0.0584</w:t>
            </w:r>
          </w:p>
        </w:tc>
        <w:tc>
          <w:tcPr>
            <w:tcW w:w="1860" w:type="dxa"/>
          </w:tcPr>
          <w:p ns2:paraId="47091FC1"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0.1244</w:t>
            </w:r>
          </w:p>
        </w:tc>
        <w:tc>
          <w:tcPr>
            <w:tcW w:w="1860" w:type="dxa"/>
          </w:tcPr>
          <w:p ns2:paraId="44140E3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0.1072</w:t>
            </w:r>
          </w:p>
        </w:tc>
        <w:tc>
          <w:tcPr>
            <w:tcW w:w="1860" w:type="dxa"/>
          </w:tcPr>
          <w:p ns2:paraId="5071814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13.00</w:t>
            </w:r>
          </w:p>
        </w:tc>
      </w:tr>
      <w:tr w:rsidR="009E7108" w:rsidRPr="00D86217" ns2:paraId="786FFB98" ns2:textId="77777777">
        <w:tc>
          <w:tcPr>
            <w:tcW w:w="1860" w:type="dxa"/>
          </w:tcPr>
          <w:p ns2:paraId="0989F69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dp_nominal</w:t>
            </w:r>
          </w:p>
        </w:tc>
        <w:tc>
          <w:tcPr>
            <w:tcW w:w="1860" w:type="dxa"/>
          </w:tcPr>
          <w:p ns2:paraId="0CC4ADB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0.0648</w:t>
            </w:r>
          </w:p>
        </w:tc>
        <w:tc>
          <w:tcPr>
            <w:tcW w:w="1860" w:type="dxa"/>
          </w:tcPr>
          <w:p ns2:paraId="7049BA58"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0.1211</w:t>
            </w:r>
          </w:p>
        </w:tc>
        <w:tc>
          <w:tcPr>
            <w:tcW w:w="1860" w:type="dxa"/>
          </w:tcPr>
          <w:p ns2:paraId="577EB2E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0.0914</w:t>
            </w:r>
          </w:p>
        </w:tc>
        <w:tc>
          <w:tcPr>
            <w:tcW w:w="1860" w:type="dxa"/>
          </w:tcPr>
          <w:p ns2:paraId="32A17E1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17.13</w:t>
            </w:r>
          </w:p>
        </w:tc>
      </w:tr>
      <w:tr w:rsidR="009E7108" w:rsidRPr="00D86217" ns2:paraId="28D9B7D6" ns2:textId="77777777">
        <w:tc>
          <w:tcPr>
            <w:tcW w:w="1860" w:type="dxa"/>
          </w:tcPr>
          <w:p ns2:paraId="7B13E6FC"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cpsat_nominal</w:t>
            </w:r>
          </w:p>
        </w:tc>
        <w:tc>
          <w:tcPr>
            <w:tcW w:w="1860" w:type="dxa"/>
          </w:tcPr>
          <w:p ns2:paraId="4591399F"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0.0609</w:t>
            </w:r>
          </w:p>
        </w:tc>
        <w:tc>
          <w:tcPr>
            <w:tcW w:w="1860" w:type="dxa"/>
          </w:tcPr>
          <w:p ns2:paraId="6F5C6E2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0.1156</w:t>
            </w:r>
          </w:p>
        </w:tc>
        <w:tc>
          <w:tcPr>
            <w:tcW w:w="1860" w:type="dxa"/>
          </w:tcPr>
          <w:p ns2:paraId="47FA2BB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0.0873</w:t>
            </w:r>
          </w:p>
        </w:tc>
        <w:tc>
          <w:tcPr>
            <w:tcW w:w="1860" w:type="dxa"/>
          </w:tcPr>
          <w:p ns2:paraId="636B5CF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0.20</w:t>
            </w:r>
          </w:p>
        </w:tc>
      </w:tr>
      <w:tr w:rsidR="009E7108" w:rsidRPr="00D86217" ns2:paraId="636354F9" ns2:textId="77777777">
        <w:tc>
          <w:tcPr>
            <w:tcW w:w="1860" w:type="dxa"/>
          </w:tcPr>
          <w:p ns2:paraId="436E534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lastRenderedPageBreak/>
              <w:t>dp_robust</w:t>
            </w:r>
          </w:p>
        </w:tc>
        <w:tc>
          <w:tcPr>
            <w:tcW w:w="1860" w:type="dxa"/>
          </w:tcPr>
          <w:p ns2:paraId="7A7C952A"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0.0596</w:t>
            </w:r>
          </w:p>
        </w:tc>
        <w:tc>
          <w:tcPr>
            <w:tcW w:w="1860" w:type="dxa"/>
          </w:tcPr>
          <w:p ns2:paraId="1873611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0.1113</w:t>
            </w:r>
          </w:p>
        </w:tc>
        <w:tc>
          <w:tcPr>
            <w:tcW w:w="1860" w:type="dxa"/>
          </w:tcPr>
          <w:p ns2:paraId="1D5FD046"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0.0827</w:t>
            </w:r>
          </w:p>
        </w:tc>
        <w:tc>
          <w:tcPr>
            <w:tcW w:w="1860" w:type="dxa"/>
          </w:tcPr>
          <w:p ns2:paraId="7FC5D40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16.81</w:t>
            </w:r>
          </w:p>
        </w:tc>
      </w:tr>
      <w:tr w:rsidR="009E7108" w:rsidRPr="00D86217" ns2:paraId="72FA849F" ns2:textId="77777777">
        <w:tc>
          <w:tcPr>
            <w:tcW w:w="1860" w:type="dxa"/>
          </w:tcPr>
          <w:p ns2:paraId="74BFC53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greedy_nominal</w:t>
            </w:r>
          </w:p>
        </w:tc>
        <w:tc>
          <w:tcPr>
            <w:tcW w:w="1860" w:type="dxa"/>
          </w:tcPr>
          <w:p ns2:paraId="7BFE03B4"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0.0561</w:t>
            </w:r>
          </w:p>
        </w:tc>
        <w:tc>
          <w:tcPr>
            <w:tcW w:w="1860" w:type="dxa"/>
          </w:tcPr>
          <w:p ns2:paraId="5AE11516"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0.1074</w:t>
            </w:r>
          </w:p>
        </w:tc>
        <w:tc>
          <w:tcPr>
            <w:tcW w:w="1860" w:type="dxa"/>
          </w:tcPr>
          <w:p ns2:paraId="07F2E136"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0.0808</w:t>
            </w:r>
          </w:p>
        </w:tc>
        <w:tc>
          <w:tcPr>
            <w:tcW w:w="1860" w:type="dxa"/>
          </w:tcPr>
          <w:p ns2:paraId="0BB67D88"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0.00</w:t>
            </w:r>
          </w:p>
        </w:tc>
      </w:tr>
      <w:tr w:rsidR="009E7108" w:rsidRPr="00D86217" ns2:paraId="30468138" ns2:textId="77777777">
        <w:tc>
          <w:tcPr>
            <w:tcW w:w="1860" w:type="dxa"/>
          </w:tcPr>
          <w:p ns2:paraId="0FBECD2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cpsat_robust</w:t>
            </w:r>
          </w:p>
        </w:tc>
        <w:tc>
          <w:tcPr>
            <w:tcW w:w="1860" w:type="dxa"/>
          </w:tcPr>
          <w:p ns2:paraId="25D0777B"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0.0559</w:t>
            </w:r>
          </w:p>
        </w:tc>
        <w:tc>
          <w:tcPr>
            <w:tcW w:w="1860" w:type="dxa"/>
          </w:tcPr>
          <w:p ns2:paraId="49847343"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0.1063</w:t>
            </w:r>
          </w:p>
        </w:tc>
        <w:tc>
          <w:tcPr>
            <w:tcW w:w="1860" w:type="dxa"/>
          </w:tcPr>
          <w:p ns2:paraId="7946B969"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0.0791</w:t>
            </w:r>
          </w:p>
        </w:tc>
        <w:tc>
          <w:tcPr>
            <w:tcW w:w="1860" w:type="dxa"/>
          </w:tcPr>
          <w:p ns2:paraId="2943FCD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0.24</w:t>
            </w:r>
          </w:p>
        </w:tc>
      </w:tr>
      <w:tr w:rsidR="009E7108" w:rsidRPr="00D86217" ns2:paraId="7DDBC9F0" ns2:textId="77777777">
        <w:tc>
          <w:tcPr>
            <w:tcW w:w="1860" w:type="dxa"/>
          </w:tcPr>
          <w:p ns2:paraId="1BD80A07"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greedy_robust</w:t>
            </w:r>
          </w:p>
        </w:tc>
        <w:tc>
          <w:tcPr>
            <w:tcW w:w="1860" w:type="dxa"/>
          </w:tcPr>
          <w:p ns2:paraId="4A05695D"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0.0514</w:t>
            </w:r>
          </w:p>
        </w:tc>
        <w:tc>
          <w:tcPr>
            <w:tcW w:w="1860" w:type="dxa"/>
          </w:tcPr>
          <w:p ns2:paraId="4CA7DED0"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0.0971</w:t>
            </w:r>
          </w:p>
        </w:tc>
        <w:tc>
          <w:tcPr>
            <w:tcW w:w="1860" w:type="dxa"/>
          </w:tcPr>
          <w:p ns2:paraId="5F1BBD15"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0.0721</w:t>
            </w:r>
          </w:p>
        </w:tc>
        <w:tc>
          <w:tcPr>
            <w:tcW w:w="1860" w:type="dxa"/>
          </w:tcPr>
          <w:p ns2:paraId="4631C192" ns2:textId="77777777" w:rsidR="00AC1896" w:rsidRPr="00D86217" w:rsidRDefault="00000000">
            <w:pPr>
              <w:rPr>
                <w:rFonts w:ascii="Songti TC" w:eastAsia="Songti TC" w:hAnsi="Songti TC"/>
                <w:sz w:val="32"/>
                <w:szCs w:val="32"/>
              </w:rPr>
            </w:pPr>
            <w:r w:rsidRPr="00D86217">
              <w:rPr>
                <w:rFonts w:ascii="Songti TC" w:eastAsia="Songti TC" w:hAnsi="Songti TC"/>
                <w:sz w:val="32"/>
                <w:szCs w:val="32"/>
              </w:rPr>
              <w:t>0.00</w:t>
            </w:r>
          </w:p>
        </w:tc>
      </w:tr>
    </w:tbl>
    <w:p ns2:paraId="73DEFC76" ns2:textId="77777777" w:rsidR="009E7108"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更重要的是，benchmark 揭示了聚合代理指标与真实订单篮指标之间存在显著差距。由于 benchmark 输出中已经加入 aggregated_lfr_basis，本文不将 hybrid_v2 的聚合 LFR 与主方法 rolling_results 中的解析期望 fill rate 直接当作同一绝对量纲比较；相反，aggregated_lfr 仅被视为“各方法自身 proxy 层结果”的辅助信息，而真正用于横向判断订单体验的，是 whole-order 与 partial-order 两类 basket replay 指标。为进一步检验 benchmark 结论的稳健性，本文基于共同窗口的配对结果比较了 hybrid_v2 与主方法代表方案 dp_nominal 的 basket-level 指标差异。结果显示，在 whole-order replay 下，hybrid_v2 相对于 dp_nominal 的 basket LFR 平均优势约为 0.0216，且窗口间差异较为稳定；而在 partial-order replay 下，该平均优势缩小至约 0.0033。由此可见，</w:t>
      </w:r>
      <w:r w:rsidRPr="00D86217">
        <w:rPr>
          <w:rFonts w:ascii="Songti TC" w:eastAsia="Songti TC" w:hAnsi="Songti TC"/>
          <w:sz w:val="32"/>
          <w:szCs w:val="32"/>
          <w:lang w:eastAsia="zh-CN"/>
        </w:rPr>
        <w:lastRenderedPageBreak/>
        <w:t>评价口径会显著影响方法排序与优势幅度：若以整单履约体验为核心 KPI，则 hybrid_v2 的优势更为明确；若以部分履约或行级满足为核心 KPI，则主方法与 hybrid_v2 的差距已大幅收窄。</w:t>
      </w:r>
    </w:p>
    <w:p ns2:paraId="4C8839DF"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sz w:val="32"/>
          <w:szCs w:val="32"/>
          <w:lang w:eastAsia="zh-CN"/>
        </w:rPr>
        <w:t>5.4 场景分项讨论</w:t>
      </w:r>
    </w:p>
    <w:p ns2:paraId="2120F55B"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在聚合需求层面的 baseline 场景中，DP-Lagrangian 仍然代表了主方法中最强的全局协调能力；而在订单级 benchmark 中，hybrid_v2 仍然保持领先，只是优势已因容量口径统一而有所收窄。由此可见，baseline 场景中的“最好方法”会随着评价指标变化而发生变化，但这种变化不应建立在口径不一致的 proxy 数值之上，而应建立在重跑后的共同窗口结果之上。</w:t>
      </w:r>
    </w:p>
    <w:p ns2:paraId="087179A1"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Times New Roman"/>
          <w:sz w:val="32"/>
          <w:szCs w:val="32"/>
          <w:lang w:eastAsia="zh-CN"/>
        </w:rPr>
        <w:t>High volatility 场景仅保留波动较高的 SKU。此时 literature-inspired 基线仍然优于简单 Greedy，但 DP-Lagrangian 的领先依旧存在，说明在需求不确定性增强时，局部边际最优并不会自然转化为全局最优。值得注意的是，robust 版本在三类场景下均未带来更高 LFR，表明在当前容量约束下，对需求做保守修正会提</w:t>
      </w:r>
      <w:r w:rsidRPr="00D86217">
        <w:rPr>
          <w:rFonts w:ascii="Songti TC" w:eastAsia="Songti TC" w:hAnsi="Songti TC" w:cs="Times New Roman"/>
          <w:sz w:val="32"/>
          <w:szCs w:val="32"/>
          <w:lang w:eastAsia="zh-CN"/>
        </w:rPr>
        <w:lastRenderedPageBreak/>
        <w:t>高单 SKU 目标库存，从而压缩可上架 SKU 数量，最终削弱整体配置空间。这说明 robustness 在本研究设定下更多体现为“更保守的资源分配”，而不一定转化为更高的样本外服务水平。</w:t>
      </w:r>
    </w:p>
    <w:p ns2:paraId="0453D99A"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cs="Times New Roman"/>
          <w:sz w:val="32"/>
          <w:szCs w:val="32"/>
        </w:rPr>
        <w:t xml:space="preserve">Large scale </w:t>
      </w:r>
      <w:r w:rsidRPr="00D86217">
        <w:rPr>
          <w:rFonts w:ascii="Songti TC" w:eastAsia="Songti TC" w:hAnsi="Songti TC" w:cs="Heiti TC" w:hint="eastAsia"/>
          <w:sz w:val="32"/>
          <w:szCs w:val="32"/>
        </w:rPr>
        <w:t>场景将规模扩大到</w:t>
      </w:r>
      <w:r w:rsidRPr="00D86217">
        <w:rPr>
          <w:rFonts w:ascii="Songti TC" w:eastAsia="Songti TC" w:hAnsi="Songti TC" w:cs="Times New Roman"/>
          <w:sz w:val="32"/>
          <w:szCs w:val="32"/>
        </w:rPr>
        <w:t xml:space="preserve"> 500 </w:t>
      </w:r>
      <w:r w:rsidRPr="00D86217">
        <w:rPr>
          <w:rFonts w:ascii="Songti TC" w:eastAsia="Songti TC" w:hAnsi="Songti TC" w:cs="Heiti TC" w:hint="eastAsia"/>
          <w:sz w:val="32"/>
          <w:szCs w:val="32"/>
        </w:rPr>
        <w:t>个</w:t>
      </w:r>
      <w:r w:rsidRPr="00D86217">
        <w:rPr>
          <w:rFonts w:ascii="Songti TC" w:eastAsia="Songti TC" w:hAnsi="Songti TC" w:cs="Times New Roman"/>
          <w:sz w:val="32"/>
          <w:szCs w:val="32"/>
        </w:rPr>
        <w:t xml:space="preserve"> SKU</w:t>
      </w:r>
      <w:r w:rsidRPr="00D86217">
        <w:rPr>
          <w:rFonts w:ascii="Songti TC" w:eastAsia="Songti TC" w:hAnsi="Songti TC" w:cs="Heiti TC" w:hint="eastAsia"/>
          <w:sz w:val="32"/>
          <w:szCs w:val="32"/>
        </w:rPr>
        <w:t>，且容量进一步收紧。在这一场景中，不同算法的绝对</w:t>
      </w:r>
      <w:r w:rsidRPr="00D86217">
        <w:rPr>
          <w:rFonts w:ascii="Songti TC" w:eastAsia="Songti TC" w:hAnsi="Songti TC" w:cs="Times New Roman"/>
          <w:sz w:val="32"/>
          <w:szCs w:val="32"/>
        </w:rPr>
        <w:t xml:space="preserve"> LFR </w:t>
      </w:r>
      <w:r w:rsidRPr="00D86217">
        <w:rPr>
          <w:rFonts w:ascii="Songti TC" w:eastAsia="Songti TC" w:hAnsi="Songti TC" w:cs="Heiti TC" w:hint="eastAsia"/>
          <w:sz w:val="32"/>
          <w:szCs w:val="32"/>
        </w:rPr>
        <w:t>整体下降，但</w:t>
      </w:r>
      <w:r w:rsidRPr="00D86217">
        <w:rPr>
          <w:rFonts w:ascii="Songti TC" w:eastAsia="Songti TC" w:hAnsi="Songti TC" w:cs="Times New Roman"/>
          <w:sz w:val="32"/>
          <w:szCs w:val="32"/>
        </w:rPr>
        <w:t xml:space="preserve"> DP-Lagrangian </w:t>
      </w:r>
      <w:r w:rsidRPr="00D86217">
        <w:rPr>
          <w:rFonts w:ascii="Songti TC" w:eastAsia="Songti TC" w:hAnsi="Songti TC" w:cs="Heiti TC" w:hint="eastAsia"/>
          <w:sz w:val="32"/>
          <w:szCs w:val="32"/>
        </w:rPr>
        <w:t>与文献基线的差距仍保持在</w:t>
      </w:r>
      <w:r w:rsidRPr="00D86217">
        <w:rPr>
          <w:rFonts w:ascii="Songti TC" w:eastAsia="Songti TC" w:hAnsi="Songti TC" w:cs="Times New Roman"/>
          <w:sz w:val="32"/>
          <w:szCs w:val="32"/>
        </w:rPr>
        <w:t xml:space="preserve"> 4% </w:t>
      </w:r>
      <w:r w:rsidRPr="00D86217">
        <w:rPr>
          <w:rFonts w:ascii="Songti TC" w:eastAsia="Songti TC" w:hAnsi="Songti TC" w:cs="Heiti TC" w:hint="eastAsia"/>
          <w:sz w:val="32"/>
          <w:szCs w:val="32"/>
        </w:rPr>
        <w:t>以上，相比之下</w:t>
      </w:r>
      <w:r w:rsidRPr="00D86217">
        <w:rPr>
          <w:rFonts w:ascii="Songti TC" w:eastAsia="Songti TC" w:hAnsi="Songti TC" w:cs="Times New Roman"/>
          <w:sz w:val="32"/>
          <w:szCs w:val="32"/>
        </w:rPr>
        <w:t xml:space="preserve"> Greedy </w:t>
      </w:r>
      <w:r w:rsidRPr="00D86217">
        <w:rPr>
          <w:rFonts w:ascii="Songti TC" w:eastAsia="Songti TC" w:hAnsi="Songti TC" w:cs="Heiti TC" w:hint="eastAsia"/>
          <w:sz w:val="32"/>
          <w:szCs w:val="32"/>
        </w:rPr>
        <w:t>的相对劣势进一步扩大。</w:t>
      </w:r>
      <w:r w:rsidRPr="00D86217">
        <w:rPr>
          <w:rFonts w:ascii="Songti TC" w:eastAsia="Songti TC" w:hAnsi="Songti TC" w:cs="Heiti TC" w:hint="eastAsia"/>
          <w:sz w:val="32"/>
          <w:szCs w:val="32"/>
          <w:lang w:eastAsia="zh-CN"/>
        </w:rPr>
        <w:t>这与本文的研究判断一致：随着候选空间变大，局部启发式更容易受到搜索路径影响，而全局协调能力的价值会进一步放大。</w:t>
      </w:r>
    </w:p>
    <w:p ns2:paraId="1FCFA0B2"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sz w:val="32"/>
          <w:szCs w:val="32"/>
          <w:lang w:eastAsia="zh-CN"/>
        </w:rPr>
        <w:t>5.5 结果对研究问题的回答</w:t>
      </w:r>
    </w:p>
    <w:p ns2:paraId="7B548588"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针对 RQ1，实验结果总体支持联合优化优于简单局部经验规则。无论在聚合需求层面的三类场景，还是在 baseline 共同窗口 benchmark 中，Greedy 始终处于较弱位置；DP-Lagrangian 与 CP-SAT 在聚合代理指标上明显优于简单 Greedy。</w:t>
      </w:r>
    </w:p>
    <w:p ns2:paraId="7493AD70"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针对 RQ2，实验结果表明文献启发式 baseline 是一个强 benchmark：在统一容量口径后，hybrid_v2 依然能在 baseline 共同窗口的真实订单篮回放中保持领先。但这一领先并非在所有订单级口径下都同样强烈。更准确地说，hybrid_v2 在整单履约指标上优势较为明显，而在允许部分履约时，其相对于主方法的优势已显著收窄。这使本文的比较更加稳健，也更接近“是否同口径比较”的研究要求。</w:t>
      </w:r>
    </w:p>
    <w:p ns2:paraId="60718544"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针对 RQ3，评价口径的变化确实会暴露出 proxy 指标与真实订单满足能力之间的系统差异。这种差异不仅来自订单结构与库存消耗路径，也来自指标定义与容量核算方式本身。因此，前置仓研究既要讨论规模与容量，也要讨论比较口径是否一致、aggregated_lfr 的 basis 是什么，以及最终是用什么 KPI 来定义改进。</w:t>
      </w:r>
    </w:p>
    <w:p ns2:paraId="7E126AF9" ns2:textId="77777777" w:rsidR="00F546BE" w:rsidRPr="00D86217" w:rsidRDefault="00000000">
      <w:pPr>
        <w:pStyle w:val="Heading2"/>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5.6 局限性讨论</w:t>
      </w:r>
    </w:p>
    <w:p ns2:paraId="239EDA87"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第一，本文采用的收益参数 u_i、h_i、b_i、f_i 属于代理参数，因此结果更适合解读为算法之间的相对比较，而非企业真实利润的精确估计。与此同时，体积参数 v_i 与重量参数 w_i 也基于价格分层规则生成，而非来自实际仓储测量，因此资源约束的业务解释应理解为结构性近似而非精确运营复刻。</w:t>
      </w:r>
    </w:p>
    <w:p ns2:paraId="2032417D"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rPr>
        <w:t>第二，尽管本文已经在 baseline 场景下补充了 shared-window benchmark 与订单级篮子回放，但 high volatility 与 large scale 场景尚未扩展到同样严格的订单级 benchmark。因此，当前关于文献基线在订单体验上的优势判断，应主要理解为 baseline 场景下的经验发现，而不宜直接外推到所有场景。</w:t>
      </w:r>
    </w:p>
    <w:p ns2:paraId="43072716"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第三，本文纳入的 hybrid_v2 属于 literature-inspired benchmark，其目标是在统一前置仓设定下引入一种具有文献动机的强启发式对照，而非逐项复现外部论文原始模型。其内部包含前置选品、替代近似与局部搜索等机制，因此与本文主方法在求解空间与状态表示上并不完全一致。本文结论据此更适合表述</w:t>
      </w:r>
      <w:r w:rsidRPr="00D86217">
        <w:rPr>
          <w:rFonts w:ascii="Songti TC" w:eastAsia="Songti TC" w:hAnsi="Songti TC"/>
          <w:sz w:val="32"/>
          <w:szCs w:val="32"/>
          <w:lang w:eastAsia="zh-CN"/>
        </w:rPr>
        <w:lastRenderedPageBreak/>
        <w:t>为“不同决策机制在统一业务环境下的相对比较”，而不是对外部文献原模型优劣的严格判定。</w:t>
      </w:r>
    </w:p>
    <w:p ns2:paraId="04734632"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t>6 管理启示与结论</w:t>
      </w:r>
    </w:p>
    <w:p ns2:paraId="55589F6A" ns2:textId="77777777" w:rsidR="00AC1896" w:rsidRPr="00D86217" w:rsidRDefault="00000000">
      <w:pPr>
        <w:pStyle w:val="Heading2"/>
        <w:rPr>
          <w:rFonts w:ascii="Songti TC" w:eastAsia="Songti TC" w:hAnsi="Songti TC"/>
          <w:sz w:val="32"/>
          <w:szCs w:val="32"/>
          <w:lang w:eastAsia="zh-CN"/>
        </w:rPr>
      </w:pPr>
      <w:r w:rsidRPr="00D86217">
        <w:rPr>
          <w:rFonts w:ascii="Songti TC" w:eastAsia="Songti TC" w:hAnsi="Songti TC"/>
          <w:sz w:val="32"/>
          <w:szCs w:val="32"/>
          <w:lang w:eastAsia="zh-CN"/>
        </w:rPr>
        <w:t>6.1 管理启示</w:t>
      </w:r>
    </w:p>
    <w:p ns2:paraId="43E888A3" ns2:textId="77777777" w:rsidR="00AC1896" w:rsidRPr="00D86217" w:rsidRDefault="00000000">
      <w:pPr>
        <w:spacing w:line="360" w:lineRule="auto"/>
        <w:ind w:firstLine="420"/>
        <w:rPr>
          <w:rFonts w:ascii="Songti TC" w:eastAsia="Songti TC" w:hAnsi="Songti TC"/>
          <w:sz w:val="32"/>
          <w:szCs w:val="32"/>
          <w:lang w:eastAsia="zh-CN"/>
        </w:rPr>
      </w:pPr>
      <w:r w:rsidRPr="00D86217">
        <w:rPr>
          <w:rFonts w:ascii="Songti TC" w:eastAsia="Songti TC" w:hAnsi="Songti TC"/>
          <w:sz w:val="32"/>
          <w:szCs w:val="32"/>
          <w:lang w:eastAsia="zh-CN"/>
        </w:rPr>
        <w:t>基于本文在聚合需求层与订单级篮子回放层的双层结果，可以得到三点直接面向管理实践的启示。第一，前置仓算法选型必须以业务 KPI 为前提：若管理目标更偏向 SKU 级总体覆盖率与方案生成稳定性，则 DP-Lagrangian 与 CP-SAT 所代表的联合优化方法更适合作为主方法；若管理者更关心整单履约、部分履约与用户下单体验，则必须同时结合真实订单篮 benchmark 进行方案评估，而不能仅依赖聚合 line fill rate。第二，在高密度、小仓容、多 SKU 竞争资源的前置仓环境中，容量口径的一致性本身就是管理决策的一部分。同样命名为 fill rate 的指标，如果背后的固定槽位成本、容量核算方式或窗口集合不一致，就可能误导算法比较与资源投入判断。第三，前置仓不宜孤立地把“选</w:t>
      </w:r>
      <w:r w:rsidRPr="00D86217">
        <w:rPr>
          <w:rFonts w:ascii="Songti TC" w:eastAsia="Songti TC" w:hAnsi="Songti TC"/>
          <w:sz w:val="32"/>
          <w:szCs w:val="32"/>
          <w:lang w:eastAsia="zh-CN"/>
        </w:rPr>
        <w:lastRenderedPageBreak/>
        <w:t>品”“备货”“订单体验”拆开管理。更有效的做法是将 SKU 进入决策、库存深度配置与订单级回放评估纳入同一分析闭环，从而在有限仓容下持续修正选品结构与库存策略。</w:t>
      </w:r>
    </w:p>
    <w:p ns2:paraId="4ACEBAF8" ns2:textId="77777777" w:rsidR="00AC1896" w:rsidRPr="00D86217" w:rsidRDefault="00000000">
      <w:pPr>
        <w:pStyle w:val="Heading2"/>
        <w:rPr>
          <w:rFonts w:ascii="Songti TC" w:eastAsia="Songti TC" w:hAnsi="Songti TC"/>
          <w:sz w:val="32"/>
          <w:szCs w:val="32"/>
        </w:rPr>
      </w:pPr>
      <w:r w:rsidRPr="00D86217">
        <w:rPr>
          <w:rFonts w:ascii="Songti TC" w:eastAsia="Songti TC" w:hAnsi="Songti TC"/>
          <w:sz w:val="32"/>
          <w:szCs w:val="32"/>
        </w:rPr>
        <w:t>6.2 结论</w:t>
      </w:r>
    </w:p>
    <w:p ns2:paraId="77E78931"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rPr>
        <w:t>本文围绕前置仓场景下的 SKU 选品与库存配置联合优化问题，构建了一个在双资源约束下的离散联合优化框架，并在真实历史需求数据上比较了 Greedy、DP-Lagrangian、CP-SAT 与 literature-inspired / hybrid 文献基线的表现。</w:t>
      </w:r>
      <w:r w:rsidRPr="00D86217">
        <w:rPr>
          <w:rFonts w:ascii="Songti TC" w:eastAsia="Songti TC" w:hAnsi="Songti TC"/>
          <w:sz w:val="32"/>
          <w:szCs w:val="32"/>
          <w:lang w:eastAsia="zh-CN"/>
        </w:rPr>
        <w:t>结果表明：简单 Greedy 速度最快但效果最弱；文献启发式基线是一类质量较高、但对容量口径与评价口径较为敏感的 benchmark；CP-SAT 提供了统一模型上的高质量参考；DP-Lagrangian 在三类场景的聚合需求层评估中稳定取得最高 LFR，体现出更强的全局配置能力；而在 baseline 共同窗口的真实订单篮 benchmark 中，hybrid_v2 在统一固定槽位成本后仍保持整单与部分履约上的领先，但其在部分履约指标上的优势已明显收窄。这一结果说明，前置仓算法评价必须同时重视统一口径与业务 KPI。</w:t>
      </w:r>
    </w:p>
    <w:p ns2:paraId="0887197C"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对管理实践而言，本文结果意味着：当企业目标是提升聚合需求层面的覆盖效率与方案生成稳定性时，DP-Lagrangian 与 CP-SAT 所代表的联合优化方法更有优势；而当企业更关心真实订单是否能被完整或较高比例履约时，hybrid_v2 这样的强 benchmark 仍具有参考价值，但前提是容量核算、窗口集合与 replay 规则都已经与主方法对齐。换言之，算法选型不能脱离业务 KPI，也不能脱离比较口径：若 KPI 是 SKU 级 fill rate，与 KPI 是整单履约，最优方法未必相同；若容量口径或窗口集合不一致，表面上的优劣也可能失真。</w:t>
      </w:r>
    </w:p>
    <w:p ns2:paraId="41E9671D" ns2:textId="77777777" w:rsidR="00F546BE" w:rsidRPr="00D86217" w:rsidRDefault="00000000">
      <w:pPr>
        <w:spacing w:line="360" w:lineRule="auto"/>
        <w:ind w:firstLine="420"/>
        <w:rPr>
          <w:rFonts w:ascii="Songti TC" w:eastAsia="Songti TC" w:hAnsi="Songti TC" w:cs="Times New Roman"/>
          <w:sz w:val="32"/>
          <w:szCs w:val="32"/>
          <w:lang w:eastAsia="zh-CN"/>
        </w:rPr>
      </w:pPr>
      <w:r w:rsidRPr="00D86217">
        <w:rPr>
          <w:rFonts w:ascii="Songti TC" w:eastAsia="Songti TC" w:hAnsi="Songti TC"/>
          <w:sz w:val="32"/>
          <w:szCs w:val="32"/>
          <w:lang w:eastAsia="zh-CN"/>
        </w:rPr>
        <w:t>综合两层实验结果，本文认为前置仓优化研究不宜仅依据单一 SKU 级 proxy 指标评价方案优劣。若研究目标是提升聚合需求层面的覆盖效率，则 DP-Lagrangian 所代表的联合优化方法在三类场景下表现最强；若研究目标更接近真实订单履约体验，则 hybrid_v2 作为文献启发式 benchmark 在 baseline 共同窗口下仍具有竞争优势，尤其在整单履约口径下表现更优。然而，这一优势在允许部分履约时已明显收窄，说明不同 KPI 下的“最优方法”</w:t>
      </w:r>
      <w:r w:rsidRPr="00D86217">
        <w:rPr>
          <w:rFonts w:ascii="Songti TC" w:eastAsia="Songti TC" w:hAnsi="Songti TC"/>
          <w:sz w:val="32"/>
          <w:szCs w:val="32"/>
          <w:lang w:eastAsia="zh-CN"/>
        </w:rPr>
        <w:lastRenderedPageBreak/>
        <w:t>并不必然一致。由此，前置仓选品与库存研究应同时报告聚合层 proxy performance 与订单层 basket-level performance，并明确说明容量口径、窗口集合与指标 basis，才能形成更有解释力的算法比较结论。</w:t>
      </w:r>
    </w:p>
    <w:p ns2:paraId="32259ECD" ns2:textId="77777777" w:rsidR="00F546BE"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附录 A hybrid_v2 基线实现说明</w:t>
      </w:r>
    </w:p>
    <w:p ns2:paraId="6849DB16" ns2:textId="77777777" w:rsidR="00AC1896"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t>从“代码怎么得来”的角度看，hybrid_v2 并不是下载外部论文附带代码后直接运行得到的结果，而是基于当前仓库数据条件和研究问题重新实现的本地 benchmark。其核心脚本位于 src/literature/li_transchel_hybrid_baseline_v2.py，输出目录位于 results/literature/hybrid_v2/。脚本命名中的 Li 与 Transchel 分别对应代理选品与替代驱动联合配置两类研究思路，但代码本身是围绕本项目数据结构、容量口径和滚动评估协议重新编写的工程实现。</w:t>
      </w:r>
    </w:p>
    <w:p ns2:paraId="7466D92B" ns2:textId="77777777" w:rsidR="00AC1896"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t>从“代码如何构造”的角度看，该 baseline 的形成过程可以概括为四步：第一步，用训练窗口内的出现概率、平均日需求与累计销量构造代理选品得分，并按得分截取入选 SKU；第二步，根据收益代理参数计算 critical ratio，生成各入选 SKU 的初始库存种子解；第三步，依据价格距离、利润代理与受欢迎程度构造外生替代矩阵，以近似表示缺货需求在已选商品之间的再分配；第四步，在统一的体积与重量约束下执行容量修复、单步加库存与 swap 式局部搜索，并输出最终方案。</w:t>
      </w:r>
    </w:p>
    <w:p ns2:paraId="28A64254" ns2:textId="77777777" w:rsidR="00AC1896"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lastRenderedPageBreak/>
        <w:t>从“为什么这样实现”的角度看，这一写法的目标不是最大程度贴近任何单篇外部论文的原始数学细节，而是在当前前置仓问题设定下保留其最有比较价值的决策思想，并将其转化为能够与主方法共享数据、共享滚动窗口、共享容量口径和共享 benchmark 协议的对照算法。因此，hybrid_v2 更适合被表述为 literature-inspired benchmark 或 theory-informed engineering baseline。</w:t>
      </w:r>
    </w:p>
    <w:p ns2:paraId="0D4B6629" ns2:textId="77777777" w:rsidR="00AC1896" w:rsidRPr="00D86217" w:rsidRDefault="00000000">
      <w:pPr>
        <w:pStyle w:val="Heading1"/>
        <w:rPr>
          <w:rFonts w:ascii="Songti TC" w:eastAsia="Songti TC" w:hAnsi="Songti TC" w:cs="Times New Roman"/>
          <w:sz w:val="32"/>
          <w:szCs w:val="32"/>
          <w:lang w:eastAsia="zh-CN"/>
        </w:rPr>
      </w:pPr>
      <w:r w:rsidRPr="00D86217">
        <w:rPr>
          <w:rFonts w:ascii="Songti TC" w:eastAsia="Songti TC" w:hAnsi="Songti TC"/>
          <w:sz w:val="32"/>
          <w:szCs w:val="32"/>
          <w:lang w:eastAsia="zh-CN"/>
        </w:rPr>
        <w:t>本文用于对比的 hybrid_v2 并非单一代码片段即可完整表达的边际密度贪心，而是由“代理选品 + 替代近似下的库存局部搜索”两部分组成。其实现流程为：首先在训练窗口内计算各 SKU 的出现概率、平均日需求与累计销量，并据此构造 MCI 风格排序得分，从候选池中选出进入后续阶段的 SKU 集合；随后对入选 SKU 依据 critical ratio 生成初始库存水平，再构造基于价格距离、利润代理与受欢迎程度的外生替代矩阵，对缺货需求在已选 SKU 之间的转移进行近似刻画，并在体积与重量双约束下执行 substitution-aware local search，以获得最终库存方案。</w:t>
      </w:r>
    </w:p>
    <w:p ns2:paraId="209AFDFA" ns2:textId="77777777" w:rsidR="00AC1896" w:rsidRPr="00D86217" w:rsidRDefault="00000000">
      <w:pPr>
        <w:pStyle w:val="Heading1"/>
        <w:rPr>
          <w:rFonts w:ascii="Songti TC" w:eastAsia="Songti TC" w:hAnsi="Songti TC" w:cs="Times New Roman"/>
          <w:sz w:val="32"/>
          <w:szCs w:val="32"/>
        </w:rPr>
      </w:pPr>
      <w:r w:rsidRPr="00D86217">
        <w:rPr>
          <w:rFonts w:ascii="Songti TC" w:eastAsia="Songti TC" w:hAnsi="Songti TC"/>
          <w:sz w:val="32"/>
          <w:szCs w:val="32"/>
        </w:rPr>
        <w:lastRenderedPageBreak/>
        <w:t>因此，正文中的 literature-inspired baseline 应理解为一种两阶段 hybrid 启发式，而不是附录旧稿中所示的单一步骤 Marginal Density Greedy。本文保留该基线的目的，在于引入一种具有文献动机、解释性较强且在订单级 benchmark 中表现具有竞争力的外部对照方法。</w:t>
      </w:r>
    </w:p>
    <w:p ns2:paraId="750E1371" ns2:textId="77777777" w:rsidR="00AC1896" w:rsidRPr="00D86217" w:rsidRDefault="00000000">
      <w:pPr>
        <w:pStyle w:val="Heading1"/>
        <w:rPr>
          <w:rFonts w:ascii="Songti TC" w:eastAsia="Songti TC" w:hAnsi="Songti TC" w:cs="Times New Roman"/>
          <w:sz w:val="32"/>
          <w:szCs w:val="32"/>
        </w:rPr>
      </w:pPr>
      <w:r w:rsidRPr="00D86217">
        <w:rPr>
          <w:rFonts w:ascii="Songti TC" w:eastAsia="Songti TC" w:hAnsi="Songti TC"/>
          <w:sz w:val="32"/>
          <w:szCs w:val="32"/>
        </w:rPr>
        <w:t>出于篇幅考虑，正文不再逐行展开完整实现代码；完整脚本与窗口级输出结果已在项目目录中的 src/literature/li_transchel_hybrid_baseline_v2.py 与 results/literature/hybrid_v2/ 下提供。</w:t>
      </w:r>
    </w:p>
    <w:p ns2:paraId="380CDC06" ns2:textId="77777777" w:rsidR="00F546BE" w:rsidRPr="00D86217" w:rsidRDefault="00000000">
      <w:pPr>
        <w:pStyle w:val="Heading1"/>
        <w:rPr>
          <w:rFonts w:ascii="Songti TC" w:eastAsia="Songti TC" w:hAnsi="Songti TC" w:cs="Times New Roman"/>
          <w:sz w:val="32"/>
          <w:szCs w:val="32"/>
        </w:rPr>
      </w:pPr>
      <w:r w:rsidRPr="00D86217">
        <w:rPr>
          <w:rFonts w:ascii="Songti TC" w:eastAsia="Songti TC" w:hAnsi="Songti TC" w:cs="Times New Roman"/>
          <w:sz w:val="32"/>
          <w:szCs w:val="32"/>
        </w:rPr>
        <w:t>附录 B literature-inspired 基线 nominal / robust 汇总结果</w:t>
      </w:r>
    </w:p>
    <w:p ns2:paraId="6061A353" ns2:textId="77777777" w:rsidR="00F546BE" w:rsidRPr="00D86217" w:rsidRDefault="00000000">
      <w:pPr>
        <w:spacing w:line="360" w:lineRule="auto"/>
        <w:ind w:firstLine="420"/>
        <w:rPr>
          <w:rFonts w:ascii="Songti TC" w:eastAsia="Songti TC" w:hAnsi="Songti TC" w:cs="Times New Roman"/>
          <w:sz w:val="32"/>
          <w:szCs w:val="32"/>
        </w:rPr>
      </w:pPr>
      <w:r w:rsidRPr="00D86217">
        <w:rPr>
          <w:rFonts w:ascii="Songti TC" w:eastAsia="Songti TC" w:hAnsi="Songti TC" w:cs="Heiti TC" w:hint="eastAsia"/>
          <w:sz w:val="32"/>
          <w:szCs w:val="32"/>
        </w:rPr>
        <w:t>表 B-1 给出了 literature-inspired baseline 在 nominal 与 robust 两种输入下的汇总统计。</w:t>
      </w:r>
    </w:p>
    <w:tbl>
      <w:tblPr>
        <w:tblStyle w:val="TableGrid"/>
        <w:tblW w:w="0" w:type="auto"/>
        <w:jc w:val="center"/>
        <w:tblLook w:val="04A0" w:firstRow="1" w:lastRow="0" w:firstColumn="1" w:lastColumn="0" w:noHBand="0" w:noVBand="1"/>
      </w:tblPr>
      <w:tblGrid>
        <w:gridCol w:w="2117"/>
        <w:gridCol w:w="4543"/>
        <w:gridCol w:w="1277"/>
        <w:gridCol w:w="431"/>
        <w:gridCol w:w="431"/>
        <w:gridCol w:w="431"/>
      </w:tblGrid>
      <w:tr w:rsidR="00F546BE" w:rsidRPr="00D86217" ns2:paraId="326E79BD" ns2:textId="77777777">
        <w:trPr>
          <w:jc w:val="center"/>
        </w:trPr>
        <w:tc>
          <w:tcPr>
            <w:tcW w:w="1550" w:type="dxa"/>
            <w:shd w:val="clear" w:color="auto" w:fill="D9EAF7"/>
            <w:vAlign w:val="center"/>
          </w:tcPr>
          <w:p ns2:paraId="1CC39C7E"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项目</w:t>
            </w:r>
          </w:p>
        </w:tc>
        <w:tc>
          <w:tcPr>
            <w:tcW w:w="1550" w:type="dxa"/>
            <w:shd w:val="clear" w:color="auto" w:fill="D9EAF7"/>
            <w:vAlign w:val="center"/>
          </w:tcPr>
          <w:p ns2:paraId="1757527C"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说明</w:t>
            </w:r>
          </w:p>
        </w:tc>
        <w:tc>
          <w:tcPr>
            <w:tcW w:w="1550" w:type="dxa"/>
            <w:shd w:val="clear" w:color="auto" w:fill="D9EAF7"/>
            <w:vAlign w:val="center"/>
          </w:tcPr>
          <w:p ns2:paraId="0C04282E"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备注</w:t>
            </w:r>
          </w:p>
        </w:tc>
        <w:tc>
          <w:tcPr>
            <w:tcW w:w="1550" w:type="dxa"/>
            <w:shd w:val="clear" w:color="auto" w:fill="D9EAF7"/>
            <w:vAlign w:val="center"/>
          </w:tcPr>
          <w:p ns2:paraId="16862AFB" ns2:textId="77777777" w:rsidR="009E7108" w:rsidRPr="00D86217" w:rsidRDefault="009E7108">
            <w:pPr>
              <w:rPr>
                <w:rFonts w:ascii="Songti TC" w:eastAsia="Songti TC" w:hAnsi="Songti TC"/>
                <w:sz w:val="32"/>
                <w:szCs w:val="32"/>
              </w:rPr>
            </w:pPr>
          </w:p>
        </w:tc>
        <w:tc>
          <w:tcPr>
            <w:tcW w:w="1550" w:type="dxa"/>
            <w:shd w:val="clear" w:color="auto" w:fill="D9EAF7"/>
            <w:vAlign w:val="center"/>
          </w:tcPr>
          <w:p ns2:paraId="342B907D" ns2:textId="77777777" w:rsidR="009E7108" w:rsidRPr="00D86217" w:rsidRDefault="009E7108">
            <w:pPr>
              <w:rPr>
                <w:rFonts w:ascii="Songti TC" w:eastAsia="Songti TC" w:hAnsi="Songti TC"/>
                <w:sz w:val="32"/>
                <w:szCs w:val="32"/>
              </w:rPr>
            </w:pPr>
          </w:p>
        </w:tc>
        <w:tc>
          <w:tcPr>
            <w:tcW w:w="1550" w:type="dxa"/>
            <w:shd w:val="clear" w:color="auto" w:fill="D9EAF7"/>
            <w:vAlign w:val="center"/>
          </w:tcPr>
          <w:p ns2:paraId="0652D2D2" ns2:textId="77777777" w:rsidR="009E7108" w:rsidRPr="00D86217" w:rsidRDefault="009E7108">
            <w:pPr>
              <w:rPr>
                <w:rFonts w:ascii="Songti TC" w:eastAsia="Songti TC" w:hAnsi="Songti TC"/>
                <w:sz w:val="32"/>
                <w:szCs w:val="32"/>
              </w:rPr>
            </w:pPr>
          </w:p>
        </w:tc>
      </w:tr>
      <w:tr w:rsidR="00F546BE" w:rsidRPr="00D86217" ns2:paraId="02CE9DAB" ns2:textId="77777777">
        <w:trPr>
          <w:jc w:val="center"/>
        </w:trPr>
        <w:tc>
          <w:tcPr>
            <w:tcW w:w="1550" w:type="dxa"/>
            <w:vAlign w:val="center"/>
          </w:tcPr>
          <w:p ns2:paraId="53410B05"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baseline summary</w:t>
            </w:r>
          </w:p>
        </w:tc>
        <w:tc>
          <w:tcPr>
            <w:tcW w:w="1550" w:type="dxa"/>
            <w:vAlign w:val="center"/>
          </w:tcPr>
          <w:p ns2:paraId="0150A3F9"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hybrid_v2 的聚合 LFR 在统一容量口径下约为 0.285</w:t>
            </w:r>
          </w:p>
        </w:tc>
        <w:tc>
          <w:tcPr>
            <w:tcW w:w="1550" w:type="dxa"/>
            <w:vAlign w:val="center"/>
          </w:tcPr>
          <w:p ns2:paraId="0DAF432E"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来自容量口径统一后</w:t>
            </w:r>
            <w:r w:rsidRPr="00D86217">
              <w:rPr>
                <w:rFonts w:ascii="Songti TC" w:eastAsia="Songti TC" w:hAnsi="Songti TC"/>
                <w:sz w:val="32"/>
                <w:szCs w:val="32"/>
                <w:lang w:eastAsia="zh-CN"/>
              </w:rPr>
              <w:lastRenderedPageBreak/>
              <w:t>的重跑结果</w:t>
            </w:r>
          </w:p>
        </w:tc>
        <w:tc>
          <w:tcPr>
            <w:tcW w:w="1550" w:type="dxa"/>
            <w:vAlign w:val="center"/>
          </w:tcPr>
          <w:p ns2:paraId="17B0E646" ns2:textId="77777777" w:rsidR="009E7108" w:rsidRPr="00D86217" w:rsidRDefault="009E7108">
            <w:pPr>
              <w:rPr>
                <w:rFonts w:ascii="Songti TC" w:eastAsia="Songti TC" w:hAnsi="Songti TC"/>
                <w:sz w:val="32"/>
                <w:szCs w:val="32"/>
                <w:lang w:eastAsia="zh-CN"/>
              </w:rPr>
            </w:pPr>
          </w:p>
        </w:tc>
        <w:tc>
          <w:tcPr>
            <w:tcW w:w="1550" w:type="dxa"/>
            <w:vAlign w:val="center"/>
          </w:tcPr>
          <w:p ns2:paraId="787ED0FF" ns2:textId="77777777" w:rsidR="009E7108" w:rsidRPr="00D86217" w:rsidRDefault="009E7108">
            <w:pPr>
              <w:rPr>
                <w:rFonts w:ascii="Songti TC" w:eastAsia="Songti TC" w:hAnsi="Songti TC"/>
                <w:sz w:val="32"/>
                <w:szCs w:val="32"/>
                <w:lang w:eastAsia="zh-CN"/>
              </w:rPr>
            </w:pPr>
          </w:p>
        </w:tc>
        <w:tc>
          <w:tcPr>
            <w:tcW w:w="1550" w:type="dxa"/>
            <w:vAlign w:val="center"/>
          </w:tcPr>
          <w:p ns2:paraId="3424CCB9" ns2:textId="77777777" w:rsidR="009E7108" w:rsidRPr="00D86217" w:rsidRDefault="009E7108">
            <w:pPr>
              <w:rPr>
                <w:rFonts w:ascii="Songti TC" w:eastAsia="Songti TC" w:hAnsi="Songti TC"/>
                <w:sz w:val="32"/>
                <w:szCs w:val="32"/>
                <w:lang w:eastAsia="zh-CN"/>
              </w:rPr>
            </w:pPr>
          </w:p>
        </w:tc>
      </w:tr>
      <w:tr w:rsidR="00F546BE" w:rsidRPr="00D86217" ns2:paraId="3B96CD83" ns2:textId="77777777">
        <w:trPr>
          <w:jc w:val="center"/>
        </w:trPr>
        <w:tc>
          <w:tcPr>
            <w:tcW w:w="1550" w:type="dxa"/>
            <w:vAlign w:val="center"/>
          </w:tcPr>
          <w:p ns2:paraId="4B834F09"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正式横向比较</w:t>
            </w:r>
          </w:p>
        </w:tc>
        <w:tc>
          <w:tcPr>
            <w:tcW w:w="1550" w:type="dxa"/>
            <w:vAlign w:val="center"/>
          </w:tcPr>
          <w:p ns2:paraId="077BE2AB"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以 benchmark_whole_summary.csv 与 benchmark_partial_summary.csv 为准</w:t>
            </w:r>
          </w:p>
        </w:tc>
        <w:tc>
          <w:tcPr>
            <w:tcW w:w="1550" w:type="dxa"/>
            <w:vAlign w:val="center"/>
          </w:tcPr>
          <w:p ns2:paraId="36B36ECC"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shared-window = 43</w:t>
            </w:r>
          </w:p>
        </w:tc>
        <w:tc>
          <w:tcPr>
            <w:tcW w:w="1550" w:type="dxa"/>
            <w:vAlign w:val="center"/>
          </w:tcPr>
          <w:p ns2:paraId="1CAE5630" ns2:textId="77777777" w:rsidR="009E7108" w:rsidRPr="00D86217" w:rsidRDefault="009E7108">
            <w:pPr>
              <w:rPr>
                <w:rFonts w:ascii="Songti TC" w:eastAsia="Songti TC" w:hAnsi="Songti TC"/>
                <w:sz w:val="32"/>
                <w:szCs w:val="32"/>
              </w:rPr>
            </w:pPr>
          </w:p>
        </w:tc>
        <w:tc>
          <w:tcPr>
            <w:tcW w:w="1550" w:type="dxa"/>
            <w:vAlign w:val="center"/>
          </w:tcPr>
          <w:p ns2:paraId="672D2D40" ns2:textId="77777777" w:rsidR="009E7108" w:rsidRPr="00D86217" w:rsidRDefault="009E7108">
            <w:pPr>
              <w:rPr>
                <w:rFonts w:ascii="Songti TC" w:eastAsia="Songti TC" w:hAnsi="Songti TC"/>
                <w:sz w:val="32"/>
                <w:szCs w:val="32"/>
              </w:rPr>
            </w:pPr>
          </w:p>
        </w:tc>
        <w:tc>
          <w:tcPr>
            <w:tcW w:w="1550" w:type="dxa"/>
            <w:vAlign w:val="center"/>
          </w:tcPr>
          <w:p ns2:paraId="4B2DEAD5" ns2:textId="77777777" w:rsidR="009E7108" w:rsidRPr="00D86217" w:rsidRDefault="009E7108">
            <w:pPr>
              <w:rPr>
                <w:rFonts w:ascii="Songti TC" w:eastAsia="Songti TC" w:hAnsi="Songti TC"/>
                <w:sz w:val="32"/>
                <w:szCs w:val="32"/>
              </w:rPr>
            </w:pPr>
          </w:p>
        </w:tc>
      </w:tr>
      <w:tr w:rsidR="00F546BE" w:rsidRPr="00D86217" ns2:paraId="79ED8A89" ns2:textId="77777777">
        <w:trPr>
          <w:jc w:val="center"/>
        </w:trPr>
        <w:tc>
          <w:tcPr>
            <w:tcW w:w="1550" w:type="dxa"/>
            <w:vAlign w:val="center"/>
          </w:tcPr>
          <w:p ns2:paraId="2356F627"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aggregated_lfr 的使用</w:t>
            </w:r>
          </w:p>
        </w:tc>
        <w:tc>
          <w:tcPr>
            <w:tcW w:w="1550" w:type="dxa"/>
            <w:vAlign w:val="center"/>
          </w:tcPr>
          <w:p ns2:paraId="5A2E0EA8"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仅作各方法自身 proxy 层辅助信息</w:t>
            </w:r>
          </w:p>
        </w:tc>
        <w:tc>
          <w:tcPr>
            <w:tcW w:w="1550" w:type="dxa"/>
            <w:vAlign w:val="center"/>
          </w:tcPr>
          <w:p ns2:paraId="33F530BA"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lang w:eastAsia="zh-CN"/>
              </w:rPr>
              <w:t>不可跨不同 basis 直接当成同量纲绝对值</w:t>
            </w:r>
          </w:p>
        </w:tc>
        <w:tc>
          <w:tcPr>
            <w:tcW w:w="1550" w:type="dxa"/>
            <w:vAlign w:val="center"/>
          </w:tcPr>
          <w:p ns2:paraId="605B2669" ns2:textId="77777777" w:rsidR="009E7108" w:rsidRPr="00D86217" w:rsidRDefault="009E7108">
            <w:pPr>
              <w:rPr>
                <w:rFonts w:ascii="Songti TC" w:eastAsia="Songti TC" w:hAnsi="Songti TC"/>
                <w:sz w:val="32"/>
                <w:szCs w:val="32"/>
                <w:lang w:eastAsia="zh-CN"/>
              </w:rPr>
            </w:pPr>
          </w:p>
        </w:tc>
        <w:tc>
          <w:tcPr>
            <w:tcW w:w="1550" w:type="dxa"/>
            <w:vAlign w:val="center"/>
          </w:tcPr>
          <w:p ns2:paraId="23DD77FE" ns2:textId="77777777" w:rsidR="009E7108" w:rsidRPr="00D86217" w:rsidRDefault="009E7108">
            <w:pPr>
              <w:rPr>
                <w:rFonts w:ascii="Songti TC" w:eastAsia="Songti TC" w:hAnsi="Songti TC"/>
                <w:sz w:val="32"/>
                <w:szCs w:val="32"/>
                <w:lang w:eastAsia="zh-CN"/>
              </w:rPr>
            </w:pPr>
          </w:p>
        </w:tc>
        <w:tc>
          <w:tcPr>
            <w:tcW w:w="1550" w:type="dxa"/>
            <w:vAlign w:val="center"/>
          </w:tcPr>
          <w:p ns2:paraId="025109B1" ns2:textId="77777777" w:rsidR="009E7108" w:rsidRPr="00D86217" w:rsidRDefault="009E7108">
            <w:pPr>
              <w:rPr>
                <w:rFonts w:ascii="Songti TC" w:eastAsia="Songti TC" w:hAnsi="Songti TC"/>
                <w:sz w:val="32"/>
                <w:szCs w:val="32"/>
                <w:lang w:eastAsia="zh-CN"/>
              </w:rPr>
            </w:pPr>
          </w:p>
        </w:tc>
      </w:tr>
      <w:tr w:rsidR="00F546BE" w:rsidRPr="00D86217" ns2:paraId="00BE223E" ns2:textId="77777777">
        <w:trPr>
          <w:jc w:val="center"/>
        </w:trPr>
        <w:tc>
          <w:tcPr>
            <w:tcW w:w="1550" w:type="dxa"/>
            <w:vAlign w:val="center"/>
          </w:tcPr>
          <w:p ns2:paraId="28E8B5AA"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订单级结论</w:t>
            </w:r>
          </w:p>
        </w:tc>
        <w:tc>
          <w:tcPr>
            <w:tcW w:w="1550" w:type="dxa"/>
            <w:vAlign w:val="center"/>
          </w:tcPr>
          <w:p ns2:paraId="028E09F6" ns2:textId="77777777" w:rsidR="009E7108" w:rsidRPr="00D86217" w:rsidRDefault="00000000">
            <w:pPr>
              <w:rPr>
                <w:rFonts w:ascii="Songti TC" w:eastAsia="Songti TC" w:hAnsi="Songti TC"/>
                <w:sz w:val="32"/>
                <w:szCs w:val="32"/>
                <w:lang w:eastAsia="zh-CN"/>
              </w:rPr>
            </w:pPr>
            <w:r w:rsidRPr="00D86217">
              <w:rPr>
                <w:rFonts w:ascii="Songti TC" w:eastAsia="Songti TC" w:hAnsi="Songti TC"/>
                <w:sz w:val="32"/>
                <w:szCs w:val="32"/>
              </w:rPr>
              <w:t>hybrid_v2 仍领先，但其优势主要体现在订单级 benchmark 中</w:t>
            </w:r>
          </w:p>
        </w:tc>
        <w:tc>
          <w:tcPr>
            <w:tcW w:w="1550" w:type="dxa"/>
            <w:vAlign w:val="center"/>
          </w:tcPr>
          <w:p ns2:paraId="1E20D59F" ns2:textId="77777777" w:rsidR="009E7108" w:rsidRPr="00D86217" w:rsidRDefault="00000000">
            <w:pPr>
              <w:rPr>
                <w:rFonts w:ascii="Songti TC" w:eastAsia="Songti TC" w:hAnsi="Songti TC"/>
                <w:sz w:val="32"/>
                <w:szCs w:val="32"/>
              </w:rPr>
            </w:pPr>
            <w:r w:rsidRPr="00D86217">
              <w:rPr>
                <w:rFonts w:ascii="Songti TC" w:eastAsia="Songti TC" w:hAnsi="Songti TC"/>
                <w:sz w:val="32"/>
                <w:szCs w:val="32"/>
              </w:rPr>
              <w:t>正文已据此改写</w:t>
            </w:r>
          </w:p>
        </w:tc>
        <w:tc>
          <w:tcPr>
            <w:tcW w:w="1550" w:type="dxa"/>
            <w:vAlign w:val="center"/>
          </w:tcPr>
          <w:p ns2:paraId="6CAFF187" ns2:textId="77777777" w:rsidR="009E7108" w:rsidRPr="00D86217" w:rsidRDefault="009E7108">
            <w:pPr>
              <w:rPr>
                <w:rFonts w:ascii="Songti TC" w:eastAsia="Songti TC" w:hAnsi="Songti TC"/>
                <w:sz w:val="32"/>
                <w:szCs w:val="32"/>
              </w:rPr>
            </w:pPr>
          </w:p>
        </w:tc>
        <w:tc>
          <w:tcPr>
            <w:tcW w:w="1550" w:type="dxa"/>
            <w:vAlign w:val="center"/>
          </w:tcPr>
          <w:p ns2:paraId="34D1C4CD" ns2:textId="77777777" w:rsidR="009E7108" w:rsidRPr="00D86217" w:rsidRDefault="009E7108">
            <w:pPr>
              <w:rPr>
                <w:rFonts w:ascii="Songti TC" w:eastAsia="Songti TC" w:hAnsi="Songti TC"/>
                <w:sz w:val="32"/>
                <w:szCs w:val="32"/>
              </w:rPr>
            </w:pPr>
          </w:p>
        </w:tc>
        <w:tc>
          <w:tcPr>
            <w:tcW w:w="1550" w:type="dxa"/>
            <w:vAlign w:val="center"/>
          </w:tcPr>
          <w:p ns2:paraId="6E77B094" ns2:textId="77777777" w:rsidR="009E7108" w:rsidRPr="00D86217" w:rsidRDefault="009E7108">
            <w:pPr>
              <w:rPr>
                <w:rFonts w:ascii="Songti TC" w:eastAsia="Songti TC" w:hAnsi="Songti TC"/>
                <w:sz w:val="32"/>
                <w:szCs w:val="32"/>
              </w:rPr>
            </w:pPr>
          </w:p>
        </w:tc>
      </w:tr>
      <w:tr w:rsidR="00F546BE" w:rsidRPr="00D86217" ns2:paraId="2FDA0374" ns2:textId="77777777">
        <w:trPr>
          <w:jc w:val="center"/>
        </w:trPr>
        <w:tc>
          <w:tcPr>
            <w:tcW w:w="1550" w:type="dxa"/>
            <w:vAlign w:val="center"/>
          </w:tcPr>
          <w:p ns2:paraId="19345D66" ns2:textId="77777777" w:rsidR="009E7108" w:rsidRPr="00D86217" w:rsidRDefault="009E7108">
            <w:pPr>
              <w:rPr>
                <w:rFonts w:ascii="Songti TC" w:eastAsia="Songti TC" w:hAnsi="Songti TC"/>
                <w:sz w:val="32"/>
                <w:szCs w:val="32"/>
              </w:rPr>
            </w:pPr>
          </w:p>
        </w:tc>
        <w:tc>
          <w:tcPr>
            <w:tcW w:w="1550" w:type="dxa"/>
            <w:vAlign w:val="center"/>
          </w:tcPr>
          <w:p ns2:paraId="08EFC05E" ns2:textId="77777777" w:rsidR="009E7108" w:rsidRPr="00D86217" w:rsidRDefault="009E7108">
            <w:pPr>
              <w:rPr>
                <w:rFonts w:ascii="Songti TC" w:eastAsia="Songti TC" w:hAnsi="Songti TC"/>
                <w:sz w:val="32"/>
                <w:szCs w:val="32"/>
              </w:rPr>
            </w:pPr>
          </w:p>
        </w:tc>
        <w:tc>
          <w:tcPr>
            <w:tcW w:w="1550" w:type="dxa"/>
            <w:vAlign w:val="center"/>
          </w:tcPr>
          <w:p ns2:paraId="70B37880" ns2:textId="77777777" w:rsidR="009E7108" w:rsidRPr="00D86217" w:rsidRDefault="009E7108">
            <w:pPr>
              <w:rPr>
                <w:rFonts w:ascii="Songti TC" w:eastAsia="Songti TC" w:hAnsi="Songti TC"/>
                <w:sz w:val="32"/>
                <w:szCs w:val="32"/>
              </w:rPr>
            </w:pPr>
          </w:p>
        </w:tc>
        <w:tc>
          <w:tcPr>
            <w:tcW w:w="1550" w:type="dxa"/>
            <w:vAlign w:val="center"/>
          </w:tcPr>
          <w:p ns2:paraId="3022BE59" ns2:textId="77777777" w:rsidR="009E7108" w:rsidRPr="00D86217" w:rsidRDefault="009E7108">
            <w:pPr>
              <w:rPr>
                <w:rFonts w:ascii="Songti TC" w:eastAsia="Songti TC" w:hAnsi="Songti TC"/>
                <w:sz w:val="32"/>
                <w:szCs w:val="32"/>
              </w:rPr>
            </w:pPr>
          </w:p>
        </w:tc>
        <w:tc>
          <w:tcPr>
            <w:tcW w:w="1550" w:type="dxa"/>
            <w:vAlign w:val="center"/>
          </w:tcPr>
          <w:p ns2:paraId="3FED3785" ns2:textId="77777777" w:rsidR="009E7108" w:rsidRPr="00D86217" w:rsidRDefault="009E7108">
            <w:pPr>
              <w:rPr>
                <w:rFonts w:ascii="Songti TC" w:eastAsia="Songti TC" w:hAnsi="Songti TC"/>
                <w:sz w:val="32"/>
                <w:szCs w:val="32"/>
              </w:rPr>
            </w:pPr>
          </w:p>
        </w:tc>
        <w:tc>
          <w:tcPr>
            <w:tcW w:w="1550" w:type="dxa"/>
            <w:vAlign w:val="center"/>
          </w:tcPr>
          <w:p ns2:paraId="0A77C555" ns2:textId="77777777" w:rsidR="009E7108" w:rsidRPr="00D86217" w:rsidRDefault="009E7108">
            <w:pPr>
              <w:rPr>
                <w:rFonts w:ascii="Songti TC" w:eastAsia="Songti TC" w:hAnsi="Songti TC"/>
                <w:sz w:val="32"/>
                <w:szCs w:val="32"/>
              </w:rPr>
            </w:pPr>
          </w:p>
        </w:tc>
      </w:tr>
      <w:tr w:rsidR="00F546BE" w:rsidRPr="00D86217" ns2:paraId="03745FB9" ns2:textId="77777777">
        <w:trPr>
          <w:jc w:val="center"/>
        </w:trPr>
        <w:tc>
          <w:tcPr>
            <w:tcW w:w="1550" w:type="dxa"/>
            <w:vAlign w:val="center"/>
          </w:tcPr>
          <w:p ns2:paraId="59C34E1C" ns2:textId="77777777" w:rsidR="009E7108" w:rsidRPr="00D86217" w:rsidRDefault="009E7108">
            <w:pPr>
              <w:rPr>
                <w:rFonts w:ascii="Songti TC" w:eastAsia="Songti TC" w:hAnsi="Songti TC"/>
                <w:sz w:val="32"/>
                <w:szCs w:val="32"/>
              </w:rPr>
            </w:pPr>
          </w:p>
        </w:tc>
        <w:tc>
          <w:tcPr>
            <w:tcW w:w="1550" w:type="dxa"/>
            <w:vAlign w:val="center"/>
          </w:tcPr>
          <w:p ns2:paraId="34986143" ns2:textId="77777777" w:rsidR="009E7108" w:rsidRPr="00D86217" w:rsidRDefault="009E7108">
            <w:pPr>
              <w:rPr>
                <w:rFonts w:ascii="Songti TC" w:eastAsia="Songti TC" w:hAnsi="Songti TC"/>
                <w:sz w:val="32"/>
                <w:szCs w:val="32"/>
              </w:rPr>
            </w:pPr>
          </w:p>
        </w:tc>
        <w:tc>
          <w:tcPr>
            <w:tcW w:w="1550" w:type="dxa"/>
            <w:vAlign w:val="center"/>
          </w:tcPr>
          <w:p ns2:paraId="54D8200E" ns2:textId="77777777" w:rsidR="009E7108" w:rsidRPr="00D86217" w:rsidRDefault="009E7108">
            <w:pPr>
              <w:rPr>
                <w:rFonts w:ascii="Songti TC" w:eastAsia="Songti TC" w:hAnsi="Songti TC"/>
                <w:sz w:val="32"/>
                <w:szCs w:val="32"/>
              </w:rPr>
            </w:pPr>
          </w:p>
        </w:tc>
        <w:tc>
          <w:tcPr>
            <w:tcW w:w="1550" w:type="dxa"/>
            <w:vAlign w:val="center"/>
          </w:tcPr>
          <w:p ns2:paraId="02529554" ns2:textId="77777777" w:rsidR="009E7108" w:rsidRPr="00D86217" w:rsidRDefault="009E7108">
            <w:pPr>
              <w:rPr>
                <w:rFonts w:ascii="Songti TC" w:eastAsia="Songti TC" w:hAnsi="Songti TC"/>
                <w:sz w:val="32"/>
                <w:szCs w:val="32"/>
              </w:rPr>
            </w:pPr>
          </w:p>
        </w:tc>
        <w:tc>
          <w:tcPr>
            <w:tcW w:w="1550" w:type="dxa"/>
            <w:vAlign w:val="center"/>
          </w:tcPr>
          <w:p ns2:paraId="35375BA2" ns2:textId="77777777" w:rsidR="009E7108" w:rsidRPr="00D86217" w:rsidRDefault="009E7108">
            <w:pPr>
              <w:rPr>
                <w:rFonts w:ascii="Songti TC" w:eastAsia="Songti TC" w:hAnsi="Songti TC"/>
                <w:sz w:val="32"/>
                <w:szCs w:val="32"/>
              </w:rPr>
            </w:pPr>
          </w:p>
        </w:tc>
        <w:tc>
          <w:tcPr>
            <w:tcW w:w="1550" w:type="dxa"/>
            <w:vAlign w:val="center"/>
          </w:tcPr>
          <w:p ns2:paraId="27C31E76" ns2:textId="77777777" w:rsidR="009E7108" w:rsidRPr="00D86217" w:rsidRDefault="009E7108">
            <w:pPr>
              <w:rPr>
                <w:rFonts w:ascii="Songti TC" w:eastAsia="Songti TC" w:hAnsi="Songti TC"/>
                <w:sz w:val="32"/>
                <w:szCs w:val="32"/>
              </w:rPr>
            </w:pPr>
          </w:p>
        </w:tc>
      </w:tr>
    </w:tbl>
    <w:p ns2:paraId="2289014B" ns2:textId="77777777" w:rsidR="0015444E" w:rsidRPr="00D86217" w:rsidRDefault="0015444E">
      <w:pPr>
        <w:spacing w:line="360" w:lineRule="auto"/>
        <w:ind w:firstLine="420"/>
        <w:rPr>
          <w:rFonts w:ascii="Songti TC" w:eastAsia="Songti TC" w:hAnsi="Songti TC" w:cs="Times New Roman"/>
          <w:sz w:val="32"/>
          <w:szCs w:val="32"/>
        </w:rPr>
      </w:pPr>
    </w:p>
    <w:p ns2:paraId="7D035FDA" ns2:textId="77777777" w:rsidR="00AC1896" w:rsidRPr="00D86217" w:rsidRDefault="00AC1896">
      <w:pPr>
        <w:spacing w:line="360" w:lineRule="auto"/>
        <w:ind w:firstLine="420"/>
        <w:rPr>
          <w:rFonts w:ascii="Songti TC" w:eastAsia="Songti TC" w:hAnsi="Songti TC"/>
          <w:sz w:val="32"/>
          <w:szCs w:val="32"/>
        </w:rPr>
      </w:pPr>
    </w:p>
    <w:p ns2:paraId="05812496" ns2:textId="77777777" w:rsidR="00AC1896" w:rsidRPr="00D86217" w:rsidRDefault="00AC1896">
      <w:pPr>
        <w:spacing w:line="360" w:lineRule="auto"/>
        <w:ind w:firstLine="420"/>
        <w:rPr>
          <w:rFonts w:ascii="Songti TC" w:eastAsia="Songti TC" w:hAnsi="Songti TC"/>
          <w:sz w:val="32"/>
          <w:szCs w:val="32"/>
        </w:rPr>
      </w:pPr>
    </w:p>
    <w:p ns2:paraId="466541AB" ns2:textId="77777777" w:rsidR="00AC1896" w:rsidRPr="00D86217" w:rsidRDefault="00AC1896">
      <w:pPr>
        <w:spacing w:line="360" w:lineRule="auto"/>
        <w:ind w:firstLine="420"/>
        <w:rPr>
          <w:rFonts w:ascii="Songti TC" w:eastAsia="Songti TC" w:hAnsi="Songti TC"/>
          <w:sz w:val="32"/>
          <w:szCs w:val="32"/>
        </w:rPr>
      </w:pPr>
    </w:p>
    <w:p ns2:paraId="5D2064AD" ns2:textId="77777777" w:rsidR="00F546BE" w:rsidRPr="00D86217" w:rsidRDefault="00000000">
      <w:pPr>
        <w:pStyle w:val="Heading1"/>
        <w:rPr>
          <w:rFonts w:ascii="Songti TC" w:eastAsia="Songti TC" w:hAnsi="Songti TC" w:cs="Times New Roman"/>
          <w:sz w:val="32"/>
          <w:szCs w:val="32"/>
          <w:lang w:eastAsia="zh-CN"/>
        </w:rPr>
      </w:pPr>
      <w:r>
        <w:t>参考文献</w:t>
      </w:r>
    </w:p>
    <w:p ns2:paraId="6D9BA9C6" ns2:textId="77777777" w:rsidR="00F546BE" w:rsidRPr="00D86217" w:rsidRDefault="00000000">
      <w:pPr>
        <w:spacing w:line="360" w:lineRule="auto"/>
        <w:jc w:val="center"/>
        <w:rPr>
          <w:rFonts w:ascii="Songti TC" w:eastAsia="Songti TC" w:hAnsi="Songti TC" w:cs="Times New Roman"/>
          <w:sz w:val="32"/>
          <w:szCs w:val="32"/>
        </w:rPr>
      </w:pPr>
      <w:r>
        <w:t>[1] Heger, J., &amp; Klein, R. (2024). Assortment optimization: a systematic literature review. OR Spectrum, 46(4), 1099-1161. https://doi.org/10.1007/s00291-024-00752-4</w:t>
      </w:r>
    </w:p>
    <w:p ns2:paraId="6D9BA9C6" ns2:textId="77777777" w:rsidR="00F546BE" w:rsidRPr="00D86217" w:rsidRDefault="00000000">
      <w:pPr>
        <w:spacing w:line="360" w:lineRule="auto"/>
        <w:jc w:val="center"/>
        <w:rPr>
          <w:rFonts w:ascii="Songti TC" w:eastAsia="Songti TC" w:hAnsi="Songti TC" w:cs="Times New Roman"/>
          <w:sz w:val="32"/>
          <w:szCs w:val="32"/>
        </w:rPr>
      </w:pPr>
      <w:r>
        <w:t>[2] Transchel, S., Buisman, M. E., &amp; Haijema, R. (2022). Joint assortment and inventory optimization for vertically differentiated products under consumer-driven substitution. European Journal of Operational Research, 301(1), 163-179. https://doi.org/10.1016/j.ejor.2021.09.041</w:t>
      </w:r>
    </w:p>
    <w:p ns2:paraId="6D9BA9C6" ns2:textId="77777777" w:rsidR="00F546BE" w:rsidRPr="00D86217" w:rsidRDefault="00000000">
      <w:pPr>
        <w:spacing w:line="360" w:lineRule="auto"/>
        <w:jc w:val="center"/>
        <w:rPr>
          <w:rFonts w:ascii="Songti TC" w:eastAsia="Songti TC" w:hAnsi="Songti TC" w:cs="Times New Roman"/>
          <w:sz w:val="32"/>
          <w:szCs w:val="32"/>
        </w:rPr>
      </w:pPr>
      <w:r>
        <w:t>[3] Mouchtaki, O., El Housni, O., Gallego, G., Goyal, V., Humair, S., Kim, S., Sadighian, A., &amp; Wu, J. (2026). Joint Assortment and Inventory Planning Under the Markov Chain Choice Model. Management Science. https://doi.org/10.1287/mnsc.2023.01322</w:t>
      </w:r>
    </w:p>
    <w:p ns2:paraId="6D9BA9C6" ns2:textId="77777777" w:rsidR="00F546BE" w:rsidRPr="00D86217" w:rsidRDefault="00000000">
      <w:pPr>
        <w:spacing w:line="360" w:lineRule="auto"/>
        <w:jc w:val="center"/>
        <w:rPr>
          <w:rFonts w:ascii="Songti TC" w:eastAsia="Songti TC" w:hAnsi="Songti TC" w:cs="Times New Roman"/>
          <w:sz w:val="32"/>
          <w:szCs w:val="32"/>
        </w:rPr>
      </w:pPr>
      <w:r>
        <w:t>[4] Hense, J., &amp; Hübner, A. (2022). Assortment optimization in omni-channel retailing. European Journal of Operational Research, 301(1), 124-140. https://doi.org/10.1016/j.ejor.2021.09.045</w:t>
      </w:r>
    </w:p>
    <w:p ns2:paraId="6D9BA9C6" ns2:textId="77777777" w:rsidR="00F546BE" w:rsidRPr="00D86217" w:rsidRDefault="00000000">
      <w:pPr>
        <w:spacing w:line="360" w:lineRule="auto"/>
        <w:jc w:val="center"/>
        <w:rPr>
          <w:rFonts w:ascii="Songti TC" w:eastAsia="Songti TC" w:hAnsi="Songti TC" w:cs="Times New Roman"/>
          <w:sz w:val="32"/>
          <w:szCs w:val="32"/>
        </w:rPr>
      </w:pPr>
      <w:r>
        <w:t>[5] Aouad, A., Levi, R., &amp; Segev, D. (2019). Approximation algorithms for dynamic assortment optimization models. Mathematics of Operations Research, 44(2), 487-511. https://doi.org/10.1287/moor.2018.0933</w:t>
      </w:r>
    </w:p>
    <w:p ns2:paraId="6D9BA9C6" ns2:textId="77777777" w:rsidR="00F546BE" w:rsidRPr="00D86217" w:rsidRDefault="00000000">
      <w:pPr>
        <w:spacing w:line="360" w:lineRule="auto"/>
        <w:jc w:val="center"/>
        <w:rPr>
          <w:rFonts w:ascii="Songti TC" w:eastAsia="Songti TC" w:hAnsi="Songti TC" w:cs="Times New Roman"/>
          <w:sz w:val="32"/>
          <w:szCs w:val="32"/>
        </w:rPr>
      </w:pPr>
      <w:r>
        <w:t>[6] Désir, A., Goyal, V., &amp; Zhang, J. (2022). Technical Note-Capacitated Assortment Optimization: Hardness and Approximation. Operations Research, 70(2), 893-904. https://doi.org/10.1287/opre.2021.2142</w:t>
      </w:r>
    </w:p>
    <w:p ns2:paraId="6D9BA9C6" ns2:textId="77777777" w:rsidR="00F546BE" w:rsidRPr="00D86217" w:rsidRDefault="00000000">
      <w:pPr>
        <w:spacing w:line="360" w:lineRule="auto"/>
        <w:jc w:val="center"/>
        <w:rPr>
          <w:rFonts w:ascii="Songti TC" w:eastAsia="Songti TC" w:hAnsi="Songti TC" w:cs="Times New Roman"/>
          <w:sz w:val="32"/>
          <w:szCs w:val="32"/>
        </w:rPr>
      </w:pPr>
      <w:r>
        <w:t>[7] Flamand, T., Ghoniem, A., Haouari, M., &amp; Maddah, B. (2018). Integrated assortment planning and store-wide shelf space allocation: An optimization-based approach. Omega, 81, 134-149. https://doi.org/10.1016/j.omega.2017.10.006</w:t>
      </w:r>
    </w:p>
    <w:p ns2:paraId="6D9BA9C6" ns2:textId="77777777" w:rsidR="00F546BE" w:rsidRPr="00D86217" w:rsidRDefault="00000000">
      <w:pPr>
        <w:spacing w:line="360" w:lineRule="auto"/>
        <w:jc w:val="center"/>
        <w:rPr>
          <w:rFonts w:ascii="Songti TC" w:eastAsia="Songti TC" w:hAnsi="Songti TC" w:cs="Times New Roman"/>
          <w:sz w:val="32"/>
          <w:szCs w:val="32"/>
        </w:rPr>
      </w:pPr>
      <w:r>
        <w:t>[8] Perron, L., &amp; Didier, F. (2024). OR-Tools CP-SAT v9.10. Google. https://developers.google.com/optimization/cp/cp_solver</w:t>
      </w:r>
    </w:p>
    <w:sectPr w:rsidR="00AC1896" w:rsidRPr="00D86217" w:rsidSect="00034616">
      <w:footerReference w:type="default" ns8:id="rId11"/>
      <w:pgSz w:w="11906" w:h="16838"/>
      <w:pgMar w:top="1440" w:right="1361" w:bottom="1440"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0BD4" w14:textId="77777777" w:rsidR="00FC50E2" w:rsidRDefault="00FC50E2">
      <w:pPr>
        <w:spacing w:after="0" w:line="240" w:lineRule="auto"/>
      </w:pPr>
      <w:r>
        <w:separator/>
      </w:r>
    </w:p>
  </w:endnote>
  <w:endnote w:type="continuationSeparator" w:id="0">
    <w:p w14:paraId="43FC23A0" w14:textId="77777777" w:rsidR="00FC50E2" w:rsidRDefault="00FC5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ongti TC">
    <w:panose1 w:val="02010600040101010101"/>
    <w:charset w:val="88"/>
    <w:family w:val="auto"/>
    <w:pitch w:val="variable"/>
    <w:sig w:usb0="00000287" w:usb1="080F0000" w:usb2="00000010" w:usb3="00000000" w:csb0="0014009F" w:csb1="00000000"/>
  </w:font>
  <w:font w:name="Heiti TC">
    <w:altName w:val="Cambria"/>
    <w:panose1 w:val="02000000000000000000"/>
    <w:charset w:val="00"/>
    <w:family w:val="roman"/>
    <w:notTrueType/>
    <w:pitch w:val="default"/>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5D88" w14:textId="77777777" w:rsidR="00F546BE" w:rsidRDefault="00000000">
    <w:pPr>
      <w:pStyle w:val="Footer"/>
      <w:jc w:val="center"/>
    </w:pPr>
    <w:r>
      <w:t xml:space="preserve">第 </w:t>
    </w:r>
    <w:r w:rsidR="00F546BE">
      <w:fldChar w:fldCharType="begin"/>
    </w:r>
    <w:r w:rsidR="00F546BE">
      <w:instrText>PAGE</w:instrText>
    </w:r>
    <w:r w:rsidR="00F546BE">
      <w:fldChar w:fldCharType="separate"/>
    </w:r>
    <w:r w:rsidR="00654F3D">
      <w:rPr>
        <w:noProof/>
      </w:rPr>
      <w:t>1</w:t>
    </w:r>
    <w:r w:rsidR="00F546BE">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FB46" w14:textId="77777777" w:rsidR="00FC50E2" w:rsidRDefault="00FC50E2">
      <w:pPr>
        <w:spacing w:after="0" w:line="240" w:lineRule="auto"/>
      </w:pPr>
      <w:r>
        <w:separator/>
      </w:r>
    </w:p>
  </w:footnote>
  <w:footnote w:type="continuationSeparator" w:id="0">
    <w:p w14:paraId="1C81257C" w14:textId="77777777" w:rsidR="00FC50E2" w:rsidRDefault="00FC50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47500">
    <w:abstractNumId w:val="8"/>
  </w:num>
  <w:num w:numId="2" w16cid:durableId="1994286241">
    <w:abstractNumId w:val="6"/>
  </w:num>
  <w:num w:numId="3" w16cid:durableId="1826041902">
    <w:abstractNumId w:val="5"/>
  </w:num>
  <w:num w:numId="4" w16cid:durableId="367410395">
    <w:abstractNumId w:val="4"/>
  </w:num>
  <w:num w:numId="5" w16cid:durableId="532036277">
    <w:abstractNumId w:val="7"/>
  </w:num>
  <w:num w:numId="6" w16cid:durableId="1793744000">
    <w:abstractNumId w:val="3"/>
  </w:num>
  <w:num w:numId="7" w16cid:durableId="1999263972">
    <w:abstractNumId w:val="2"/>
  </w:num>
  <w:num w:numId="8" w16cid:durableId="2073186530">
    <w:abstractNumId w:val="1"/>
  </w:num>
  <w:num w:numId="9" w16cid:durableId="97953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3A6"/>
    <w:rsid w:val="0015074B"/>
    <w:rsid w:val="0015444E"/>
    <w:rsid w:val="0029639D"/>
    <w:rsid w:val="002A76FB"/>
    <w:rsid w:val="00326F90"/>
    <w:rsid w:val="00654F3D"/>
    <w:rsid w:val="00714389"/>
    <w:rsid w:val="00715206"/>
    <w:rsid w:val="008B5B5F"/>
    <w:rsid w:val="009C5901"/>
    <w:rsid w:val="009E7108"/>
    <w:rsid w:val="00A40F88"/>
    <w:rsid w:val="00AA1D8D"/>
    <w:rsid w:val="00AC1896"/>
    <w:rsid w:val="00B316EC"/>
    <w:rsid w:val="00B47730"/>
    <w:rsid w:val="00BD5E7D"/>
    <w:rsid w:val="00CB0664"/>
    <w:rsid w:val="00D86217"/>
    <w:rsid w:val="00F546BE"/>
    <w:rsid w:val="00FC5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24A6E"/>
  <w14:defaultImageDpi w14:val="300"/>
  <w15:docId w15:val="{F2942CB1-5EBD-0B49-9FF9-0869797B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Noto Serif CJK SC" w:eastAsia="Noto Serif CJK SC" w:hAnsi="Noto Serif CJK SC"/>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54</Pages>
  <Words>3531</Words>
  <Characters>20129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前置仓SKU选品与库存配置联合优化研究</dc:title>
  <dc:subject>即时零售数智化运营优化决策</dc:subject>
  <dc:creator>python-docx</dc:creator>
  <cp:keywords>前置仓, SKU选品, 库存配置, 联合优化, 订单篮回放</cp:keywords>
  <dc:description>可提交论文稿</dc:description>
  <cp:lastModifiedBy>牧天 王</cp:lastModifiedBy>
  <cp:revision>6</cp:revision>
  <dcterms:created xsi:type="dcterms:W3CDTF">2013-12-23T23:15:00Z</dcterms:created>
  <dcterms:modified xsi:type="dcterms:W3CDTF">2026-04-16T13:15:00Z</dcterms:modified>
  <cp:category>Research Paper</cp:category>
</cp:coreProperties>
</file>