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Argomento: Differenza del tasso di Femminicidio in Europa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fonte: Eurostat/istat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Differenze nel tempo (10 anni) e anche in rapporto agli omicidi totali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Differenze in base al PIL / reddito nucleo familiare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Differenze su base religiosa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Differenze in base al grado di istruzione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Differenze nella distribuzione della popolazione (centri abitati)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Differenze sulla base del genere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Età carnefice e vittima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Nuclei familiari sotto la soglia della povertà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Welfare nei Paesi 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OBIETTIVI: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studiare il fenomeno sulla base delle variabili prese in considerazione cercando di capire l’influenza delle stesse sul femminicidio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non esistesse l’EUROSTAT come raccogliamo i dati?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Dalla polizia mortuaria, forze dell’ordine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