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99FA" w14:textId="70277820" w:rsidR="009006F1" w:rsidRPr="009006F1" w:rsidRDefault="009006F1">
      <w:pPr>
        <w:rPr>
          <w:rFonts w:ascii="Arial" w:hAnsi="Arial" w:cs="Arial"/>
          <w:b/>
          <w:bCs/>
        </w:rPr>
      </w:pPr>
      <w:r w:rsidRPr="009006F1">
        <w:rPr>
          <w:rFonts w:ascii="Arial" w:hAnsi="Arial" w:cs="Arial"/>
          <w:b/>
          <w:bCs/>
        </w:rPr>
        <w:t xml:space="preserve">RISULTATI EMPIRICI RETURN DEI PTF E CAPM </w:t>
      </w:r>
    </w:p>
    <w:p w14:paraId="35C05FED" w14:textId="323EDE4E" w:rsidR="009006F1" w:rsidRPr="009006F1" w:rsidRDefault="009006F1">
      <w:pPr>
        <w:rPr>
          <w:rFonts w:ascii="Arial" w:hAnsi="Arial" w:cs="Arial"/>
          <w:b/>
          <w:bCs/>
        </w:rPr>
      </w:pPr>
      <w:r w:rsidRPr="009006F1">
        <w:rPr>
          <w:rFonts w:ascii="Arial" w:hAnsi="Arial" w:cs="Arial"/>
          <w:b/>
          <w:bCs/>
        </w:rPr>
        <w:t>Tabella Performance Assolute dei Portafogli LLM</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946"/>
        <w:gridCol w:w="1908"/>
        <w:gridCol w:w="2767"/>
        <w:gridCol w:w="1347"/>
        <w:gridCol w:w="1115"/>
      </w:tblGrid>
      <w:tr w:rsidR="009006F1" w:rsidRPr="009006F1" w14:paraId="4827A31F" w14:textId="77777777" w:rsidTr="009006F1">
        <w:trPr>
          <w:tblHeader/>
          <w:tblCellSpacing w:w="15" w:type="dxa"/>
        </w:trPr>
        <w:tc>
          <w:tcPr>
            <w:tcW w:w="773" w:type="pct"/>
            <w:vAlign w:val="center"/>
            <w:hideMark/>
          </w:tcPr>
          <w:p w14:paraId="48E8ABA5" w14:textId="77777777" w:rsidR="009006F1" w:rsidRPr="009006F1" w:rsidRDefault="009006F1" w:rsidP="009006F1">
            <w:pPr>
              <w:rPr>
                <w:rFonts w:ascii="Times New Roman" w:hAnsi="Times New Roman" w:cs="Times New Roman"/>
                <w:b/>
                <w:bCs/>
                <w:sz w:val="24"/>
                <w:szCs w:val="24"/>
              </w:rPr>
            </w:pPr>
            <w:proofErr w:type="spellStart"/>
            <w:r w:rsidRPr="009006F1">
              <w:rPr>
                <w:rFonts w:ascii="Times New Roman" w:hAnsi="Times New Roman" w:cs="Times New Roman"/>
                <w:b/>
                <w:bCs/>
                <w:sz w:val="24"/>
                <w:szCs w:val="24"/>
              </w:rPr>
              <w:t>Weighting</w:t>
            </w:r>
            <w:proofErr w:type="spellEnd"/>
          </w:p>
        </w:tc>
        <w:tc>
          <w:tcPr>
            <w:tcW w:w="472" w:type="pct"/>
            <w:vAlign w:val="center"/>
            <w:hideMark/>
          </w:tcPr>
          <w:p w14:paraId="210DC464" w14:textId="77777777" w:rsidR="009006F1" w:rsidRPr="009006F1" w:rsidRDefault="009006F1" w:rsidP="009006F1">
            <w:pPr>
              <w:rPr>
                <w:rFonts w:ascii="Times New Roman" w:hAnsi="Times New Roman" w:cs="Times New Roman"/>
                <w:b/>
                <w:bCs/>
                <w:sz w:val="24"/>
                <w:szCs w:val="24"/>
              </w:rPr>
            </w:pPr>
            <w:r w:rsidRPr="009006F1">
              <w:rPr>
                <w:rFonts w:ascii="Times New Roman" w:hAnsi="Times New Roman" w:cs="Times New Roman"/>
                <w:b/>
                <w:bCs/>
                <w:sz w:val="24"/>
                <w:szCs w:val="24"/>
              </w:rPr>
              <w:t>Model</w:t>
            </w:r>
          </w:p>
        </w:tc>
        <w:tc>
          <w:tcPr>
            <w:tcW w:w="967" w:type="pct"/>
            <w:vAlign w:val="center"/>
            <w:hideMark/>
          </w:tcPr>
          <w:p w14:paraId="2833F5F0" w14:textId="77777777" w:rsidR="009006F1" w:rsidRPr="009006F1" w:rsidRDefault="009006F1" w:rsidP="009006F1">
            <w:pPr>
              <w:rPr>
                <w:rFonts w:ascii="Times New Roman" w:hAnsi="Times New Roman" w:cs="Times New Roman"/>
                <w:b/>
                <w:bCs/>
                <w:sz w:val="24"/>
                <w:szCs w:val="24"/>
              </w:rPr>
            </w:pPr>
            <w:r w:rsidRPr="009006F1">
              <w:rPr>
                <w:rFonts w:ascii="Times New Roman" w:hAnsi="Times New Roman" w:cs="Times New Roman"/>
                <w:b/>
                <w:bCs/>
                <w:sz w:val="24"/>
                <w:szCs w:val="24"/>
              </w:rPr>
              <w:t>Mean Return</w:t>
            </w:r>
          </w:p>
        </w:tc>
        <w:tc>
          <w:tcPr>
            <w:tcW w:w="1409" w:type="pct"/>
            <w:vAlign w:val="center"/>
            <w:hideMark/>
          </w:tcPr>
          <w:p w14:paraId="6C6EC835" w14:textId="77777777" w:rsidR="009006F1" w:rsidRPr="009006F1" w:rsidRDefault="009006F1" w:rsidP="009006F1">
            <w:pPr>
              <w:rPr>
                <w:rFonts w:ascii="Times New Roman" w:hAnsi="Times New Roman" w:cs="Times New Roman"/>
                <w:b/>
                <w:bCs/>
                <w:sz w:val="24"/>
                <w:szCs w:val="24"/>
              </w:rPr>
            </w:pPr>
            <w:r w:rsidRPr="009006F1">
              <w:rPr>
                <w:rFonts w:ascii="Times New Roman" w:hAnsi="Times New Roman" w:cs="Times New Roman"/>
                <w:b/>
                <w:bCs/>
                <w:sz w:val="24"/>
                <w:szCs w:val="24"/>
              </w:rPr>
              <w:t>Cumulative Return</w:t>
            </w:r>
          </w:p>
        </w:tc>
        <w:tc>
          <w:tcPr>
            <w:tcW w:w="678" w:type="pct"/>
            <w:vAlign w:val="center"/>
            <w:hideMark/>
          </w:tcPr>
          <w:p w14:paraId="71039927" w14:textId="77777777" w:rsidR="009006F1" w:rsidRPr="009006F1" w:rsidRDefault="009006F1" w:rsidP="009006F1">
            <w:pPr>
              <w:rPr>
                <w:rFonts w:ascii="Times New Roman" w:hAnsi="Times New Roman" w:cs="Times New Roman"/>
                <w:b/>
                <w:bCs/>
                <w:sz w:val="24"/>
                <w:szCs w:val="24"/>
              </w:rPr>
            </w:pPr>
            <w:proofErr w:type="spellStart"/>
            <w:r w:rsidRPr="009006F1">
              <w:rPr>
                <w:rFonts w:ascii="Times New Roman" w:hAnsi="Times New Roman" w:cs="Times New Roman"/>
                <w:b/>
                <w:bCs/>
                <w:sz w:val="24"/>
                <w:szCs w:val="24"/>
              </w:rPr>
              <w:t>Std</w:t>
            </w:r>
            <w:proofErr w:type="spellEnd"/>
            <w:r w:rsidRPr="009006F1">
              <w:rPr>
                <w:rFonts w:ascii="Times New Roman" w:hAnsi="Times New Roman" w:cs="Times New Roman"/>
                <w:b/>
                <w:bCs/>
                <w:sz w:val="24"/>
                <w:szCs w:val="24"/>
              </w:rPr>
              <w:t>. Dev.</w:t>
            </w:r>
          </w:p>
        </w:tc>
        <w:tc>
          <w:tcPr>
            <w:tcW w:w="551" w:type="pct"/>
            <w:vAlign w:val="center"/>
            <w:hideMark/>
          </w:tcPr>
          <w:p w14:paraId="32176FC5" w14:textId="77777777" w:rsidR="009006F1" w:rsidRPr="009006F1" w:rsidRDefault="009006F1" w:rsidP="009006F1">
            <w:pPr>
              <w:rPr>
                <w:rFonts w:ascii="Times New Roman" w:hAnsi="Times New Roman" w:cs="Times New Roman"/>
                <w:b/>
                <w:bCs/>
                <w:sz w:val="24"/>
                <w:szCs w:val="24"/>
              </w:rPr>
            </w:pPr>
            <w:r w:rsidRPr="009006F1">
              <w:rPr>
                <w:rFonts w:ascii="Times New Roman" w:hAnsi="Times New Roman" w:cs="Times New Roman"/>
                <w:b/>
                <w:bCs/>
                <w:sz w:val="24"/>
                <w:szCs w:val="24"/>
              </w:rPr>
              <w:t>Sharpe</w:t>
            </w:r>
          </w:p>
        </w:tc>
      </w:tr>
      <w:tr w:rsidR="009006F1" w:rsidRPr="009006F1" w14:paraId="10C7DB5E" w14:textId="77777777" w:rsidTr="009006F1">
        <w:trPr>
          <w:tblCellSpacing w:w="15" w:type="dxa"/>
        </w:trPr>
        <w:tc>
          <w:tcPr>
            <w:tcW w:w="773" w:type="pct"/>
            <w:vAlign w:val="center"/>
            <w:hideMark/>
          </w:tcPr>
          <w:p w14:paraId="33A9ABD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EW</w:t>
            </w:r>
          </w:p>
        </w:tc>
        <w:tc>
          <w:tcPr>
            <w:tcW w:w="472" w:type="pct"/>
            <w:vAlign w:val="center"/>
            <w:hideMark/>
          </w:tcPr>
          <w:p w14:paraId="0F3206D7"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CGL</w:t>
            </w:r>
          </w:p>
        </w:tc>
        <w:tc>
          <w:tcPr>
            <w:tcW w:w="967" w:type="pct"/>
            <w:vAlign w:val="center"/>
            <w:hideMark/>
          </w:tcPr>
          <w:p w14:paraId="0D3D0E45"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-0.00148</w:t>
            </w:r>
          </w:p>
        </w:tc>
        <w:tc>
          <w:tcPr>
            <w:tcW w:w="1409" w:type="pct"/>
            <w:vAlign w:val="center"/>
            <w:hideMark/>
          </w:tcPr>
          <w:p w14:paraId="7A592E53"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-0.0610</w:t>
            </w:r>
          </w:p>
        </w:tc>
        <w:tc>
          <w:tcPr>
            <w:tcW w:w="678" w:type="pct"/>
            <w:vAlign w:val="center"/>
            <w:hideMark/>
          </w:tcPr>
          <w:p w14:paraId="4A532E5F"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0.0163</w:t>
            </w:r>
          </w:p>
        </w:tc>
        <w:tc>
          <w:tcPr>
            <w:tcW w:w="551" w:type="pct"/>
            <w:vAlign w:val="center"/>
            <w:hideMark/>
          </w:tcPr>
          <w:p w14:paraId="7426D50A"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-0.0908</w:t>
            </w:r>
          </w:p>
        </w:tc>
      </w:tr>
      <w:tr w:rsidR="009006F1" w:rsidRPr="009006F1" w14:paraId="286BB9C1" w14:textId="77777777" w:rsidTr="009006F1">
        <w:trPr>
          <w:tblCellSpacing w:w="15" w:type="dxa"/>
        </w:trPr>
        <w:tc>
          <w:tcPr>
            <w:tcW w:w="773" w:type="pct"/>
            <w:vAlign w:val="center"/>
            <w:hideMark/>
          </w:tcPr>
          <w:p w14:paraId="5E376D0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EW</w:t>
            </w:r>
          </w:p>
        </w:tc>
        <w:tc>
          <w:tcPr>
            <w:tcW w:w="472" w:type="pct"/>
            <w:vAlign w:val="center"/>
            <w:hideMark/>
          </w:tcPr>
          <w:p w14:paraId="0F5DA0A0"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CGP</w:t>
            </w:r>
          </w:p>
        </w:tc>
        <w:tc>
          <w:tcPr>
            <w:tcW w:w="967" w:type="pct"/>
            <w:vAlign w:val="center"/>
            <w:hideMark/>
          </w:tcPr>
          <w:p w14:paraId="15E7C4C3"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-0.00242</w:t>
            </w:r>
          </w:p>
        </w:tc>
        <w:tc>
          <w:tcPr>
            <w:tcW w:w="1409" w:type="pct"/>
            <w:vAlign w:val="center"/>
            <w:hideMark/>
          </w:tcPr>
          <w:p w14:paraId="77742DE0"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-0.0903</w:t>
            </w:r>
          </w:p>
        </w:tc>
        <w:tc>
          <w:tcPr>
            <w:tcW w:w="678" w:type="pct"/>
            <w:vAlign w:val="center"/>
            <w:hideMark/>
          </w:tcPr>
          <w:p w14:paraId="3F10DDB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0.0168</w:t>
            </w:r>
          </w:p>
        </w:tc>
        <w:tc>
          <w:tcPr>
            <w:tcW w:w="551" w:type="pct"/>
            <w:vAlign w:val="center"/>
            <w:hideMark/>
          </w:tcPr>
          <w:p w14:paraId="051597C3"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-0.1440</w:t>
            </w:r>
          </w:p>
        </w:tc>
      </w:tr>
      <w:tr w:rsidR="009006F1" w:rsidRPr="009006F1" w14:paraId="000652EB" w14:textId="77777777" w:rsidTr="009006F1">
        <w:trPr>
          <w:tblCellSpacing w:w="15" w:type="dxa"/>
        </w:trPr>
        <w:tc>
          <w:tcPr>
            <w:tcW w:w="773" w:type="pct"/>
            <w:vAlign w:val="center"/>
            <w:hideMark/>
          </w:tcPr>
          <w:p w14:paraId="47C1F78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EW</w:t>
            </w:r>
          </w:p>
        </w:tc>
        <w:tc>
          <w:tcPr>
            <w:tcW w:w="472" w:type="pct"/>
            <w:vAlign w:val="center"/>
            <w:hideMark/>
          </w:tcPr>
          <w:p w14:paraId="7740FA42"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G</w:t>
            </w:r>
          </w:p>
        </w:tc>
        <w:tc>
          <w:tcPr>
            <w:tcW w:w="967" w:type="pct"/>
            <w:vAlign w:val="center"/>
            <w:hideMark/>
          </w:tcPr>
          <w:p w14:paraId="12CDB37C"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-0.00118</w:t>
            </w:r>
          </w:p>
        </w:tc>
        <w:tc>
          <w:tcPr>
            <w:tcW w:w="1409" w:type="pct"/>
            <w:vAlign w:val="center"/>
            <w:hideMark/>
          </w:tcPr>
          <w:p w14:paraId="786B591C"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-0.0473</w:t>
            </w:r>
          </w:p>
        </w:tc>
        <w:tc>
          <w:tcPr>
            <w:tcW w:w="678" w:type="pct"/>
            <w:vAlign w:val="center"/>
            <w:hideMark/>
          </w:tcPr>
          <w:p w14:paraId="494688CC"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0.0182</w:t>
            </w:r>
          </w:p>
        </w:tc>
        <w:tc>
          <w:tcPr>
            <w:tcW w:w="551" w:type="pct"/>
            <w:vAlign w:val="center"/>
            <w:hideMark/>
          </w:tcPr>
          <w:p w14:paraId="31FADD3E"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-0.0651</w:t>
            </w:r>
          </w:p>
        </w:tc>
      </w:tr>
      <w:tr w:rsidR="009006F1" w:rsidRPr="009006F1" w14:paraId="46E04689" w14:textId="77777777" w:rsidTr="009006F1">
        <w:trPr>
          <w:tblCellSpacing w:w="15" w:type="dxa"/>
        </w:trPr>
        <w:tc>
          <w:tcPr>
            <w:tcW w:w="773" w:type="pct"/>
            <w:vAlign w:val="center"/>
            <w:hideMark/>
          </w:tcPr>
          <w:p w14:paraId="0DA7A81D"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SW</w:t>
            </w:r>
          </w:p>
        </w:tc>
        <w:tc>
          <w:tcPr>
            <w:tcW w:w="472" w:type="pct"/>
            <w:vAlign w:val="center"/>
            <w:hideMark/>
          </w:tcPr>
          <w:p w14:paraId="73E9107D"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CGL</w:t>
            </w:r>
          </w:p>
        </w:tc>
        <w:tc>
          <w:tcPr>
            <w:tcW w:w="967" w:type="pct"/>
            <w:vAlign w:val="center"/>
            <w:hideMark/>
          </w:tcPr>
          <w:p w14:paraId="4F2A7C7F"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-0.00259</w:t>
            </w:r>
          </w:p>
        </w:tc>
        <w:tc>
          <w:tcPr>
            <w:tcW w:w="1409" w:type="pct"/>
            <w:vAlign w:val="center"/>
            <w:hideMark/>
          </w:tcPr>
          <w:p w14:paraId="2BF6E9EE"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-0.1000</w:t>
            </w:r>
          </w:p>
        </w:tc>
        <w:tc>
          <w:tcPr>
            <w:tcW w:w="678" w:type="pct"/>
            <w:vAlign w:val="center"/>
            <w:hideMark/>
          </w:tcPr>
          <w:p w14:paraId="3A79287A"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0.0155</w:t>
            </w:r>
          </w:p>
        </w:tc>
        <w:tc>
          <w:tcPr>
            <w:tcW w:w="551" w:type="pct"/>
            <w:vAlign w:val="center"/>
            <w:hideMark/>
          </w:tcPr>
          <w:p w14:paraId="5512A21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-0.1680</w:t>
            </w:r>
          </w:p>
        </w:tc>
      </w:tr>
      <w:tr w:rsidR="009006F1" w:rsidRPr="009006F1" w14:paraId="62F741D3" w14:textId="77777777" w:rsidTr="009006F1">
        <w:trPr>
          <w:tblCellSpacing w:w="15" w:type="dxa"/>
        </w:trPr>
        <w:tc>
          <w:tcPr>
            <w:tcW w:w="773" w:type="pct"/>
            <w:vAlign w:val="center"/>
            <w:hideMark/>
          </w:tcPr>
          <w:p w14:paraId="24FEBFE0"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SW</w:t>
            </w:r>
          </w:p>
        </w:tc>
        <w:tc>
          <w:tcPr>
            <w:tcW w:w="472" w:type="pct"/>
            <w:vAlign w:val="center"/>
            <w:hideMark/>
          </w:tcPr>
          <w:p w14:paraId="5C13C080"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CGP</w:t>
            </w:r>
          </w:p>
        </w:tc>
        <w:tc>
          <w:tcPr>
            <w:tcW w:w="967" w:type="pct"/>
            <w:vAlign w:val="center"/>
            <w:hideMark/>
          </w:tcPr>
          <w:p w14:paraId="7CCCDD5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-0.00268</w:t>
            </w:r>
          </w:p>
        </w:tc>
        <w:tc>
          <w:tcPr>
            <w:tcW w:w="1409" w:type="pct"/>
            <w:vAlign w:val="center"/>
            <w:hideMark/>
          </w:tcPr>
          <w:p w14:paraId="5A535F1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-0.0990</w:t>
            </w:r>
          </w:p>
        </w:tc>
        <w:tc>
          <w:tcPr>
            <w:tcW w:w="678" w:type="pct"/>
            <w:vAlign w:val="center"/>
            <w:hideMark/>
          </w:tcPr>
          <w:p w14:paraId="4B72E5B8"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0.0162</w:t>
            </w:r>
          </w:p>
        </w:tc>
        <w:tc>
          <w:tcPr>
            <w:tcW w:w="551" w:type="pct"/>
            <w:vAlign w:val="center"/>
            <w:hideMark/>
          </w:tcPr>
          <w:p w14:paraId="11E395D2"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-0.1650</w:t>
            </w:r>
          </w:p>
        </w:tc>
      </w:tr>
      <w:tr w:rsidR="009006F1" w:rsidRPr="009006F1" w14:paraId="3FF956B6" w14:textId="77777777" w:rsidTr="009006F1">
        <w:trPr>
          <w:tblCellSpacing w:w="15" w:type="dxa"/>
        </w:trPr>
        <w:tc>
          <w:tcPr>
            <w:tcW w:w="773" w:type="pct"/>
            <w:vAlign w:val="center"/>
            <w:hideMark/>
          </w:tcPr>
          <w:p w14:paraId="42A51FC2"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SW</w:t>
            </w:r>
          </w:p>
        </w:tc>
        <w:tc>
          <w:tcPr>
            <w:tcW w:w="472" w:type="pct"/>
            <w:vAlign w:val="center"/>
            <w:hideMark/>
          </w:tcPr>
          <w:p w14:paraId="53C022BA"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G</w:t>
            </w:r>
          </w:p>
        </w:tc>
        <w:tc>
          <w:tcPr>
            <w:tcW w:w="967" w:type="pct"/>
            <w:vAlign w:val="center"/>
            <w:hideMark/>
          </w:tcPr>
          <w:p w14:paraId="0D011DD4"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-0.00227</w:t>
            </w:r>
          </w:p>
        </w:tc>
        <w:tc>
          <w:tcPr>
            <w:tcW w:w="1409" w:type="pct"/>
            <w:vAlign w:val="center"/>
            <w:hideMark/>
          </w:tcPr>
          <w:p w14:paraId="7EE202D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-0.0833</w:t>
            </w:r>
          </w:p>
        </w:tc>
        <w:tc>
          <w:tcPr>
            <w:tcW w:w="678" w:type="pct"/>
            <w:vAlign w:val="center"/>
            <w:hideMark/>
          </w:tcPr>
          <w:p w14:paraId="3F93CE1E"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0.0172</w:t>
            </w:r>
          </w:p>
        </w:tc>
        <w:tc>
          <w:tcPr>
            <w:tcW w:w="551" w:type="pct"/>
            <w:vAlign w:val="center"/>
            <w:hideMark/>
          </w:tcPr>
          <w:p w14:paraId="245730D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-0.1320</w:t>
            </w:r>
          </w:p>
        </w:tc>
      </w:tr>
      <w:tr w:rsidR="009006F1" w:rsidRPr="009006F1" w14:paraId="252CC3A1" w14:textId="77777777" w:rsidTr="009006F1">
        <w:trPr>
          <w:tblCellSpacing w:w="15" w:type="dxa"/>
        </w:trPr>
        <w:tc>
          <w:tcPr>
            <w:tcW w:w="773" w:type="pct"/>
            <w:vAlign w:val="center"/>
            <w:hideMark/>
          </w:tcPr>
          <w:p w14:paraId="5B805D35"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VW</w:t>
            </w:r>
          </w:p>
        </w:tc>
        <w:tc>
          <w:tcPr>
            <w:tcW w:w="472" w:type="pct"/>
            <w:vAlign w:val="center"/>
            <w:hideMark/>
          </w:tcPr>
          <w:p w14:paraId="668492F8"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CGL</w:t>
            </w:r>
          </w:p>
        </w:tc>
        <w:tc>
          <w:tcPr>
            <w:tcW w:w="967" w:type="pct"/>
            <w:vAlign w:val="center"/>
            <w:hideMark/>
          </w:tcPr>
          <w:p w14:paraId="0707105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-0.00130</w:t>
            </w:r>
          </w:p>
        </w:tc>
        <w:tc>
          <w:tcPr>
            <w:tcW w:w="1409" w:type="pct"/>
            <w:vAlign w:val="center"/>
            <w:hideMark/>
          </w:tcPr>
          <w:p w14:paraId="350A575C"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-0.0575</w:t>
            </w:r>
          </w:p>
        </w:tc>
        <w:tc>
          <w:tcPr>
            <w:tcW w:w="678" w:type="pct"/>
            <w:vAlign w:val="center"/>
            <w:hideMark/>
          </w:tcPr>
          <w:p w14:paraId="68C62D0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0.0211</w:t>
            </w:r>
          </w:p>
        </w:tc>
        <w:tc>
          <w:tcPr>
            <w:tcW w:w="551" w:type="pct"/>
            <w:vAlign w:val="center"/>
            <w:hideMark/>
          </w:tcPr>
          <w:p w14:paraId="15BA3FC2"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-0.0516</w:t>
            </w:r>
          </w:p>
        </w:tc>
      </w:tr>
      <w:tr w:rsidR="009006F1" w:rsidRPr="009006F1" w14:paraId="1E89CE0C" w14:textId="77777777" w:rsidTr="009006F1">
        <w:trPr>
          <w:tblCellSpacing w:w="15" w:type="dxa"/>
        </w:trPr>
        <w:tc>
          <w:tcPr>
            <w:tcW w:w="773" w:type="pct"/>
            <w:vAlign w:val="center"/>
            <w:hideMark/>
          </w:tcPr>
          <w:p w14:paraId="4159BC46"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VW</w:t>
            </w:r>
          </w:p>
        </w:tc>
        <w:tc>
          <w:tcPr>
            <w:tcW w:w="472" w:type="pct"/>
            <w:vAlign w:val="center"/>
            <w:hideMark/>
          </w:tcPr>
          <w:p w14:paraId="2A989988"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CGP</w:t>
            </w:r>
          </w:p>
        </w:tc>
        <w:tc>
          <w:tcPr>
            <w:tcW w:w="967" w:type="pct"/>
            <w:vAlign w:val="center"/>
            <w:hideMark/>
          </w:tcPr>
          <w:p w14:paraId="3B46B08D"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-0.00365</w:t>
            </w:r>
          </w:p>
        </w:tc>
        <w:tc>
          <w:tcPr>
            <w:tcW w:w="1409" w:type="pct"/>
            <w:vAlign w:val="center"/>
            <w:hideMark/>
          </w:tcPr>
          <w:p w14:paraId="21EFE944"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-0.1320</w:t>
            </w:r>
          </w:p>
        </w:tc>
        <w:tc>
          <w:tcPr>
            <w:tcW w:w="678" w:type="pct"/>
            <w:vAlign w:val="center"/>
            <w:hideMark/>
          </w:tcPr>
          <w:p w14:paraId="0BD49997"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0.0189</w:t>
            </w:r>
          </w:p>
        </w:tc>
        <w:tc>
          <w:tcPr>
            <w:tcW w:w="551" w:type="pct"/>
            <w:vAlign w:val="center"/>
            <w:hideMark/>
          </w:tcPr>
          <w:p w14:paraId="7614FF0F"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-0.1940</w:t>
            </w:r>
          </w:p>
        </w:tc>
      </w:tr>
      <w:tr w:rsidR="009006F1" w:rsidRPr="009006F1" w14:paraId="58DA8C40" w14:textId="77777777" w:rsidTr="009006F1">
        <w:trPr>
          <w:tblCellSpacing w:w="15" w:type="dxa"/>
        </w:trPr>
        <w:tc>
          <w:tcPr>
            <w:tcW w:w="773" w:type="pct"/>
            <w:vAlign w:val="center"/>
            <w:hideMark/>
          </w:tcPr>
          <w:p w14:paraId="27B275E8"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VW</w:t>
            </w:r>
          </w:p>
        </w:tc>
        <w:tc>
          <w:tcPr>
            <w:tcW w:w="472" w:type="pct"/>
            <w:vAlign w:val="center"/>
            <w:hideMark/>
          </w:tcPr>
          <w:p w14:paraId="04620D1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G</w:t>
            </w:r>
          </w:p>
        </w:tc>
        <w:tc>
          <w:tcPr>
            <w:tcW w:w="967" w:type="pct"/>
            <w:vAlign w:val="center"/>
            <w:hideMark/>
          </w:tcPr>
          <w:p w14:paraId="409BF91A"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-0.00045</w:t>
            </w:r>
          </w:p>
        </w:tc>
        <w:tc>
          <w:tcPr>
            <w:tcW w:w="1409" w:type="pct"/>
            <w:vAlign w:val="center"/>
            <w:hideMark/>
          </w:tcPr>
          <w:p w14:paraId="3AB02F91"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-0.0223</w:t>
            </w:r>
          </w:p>
        </w:tc>
        <w:tc>
          <w:tcPr>
            <w:tcW w:w="678" w:type="pct"/>
            <w:vAlign w:val="center"/>
            <w:hideMark/>
          </w:tcPr>
          <w:p w14:paraId="141D8E58"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0.0191</w:t>
            </w:r>
          </w:p>
        </w:tc>
        <w:tc>
          <w:tcPr>
            <w:tcW w:w="551" w:type="pct"/>
            <w:vAlign w:val="center"/>
            <w:hideMark/>
          </w:tcPr>
          <w:p w14:paraId="4CEA7014" w14:textId="77777777" w:rsidR="009006F1" w:rsidRPr="009006F1" w:rsidRDefault="009006F1" w:rsidP="009006F1">
            <w:pPr>
              <w:rPr>
                <w:rFonts w:ascii="Times New Roman" w:hAnsi="Times New Roman" w:cs="Times New Roman"/>
                <w:sz w:val="24"/>
                <w:szCs w:val="24"/>
              </w:rPr>
            </w:pPr>
            <w:r w:rsidRPr="009006F1">
              <w:rPr>
                <w:rFonts w:ascii="Times New Roman" w:hAnsi="Times New Roman" w:cs="Times New Roman"/>
                <w:sz w:val="24"/>
                <w:szCs w:val="24"/>
              </w:rPr>
              <w:t>-0.0237</w:t>
            </w:r>
          </w:p>
        </w:tc>
      </w:tr>
    </w:tbl>
    <w:p w14:paraId="374875EF" w14:textId="77777777" w:rsidR="009006F1" w:rsidRPr="009006F1" w:rsidRDefault="009006F1">
      <w:pPr>
        <w:rPr>
          <w:rFonts w:ascii="Arial" w:hAnsi="Arial" w:cs="Arial"/>
        </w:rPr>
      </w:pPr>
    </w:p>
    <w:p w14:paraId="2D13C9AC" w14:textId="2721CAB6" w:rsidR="009006F1" w:rsidRPr="009006F1" w:rsidRDefault="009006F1" w:rsidP="009006F1">
      <w:pPr>
        <w:jc w:val="both"/>
        <w:rPr>
          <w:rFonts w:ascii="Arial" w:hAnsi="Arial" w:cs="Arial"/>
        </w:rPr>
      </w:pPr>
      <w:r w:rsidRPr="009006F1">
        <w:rPr>
          <w:rFonts w:ascii="Arial" w:hAnsi="Arial" w:cs="Arial"/>
        </w:rPr>
        <w:t>I rendimenti assoluti risultano generalmente negativi in tutte le configurazioni considerate. Tuttavia, emergono differenze rilevanti tra modelli e schemi di ponderazione. In particolare, il modello G in configurazione Value Weighted registra la migliore performance relativa in termini di Sharpe ratio.</w:t>
      </w:r>
    </w:p>
    <w:p w14:paraId="4D71E3BF" w14:textId="0966688A" w:rsidR="009006F1" w:rsidRDefault="009006F1">
      <w:pPr>
        <w:rPr>
          <w:rFonts w:ascii="Arial" w:hAnsi="Arial" w:cs="Arial"/>
          <w:b/>
          <w:bCs/>
        </w:rPr>
      </w:pPr>
      <w:r w:rsidRPr="009006F1">
        <w:rPr>
          <w:rFonts w:ascii="Arial" w:hAnsi="Arial" w:cs="Arial"/>
          <w:b/>
          <w:bCs/>
        </w:rPr>
        <w:t>Tabella Confronto con Benchmark S&amp;P500</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3664"/>
        <w:gridCol w:w="3107"/>
      </w:tblGrid>
      <w:tr w:rsidR="009006F1" w:rsidRPr="009006F1" w14:paraId="571A28F2" w14:textId="77777777" w:rsidTr="009006F1">
        <w:trPr>
          <w:tblHeader/>
          <w:tblCellSpacing w:w="15" w:type="dxa"/>
        </w:trPr>
        <w:tc>
          <w:tcPr>
            <w:tcW w:w="1433" w:type="pct"/>
            <w:vAlign w:val="center"/>
            <w:hideMark/>
          </w:tcPr>
          <w:p w14:paraId="0E14D06E" w14:textId="77777777" w:rsidR="009006F1" w:rsidRPr="009006F1" w:rsidRDefault="009006F1" w:rsidP="009006F1">
            <w:pPr>
              <w:spacing w:after="0" w:line="240" w:lineRule="auto"/>
              <w:jc w:val="center"/>
              <w:rPr>
                <w:rFonts w:ascii="Times New Roman" w:eastAsia="Times New Roman" w:hAnsi="Times New Roman" w:cs="Times New Roman"/>
                <w:b/>
                <w:bCs/>
                <w:kern w:val="0"/>
                <w:sz w:val="24"/>
                <w:szCs w:val="24"/>
                <w:lang w:eastAsia="it-IT"/>
                <w14:ligatures w14:val="none"/>
              </w:rPr>
            </w:pPr>
            <w:proofErr w:type="spellStart"/>
            <w:r w:rsidRPr="009006F1">
              <w:rPr>
                <w:rFonts w:ascii="Times New Roman" w:eastAsia="Times New Roman" w:hAnsi="Times New Roman" w:cs="Times New Roman"/>
                <w:b/>
                <w:bCs/>
                <w:kern w:val="0"/>
                <w:sz w:val="24"/>
                <w:szCs w:val="24"/>
                <w:lang w:eastAsia="it-IT"/>
                <w14:ligatures w14:val="none"/>
              </w:rPr>
              <w:t>Weighting</w:t>
            </w:r>
            <w:proofErr w:type="spellEnd"/>
          </w:p>
        </w:tc>
        <w:tc>
          <w:tcPr>
            <w:tcW w:w="1851" w:type="pct"/>
            <w:vAlign w:val="center"/>
            <w:hideMark/>
          </w:tcPr>
          <w:p w14:paraId="4F8CB253" w14:textId="77777777" w:rsidR="009006F1" w:rsidRPr="009006F1" w:rsidRDefault="009006F1" w:rsidP="009006F1">
            <w:pPr>
              <w:spacing w:after="0" w:line="240" w:lineRule="auto"/>
              <w:jc w:val="center"/>
              <w:rPr>
                <w:rFonts w:ascii="Times New Roman" w:eastAsia="Times New Roman" w:hAnsi="Times New Roman" w:cs="Times New Roman"/>
                <w:b/>
                <w:bCs/>
                <w:kern w:val="0"/>
                <w:sz w:val="24"/>
                <w:szCs w:val="24"/>
                <w:lang w:eastAsia="it-IT"/>
                <w14:ligatures w14:val="none"/>
              </w:rPr>
            </w:pPr>
            <w:r w:rsidRPr="009006F1">
              <w:rPr>
                <w:rFonts w:ascii="Times New Roman" w:eastAsia="Times New Roman" w:hAnsi="Times New Roman" w:cs="Times New Roman"/>
                <w:b/>
                <w:bCs/>
                <w:kern w:val="0"/>
                <w:sz w:val="24"/>
                <w:szCs w:val="24"/>
                <w:lang w:eastAsia="it-IT"/>
                <w14:ligatures w14:val="none"/>
              </w:rPr>
              <w:t>Portfolio</w:t>
            </w:r>
          </w:p>
        </w:tc>
        <w:tc>
          <w:tcPr>
            <w:tcW w:w="1560" w:type="pct"/>
            <w:vAlign w:val="center"/>
            <w:hideMark/>
          </w:tcPr>
          <w:p w14:paraId="63A1F3FD" w14:textId="77777777" w:rsidR="009006F1" w:rsidRPr="009006F1" w:rsidRDefault="009006F1" w:rsidP="009006F1">
            <w:pPr>
              <w:spacing w:after="0" w:line="240" w:lineRule="auto"/>
              <w:jc w:val="right"/>
              <w:rPr>
                <w:rFonts w:ascii="Times New Roman" w:eastAsia="Times New Roman" w:hAnsi="Times New Roman" w:cs="Times New Roman"/>
                <w:b/>
                <w:bCs/>
                <w:kern w:val="0"/>
                <w:sz w:val="24"/>
                <w:szCs w:val="24"/>
                <w:lang w:eastAsia="it-IT"/>
                <w14:ligatures w14:val="none"/>
              </w:rPr>
            </w:pPr>
            <w:r w:rsidRPr="009006F1">
              <w:rPr>
                <w:rFonts w:ascii="Times New Roman" w:eastAsia="Times New Roman" w:hAnsi="Times New Roman" w:cs="Times New Roman"/>
                <w:b/>
                <w:bCs/>
                <w:kern w:val="0"/>
                <w:sz w:val="24"/>
                <w:szCs w:val="24"/>
                <w:lang w:eastAsia="it-IT"/>
                <w14:ligatures w14:val="none"/>
              </w:rPr>
              <w:t>Sharpe</w:t>
            </w:r>
          </w:p>
        </w:tc>
      </w:tr>
      <w:tr w:rsidR="009006F1" w:rsidRPr="009006F1" w14:paraId="5E1D5F27" w14:textId="77777777" w:rsidTr="009006F1">
        <w:trPr>
          <w:tblCellSpacing w:w="15" w:type="dxa"/>
        </w:trPr>
        <w:tc>
          <w:tcPr>
            <w:tcW w:w="1433" w:type="pct"/>
            <w:vAlign w:val="center"/>
            <w:hideMark/>
          </w:tcPr>
          <w:p w14:paraId="21A1A54E"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EW</w:t>
            </w:r>
          </w:p>
        </w:tc>
        <w:tc>
          <w:tcPr>
            <w:tcW w:w="1851" w:type="pct"/>
            <w:vAlign w:val="center"/>
            <w:hideMark/>
          </w:tcPr>
          <w:p w14:paraId="514F6F8F"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SP500</w:t>
            </w:r>
          </w:p>
        </w:tc>
        <w:tc>
          <w:tcPr>
            <w:tcW w:w="1560" w:type="pct"/>
            <w:vAlign w:val="center"/>
            <w:hideMark/>
          </w:tcPr>
          <w:p w14:paraId="6F77B310"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-0.0638</w:t>
            </w:r>
          </w:p>
        </w:tc>
      </w:tr>
      <w:tr w:rsidR="009006F1" w:rsidRPr="009006F1" w14:paraId="0C13E81C" w14:textId="77777777" w:rsidTr="009006F1">
        <w:trPr>
          <w:tblCellSpacing w:w="15" w:type="dxa"/>
        </w:trPr>
        <w:tc>
          <w:tcPr>
            <w:tcW w:w="1433" w:type="pct"/>
            <w:vAlign w:val="center"/>
            <w:hideMark/>
          </w:tcPr>
          <w:p w14:paraId="27D83C34"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EW</w:t>
            </w:r>
          </w:p>
        </w:tc>
        <w:tc>
          <w:tcPr>
            <w:tcW w:w="1851" w:type="pct"/>
            <w:vAlign w:val="center"/>
            <w:hideMark/>
          </w:tcPr>
          <w:p w14:paraId="2D8A52FC"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Best LLM (G)</w:t>
            </w:r>
          </w:p>
        </w:tc>
        <w:tc>
          <w:tcPr>
            <w:tcW w:w="1560" w:type="pct"/>
            <w:vAlign w:val="center"/>
            <w:hideMark/>
          </w:tcPr>
          <w:p w14:paraId="2E9E5AF3"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-0.0651</w:t>
            </w:r>
          </w:p>
        </w:tc>
      </w:tr>
      <w:tr w:rsidR="009006F1" w:rsidRPr="009006F1" w14:paraId="4FEEBCEE" w14:textId="77777777" w:rsidTr="009006F1">
        <w:trPr>
          <w:tblCellSpacing w:w="15" w:type="dxa"/>
        </w:trPr>
        <w:tc>
          <w:tcPr>
            <w:tcW w:w="1433" w:type="pct"/>
            <w:vAlign w:val="center"/>
            <w:hideMark/>
          </w:tcPr>
          <w:p w14:paraId="72BC26C0"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SW</w:t>
            </w:r>
          </w:p>
        </w:tc>
        <w:tc>
          <w:tcPr>
            <w:tcW w:w="1851" w:type="pct"/>
            <w:vAlign w:val="center"/>
            <w:hideMark/>
          </w:tcPr>
          <w:p w14:paraId="372796E0"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SP500</w:t>
            </w:r>
          </w:p>
        </w:tc>
        <w:tc>
          <w:tcPr>
            <w:tcW w:w="1560" w:type="pct"/>
            <w:vAlign w:val="center"/>
            <w:hideMark/>
          </w:tcPr>
          <w:p w14:paraId="04D3E46C"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-0.0638</w:t>
            </w:r>
          </w:p>
        </w:tc>
      </w:tr>
      <w:tr w:rsidR="009006F1" w:rsidRPr="009006F1" w14:paraId="55A086FC" w14:textId="77777777" w:rsidTr="009006F1">
        <w:trPr>
          <w:tblCellSpacing w:w="15" w:type="dxa"/>
        </w:trPr>
        <w:tc>
          <w:tcPr>
            <w:tcW w:w="1433" w:type="pct"/>
            <w:vAlign w:val="center"/>
            <w:hideMark/>
          </w:tcPr>
          <w:p w14:paraId="14D2CB0F"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SW</w:t>
            </w:r>
          </w:p>
        </w:tc>
        <w:tc>
          <w:tcPr>
            <w:tcW w:w="1851" w:type="pct"/>
            <w:vAlign w:val="center"/>
            <w:hideMark/>
          </w:tcPr>
          <w:p w14:paraId="75C4B4B2"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Best LLM (G)</w:t>
            </w:r>
          </w:p>
        </w:tc>
        <w:tc>
          <w:tcPr>
            <w:tcW w:w="1560" w:type="pct"/>
            <w:vAlign w:val="center"/>
            <w:hideMark/>
          </w:tcPr>
          <w:p w14:paraId="1654FDFD"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-0.1320</w:t>
            </w:r>
          </w:p>
        </w:tc>
      </w:tr>
      <w:tr w:rsidR="009006F1" w:rsidRPr="009006F1" w14:paraId="195A957A" w14:textId="77777777" w:rsidTr="009006F1">
        <w:trPr>
          <w:tblCellSpacing w:w="15" w:type="dxa"/>
        </w:trPr>
        <w:tc>
          <w:tcPr>
            <w:tcW w:w="1433" w:type="pct"/>
            <w:vAlign w:val="center"/>
            <w:hideMark/>
          </w:tcPr>
          <w:p w14:paraId="0A67549B"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VW</w:t>
            </w:r>
          </w:p>
        </w:tc>
        <w:tc>
          <w:tcPr>
            <w:tcW w:w="1851" w:type="pct"/>
            <w:vAlign w:val="center"/>
            <w:hideMark/>
          </w:tcPr>
          <w:p w14:paraId="392576BB"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SP500</w:t>
            </w:r>
          </w:p>
        </w:tc>
        <w:tc>
          <w:tcPr>
            <w:tcW w:w="1560" w:type="pct"/>
            <w:vAlign w:val="center"/>
            <w:hideMark/>
          </w:tcPr>
          <w:p w14:paraId="6D48B527"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-0.0638</w:t>
            </w:r>
          </w:p>
        </w:tc>
      </w:tr>
      <w:tr w:rsidR="009006F1" w:rsidRPr="009006F1" w14:paraId="35014F46" w14:textId="77777777" w:rsidTr="009006F1">
        <w:trPr>
          <w:tblCellSpacing w:w="15" w:type="dxa"/>
        </w:trPr>
        <w:tc>
          <w:tcPr>
            <w:tcW w:w="1433" w:type="pct"/>
            <w:vAlign w:val="center"/>
            <w:hideMark/>
          </w:tcPr>
          <w:p w14:paraId="432529FC"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VW</w:t>
            </w:r>
          </w:p>
        </w:tc>
        <w:tc>
          <w:tcPr>
            <w:tcW w:w="1851" w:type="pct"/>
            <w:vAlign w:val="center"/>
            <w:hideMark/>
          </w:tcPr>
          <w:p w14:paraId="03C87906"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G</w:t>
            </w:r>
          </w:p>
        </w:tc>
        <w:tc>
          <w:tcPr>
            <w:tcW w:w="1560" w:type="pct"/>
            <w:vAlign w:val="center"/>
            <w:hideMark/>
          </w:tcPr>
          <w:p w14:paraId="3CD791CE"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-0.0237</w:t>
            </w:r>
          </w:p>
        </w:tc>
      </w:tr>
      <w:tr w:rsidR="009006F1" w:rsidRPr="009006F1" w14:paraId="7CA560AE" w14:textId="77777777" w:rsidTr="009006F1">
        <w:trPr>
          <w:tblCellSpacing w:w="15" w:type="dxa"/>
        </w:trPr>
        <w:tc>
          <w:tcPr>
            <w:tcW w:w="1433" w:type="pct"/>
            <w:vAlign w:val="center"/>
            <w:hideMark/>
          </w:tcPr>
          <w:p w14:paraId="0E4AF631"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VW</w:t>
            </w:r>
          </w:p>
        </w:tc>
        <w:tc>
          <w:tcPr>
            <w:tcW w:w="1851" w:type="pct"/>
            <w:vAlign w:val="center"/>
            <w:hideMark/>
          </w:tcPr>
          <w:p w14:paraId="6CD36D65" w14:textId="77777777" w:rsidR="009006F1" w:rsidRPr="009006F1" w:rsidRDefault="009006F1" w:rsidP="009006F1">
            <w:pPr>
              <w:spacing w:after="0" w:line="240" w:lineRule="auto"/>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CGL</w:t>
            </w:r>
          </w:p>
        </w:tc>
        <w:tc>
          <w:tcPr>
            <w:tcW w:w="1560" w:type="pct"/>
            <w:vAlign w:val="center"/>
            <w:hideMark/>
          </w:tcPr>
          <w:p w14:paraId="0618B35B" w14:textId="77777777" w:rsidR="009006F1" w:rsidRPr="009006F1" w:rsidRDefault="009006F1" w:rsidP="009006F1">
            <w:pPr>
              <w:spacing w:after="0" w:line="240" w:lineRule="auto"/>
              <w:jc w:val="right"/>
              <w:rPr>
                <w:rFonts w:ascii="Times New Roman" w:eastAsia="Times New Roman" w:hAnsi="Times New Roman" w:cs="Times New Roman"/>
                <w:kern w:val="0"/>
                <w:sz w:val="24"/>
                <w:szCs w:val="24"/>
                <w:lang w:eastAsia="it-IT"/>
                <w14:ligatures w14:val="none"/>
              </w:rPr>
            </w:pPr>
            <w:r w:rsidRPr="009006F1">
              <w:rPr>
                <w:rFonts w:ascii="Times New Roman" w:eastAsia="Times New Roman" w:hAnsi="Times New Roman" w:cs="Times New Roman"/>
                <w:kern w:val="0"/>
                <w:sz w:val="24"/>
                <w:szCs w:val="24"/>
                <w:lang w:eastAsia="it-IT"/>
                <w14:ligatures w14:val="none"/>
              </w:rPr>
              <w:t>-0.0516</w:t>
            </w:r>
          </w:p>
        </w:tc>
      </w:tr>
    </w:tbl>
    <w:p w14:paraId="4BD5B82B" w14:textId="77777777" w:rsidR="009006F1" w:rsidRDefault="009006F1">
      <w:pPr>
        <w:rPr>
          <w:rFonts w:ascii="Arial" w:hAnsi="Arial" w:cs="Arial"/>
          <w:b/>
          <w:bCs/>
        </w:rPr>
      </w:pPr>
    </w:p>
    <w:p w14:paraId="1D865EB0" w14:textId="6A9253B6" w:rsidR="009006F1" w:rsidRDefault="009006F1">
      <w:pPr>
        <w:rPr>
          <w:rFonts w:ascii="Arial" w:hAnsi="Arial" w:cs="Arial"/>
        </w:rPr>
      </w:pPr>
      <w:r w:rsidRPr="009006F1">
        <w:rPr>
          <w:rFonts w:ascii="Arial" w:hAnsi="Arial" w:cs="Arial"/>
        </w:rPr>
        <w:t>Il benchmark di mercato presenta performance negative nel periodo osservato. In tale contesto, alcune strategie LLM sovraperformano il mercato su base risk-</w:t>
      </w:r>
      <w:proofErr w:type="spellStart"/>
      <w:r w:rsidRPr="009006F1">
        <w:rPr>
          <w:rFonts w:ascii="Arial" w:hAnsi="Arial" w:cs="Arial"/>
        </w:rPr>
        <w:t>adjusted</w:t>
      </w:r>
      <w:proofErr w:type="spellEnd"/>
      <w:r w:rsidRPr="009006F1">
        <w:rPr>
          <w:rFonts w:ascii="Arial" w:hAnsi="Arial" w:cs="Arial"/>
        </w:rPr>
        <w:t>. Il risultato più rilevante riguarda il modello G in configurazione Value Weighted, che supera l’indice in termini di Sharpe ratio.</w:t>
      </w:r>
    </w:p>
    <w:p w14:paraId="43CE52B7" w14:textId="77777777" w:rsidR="00B5593F" w:rsidRDefault="00B5593F">
      <w:pPr>
        <w:rPr>
          <w:rFonts w:ascii="Arial" w:hAnsi="Arial" w:cs="Arial"/>
          <w:b/>
          <w:bCs/>
        </w:rPr>
      </w:pPr>
    </w:p>
    <w:p w14:paraId="3022B169" w14:textId="77777777" w:rsidR="00B5593F" w:rsidRDefault="00B5593F">
      <w:pPr>
        <w:rPr>
          <w:rFonts w:ascii="Arial" w:hAnsi="Arial" w:cs="Arial"/>
          <w:b/>
          <w:bCs/>
        </w:rPr>
      </w:pPr>
    </w:p>
    <w:p w14:paraId="293533E0" w14:textId="77777777" w:rsidR="00B5593F" w:rsidRDefault="00B5593F">
      <w:pPr>
        <w:rPr>
          <w:rFonts w:ascii="Arial" w:hAnsi="Arial" w:cs="Arial"/>
          <w:b/>
          <w:bCs/>
        </w:rPr>
      </w:pPr>
    </w:p>
    <w:p w14:paraId="0C6B433A" w14:textId="77777777" w:rsidR="00B5593F" w:rsidRDefault="00B5593F">
      <w:pPr>
        <w:rPr>
          <w:rFonts w:ascii="Arial" w:hAnsi="Arial" w:cs="Arial"/>
          <w:b/>
          <w:bCs/>
        </w:rPr>
      </w:pPr>
    </w:p>
    <w:p w14:paraId="44EBBC83" w14:textId="7913ECAB" w:rsidR="009006F1" w:rsidRDefault="009006F1">
      <w:pPr>
        <w:rPr>
          <w:rFonts w:ascii="Arial" w:hAnsi="Arial" w:cs="Arial"/>
          <w:b/>
          <w:bCs/>
        </w:rPr>
      </w:pPr>
      <w:r w:rsidRPr="009006F1">
        <w:rPr>
          <w:rFonts w:ascii="Arial" w:hAnsi="Arial" w:cs="Arial"/>
          <w:b/>
          <w:bCs/>
        </w:rPr>
        <w:lastRenderedPageBreak/>
        <w:t>Regressioni CAPM dei portafogli LLM</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670"/>
        <w:gridCol w:w="2163"/>
        <w:gridCol w:w="1222"/>
        <w:gridCol w:w="3204"/>
      </w:tblGrid>
      <w:tr w:rsidR="00B5593F" w:rsidRPr="00B5593F" w14:paraId="5B7491D3" w14:textId="77777777" w:rsidTr="00B5593F">
        <w:trPr>
          <w:tblHeader/>
          <w:tblCellSpacing w:w="15" w:type="dxa"/>
        </w:trPr>
        <w:tc>
          <w:tcPr>
            <w:tcW w:w="669" w:type="pct"/>
            <w:vAlign w:val="center"/>
            <w:hideMark/>
          </w:tcPr>
          <w:p w14:paraId="2ACC97DC" w14:textId="77777777" w:rsidR="00B5593F" w:rsidRPr="00B5593F" w:rsidRDefault="00B5593F" w:rsidP="00B5593F">
            <w:pPr>
              <w:spacing w:after="0" w:line="240" w:lineRule="auto"/>
              <w:jc w:val="center"/>
              <w:rPr>
                <w:rFonts w:ascii="Times New Roman" w:eastAsia="Times New Roman" w:hAnsi="Times New Roman" w:cs="Times New Roman"/>
                <w:b/>
                <w:bCs/>
                <w:kern w:val="0"/>
                <w:sz w:val="24"/>
                <w:szCs w:val="24"/>
                <w:lang w:eastAsia="it-IT"/>
                <w14:ligatures w14:val="none"/>
              </w:rPr>
            </w:pPr>
            <w:proofErr w:type="spellStart"/>
            <w:r w:rsidRPr="00B5593F">
              <w:rPr>
                <w:rFonts w:ascii="Times New Roman" w:eastAsia="Times New Roman" w:hAnsi="Times New Roman" w:cs="Times New Roman"/>
                <w:b/>
                <w:bCs/>
                <w:kern w:val="0"/>
                <w:sz w:val="24"/>
                <w:szCs w:val="24"/>
                <w:lang w:eastAsia="it-IT"/>
                <w14:ligatures w14:val="none"/>
              </w:rPr>
              <w:t>Type</w:t>
            </w:r>
            <w:proofErr w:type="spellEnd"/>
          </w:p>
        </w:tc>
        <w:tc>
          <w:tcPr>
            <w:tcW w:w="830" w:type="pct"/>
            <w:vAlign w:val="center"/>
            <w:hideMark/>
          </w:tcPr>
          <w:p w14:paraId="05EAAA84" w14:textId="77777777" w:rsidR="00B5593F" w:rsidRPr="00B5593F" w:rsidRDefault="00B5593F" w:rsidP="00B5593F">
            <w:pPr>
              <w:spacing w:after="0" w:line="240" w:lineRule="auto"/>
              <w:jc w:val="center"/>
              <w:rPr>
                <w:rFonts w:ascii="Times New Roman" w:eastAsia="Times New Roman" w:hAnsi="Times New Roman" w:cs="Times New Roman"/>
                <w:b/>
                <w:bCs/>
                <w:kern w:val="0"/>
                <w:sz w:val="24"/>
                <w:szCs w:val="24"/>
                <w:lang w:eastAsia="it-IT"/>
                <w14:ligatures w14:val="none"/>
              </w:rPr>
            </w:pPr>
            <w:r w:rsidRPr="00B5593F">
              <w:rPr>
                <w:rFonts w:ascii="Times New Roman" w:eastAsia="Times New Roman" w:hAnsi="Times New Roman" w:cs="Times New Roman"/>
                <w:b/>
                <w:bCs/>
                <w:kern w:val="0"/>
                <w:sz w:val="24"/>
                <w:szCs w:val="24"/>
                <w:lang w:eastAsia="it-IT"/>
                <w14:ligatures w14:val="none"/>
              </w:rPr>
              <w:t>Model</w:t>
            </w:r>
          </w:p>
        </w:tc>
        <w:tc>
          <w:tcPr>
            <w:tcW w:w="1080" w:type="pct"/>
            <w:vAlign w:val="center"/>
            <w:hideMark/>
          </w:tcPr>
          <w:p w14:paraId="169C4A65" w14:textId="77777777" w:rsidR="00B5593F" w:rsidRPr="00B5593F" w:rsidRDefault="00B5593F" w:rsidP="00B5593F">
            <w:pPr>
              <w:spacing w:after="0" w:line="240" w:lineRule="auto"/>
              <w:jc w:val="right"/>
              <w:rPr>
                <w:rFonts w:ascii="Times New Roman" w:eastAsia="Times New Roman" w:hAnsi="Times New Roman" w:cs="Times New Roman"/>
                <w:b/>
                <w:bCs/>
                <w:kern w:val="0"/>
                <w:sz w:val="24"/>
                <w:szCs w:val="24"/>
                <w:lang w:eastAsia="it-IT"/>
                <w14:ligatures w14:val="none"/>
              </w:rPr>
            </w:pPr>
            <w:r w:rsidRPr="00B5593F">
              <w:rPr>
                <w:rFonts w:ascii="Times New Roman" w:eastAsia="Times New Roman" w:hAnsi="Times New Roman" w:cs="Times New Roman"/>
                <w:b/>
                <w:bCs/>
                <w:kern w:val="0"/>
                <w:sz w:val="24"/>
                <w:szCs w:val="24"/>
                <w:lang w:eastAsia="it-IT"/>
                <w14:ligatures w14:val="none"/>
              </w:rPr>
              <w:t>Alpha</w:t>
            </w:r>
          </w:p>
        </w:tc>
        <w:tc>
          <w:tcPr>
            <w:tcW w:w="603" w:type="pct"/>
            <w:vAlign w:val="center"/>
            <w:hideMark/>
          </w:tcPr>
          <w:p w14:paraId="04DEC043" w14:textId="77777777" w:rsidR="00B5593F" w:rsidRPr="00B5593F" w:rsidRDefault="00B5593F" w:rsidP="00B5593F">
            <w:pPr>
              <w:spacing w:after="0" w:line="240" w:lineRule="auto"/>
              <w:jc w:val="right"/>
              <w:rPr>
                <w:rFonts w:ascii="Times New Roman" w:eastAsia="Times New Roman" w:hAnsi="Times New Roman" w:cs="Times New Roman"/>
                <w:b/>
                <w:bCs/>
                <w:kern w:val="0"/>
                <w:sz w:val="24"/>
                <w:szCs w:val="24"/>
                <w:lang w:eastAsia="it-IT"/>
                <w14:ligatures w14:val="none"/>
              </w:rPr>
            </w:pPr>
            <w:r w:rsidRPr="00B5593F">
              <w:rPr>
                <w:rFonts w:ascii="Times New Roman" w:eastAsia="Times New Roman" w:hAnsi="Times New Roman" w:cs="Times New Roman"/>
                <w:b/>
                <w:bCs/>
                <w:kern w:val="0"/>
                <w:sz w:val="24"/>
                <w:szCs w:val="24"/>
                <w:lang w:eastAsia="it-IT"/>
                <w14:ligatures w14:val="none"/>
              </w:rPr>
              <w:t>Beta</w:t>
            </w:r>
          </w:p>
        </w:tc>
        <w:tc>
          <w:tcPr>
            <w:tcW w:w="1599" w:type="pct"/>
            <w:vAlign w:val="center"/>
            <w:hideMark/>
          </w:tcPr>
          <w:p w14:paraId="70828D53" w14:textId="77777777" w:rsidR="00B5593F" w:rsidRPr="00B5593F" w:rsidRDefault="00B5593F" w:rsidP="00B5593F">
            <w:pPr>
              <w:spacing w:after="0" w:line="240" w:lineRule="auto"/>
              <w:jc w:val="right"/>
              <w:rPr>
                <w:rFonts w:ascii="Times New Roman" w:eastAsia="Times New Roman" w:hAnsi="Times New Roman" w:cs="Times New Roman"/>
                <w:b/>
                <w:bCs/>
                <w:kern w:val="0"/>
                <w:sz w:val="24"/>
                <w:szCs w:val="24"/>
                <w:lang w:eastAsia="it-IT"/>
                <w14:ligatures w14:val="none"/>
              </w:rPr>
            </w:pPr>
            <w:r w:rsidRPr="00B5593F">
              <w:rPr>
                <w:rFonts w:ascii="Times New Roman" w:eastAsia="Times New Roman" w:hAnsi="Times New Roman" w:cs="Times New Roman"/>
                <w:b/>
                <w:bCs/>
                <w:kern w:val="0"/>
                <w:sz w:val="24"/>
                <w:szCs w:val="24"/>
                <w:lang w:eastAsia="it-IT"/>
                <w14:ligatures w14:val="none"/>
              </w:rPr>
              <w:t>Beta p-value</w:t>
            </w:r>
          </w:p>
        </w:tc>
      </w:tr>
      <w:tr w:rsidR="00B5593F" w:rsidRPr="00B5593F" w14:paraId="350B2027" w14:textId="77777777" w:rsidTr="00B5593F">
        <w:trPr>
          <w:tblCellSpacing w:w="15" w:type="dxa"/>
        </w:trPr>
        <w:tc>
          <w:tcPr>
            <w:tcW w:w="669" w:type="pct"/>
            <w:vAlign w:val="center"/>
            <w:hideMark/>
          </w:tcPr>
          <w:p w14:paraId="220B426A"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EW</w:t>
            </w:r>
          </w:p>
        </w:tc>
        <w:tc>
          <w:tcPr>
            <w:tcW w:w="830" w:type="pct"/>
            <w:vAlign w:val="center"/>
            <w:hideMark/>
          </w:tcPr>
          <w:p w14:paraId="24FFB287"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CGL</w:t>
            </w:r>
          </w:p>
        </w:tc>
        <w:tc>
          <w:tcPr>
            <w:tcW w:w="1080" w:type="pct"/>
            <w:vAlign w:val="center"/>
            <w:hideMark/>
          </w:tcPr>
          <w:p w14:paraId="0070AC9B"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-0.00208</w:t>
            </w:r>
          </w:p>
        </w:tc>
        <w:tc>
          <w:tcPr>
            <w:tcW w:w="603" w:type="pct"/>
            <w:vAlign w:val="center"/>
            <w:hideMark/>
          </w:tcPr>
          <w:p w14:paraId="7D9A5553"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1.01</w:t>
            </w:r>
          </w:p>
        </w:tc>
        <w:tc>
          <w:tcPr>
            <w:tcW w:w="1599" w:type="pct"/>
            <w:vAlign w:val="center"/>
            <w:hideMark/>
          </w:tcPr>
          <w:p w14:paraId="24C85900"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0.0269</w:t>
            </w:r>
          </w:p>
        </w:tc>
      </w:tr>
      <w:tr w:rsidR="00B5593F" w:rsidRPr="00B5593F" w14:paraId="5DC92CF7" w14:textId="77777777" w:rsidTr="00B5593F">
        <w:trPr>
          <w:tblCellSpacing w:w="15" w:type="dxa"/>
        </w:trPr>
        <w:tc>
          <w:tcPr>
            <w:tcW w:w="669" w:type="pct"/>
            <w:vAlign w:val="center"/>
            <w:hideMark/>
          </w:tcPr>
          <w:p w14:paraId="06DD5921"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EW</w:t>
            </w:r>
          </w:p>
        </w:tc>
        <w:tc>
          <w:tcPr>
            <w:tcW w:w="830" w:type="pct"/>
            <w:vAlign w:val="center"/>
            <w:hideMark/>
          </w:tcPr>
          <w:p w14:paraId="74B0FC1C"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CGP</w:t>
            </w:r>
          </w:p>
        </w:tc>
        <w:tc>
          <w:tcPr>
            <w:tcW w:w="1080" w:type="pct"/>
            <w:vAlign w:val="center"/>
            <w:hideMark/>
          </w:tcPr>
          <w:p w14:paraId="44C4B60F"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-0.00200</w:t>
            </w:r>
          </w:p>
        </w:tc>
        <w:tc>
          <w:tcPr>
            <w:tcW w:w="603" w:type="pct"/>
            <w:vAlign w:val="center"/>
            <w:hideMark/>
          </w:tcPr>
          <w:p w14:paraId="498928E7"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1.22</w:t>
            </w:r>
          </w:p>
        </w:tc>
        <w:tc>
          <w:tcPr>
            <w:tcW w:w="1599" w:type="pct"/>
            <w:vAlign w:val="center"/>
            <w:hideMark/>
          </w:tcPr>
          <w:p w14:paraId="2DF2FC63"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0.0017</w:t>
            </w:r>
          </w:p>
        </w:tc>
      </w:tr>
      <w:tr w:rsidR="00B5593F" w:rsidRPr="00B5593F" w14:paraId="5D0AA0C7" w14:textId="77777777" w:rsidTr="00B5593F">
        <w:trPr>
          <w:tblCellSpacing w:w="15" w:type="dxa"/>
        </w:trPr>
        <w:tc>
          <w:tcPr>
            <w:tcW w:w="669" w:type="pct"/>
            <w:vAlign w:val="center"/>
            <w:hideMark/>
          </w:tcPr>
          <w:p w14:paraId="09CEF91E"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EW</w:t>
            </w:r>
          </w:p>
        </w:tc>
        <w:tc>
          <w:tcPr>
            <w:tcW w:w="830" w:type="pct"/>
            <w:vAlign w:val="center"/>
            <w:hideMark/>
          </w:tcPr>
          <w:p w14:paraId="6437B143"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G</w:t>
            </w:r>
          </w:p>
        </w:tc>
        <w:tc>
          <w:tcPr>
            <w:tcW w:w="1080" w:type="pct"/>
            <w:vAlign w:val="center"/>
            <w:hideMark/>
          </w:tcPr>
          <w:p w14:paraId="47984E7A"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0.00439</w:t>
            </w:r>
          </w:p>
        </w:tc>
        <w:tc>
          <w:tcPr>
            <w:tcW w:w="603" w:type="pct"/>
            <w:vAlign w:val="center"/>
            <w:hideMark/>
          </w:tcPr>
          <w:p w14:paraId="390770D1"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1.02</w:t>
            </w:r>
          </w:p>
        </w:tc>
        <w:tc>
          <w:tcPr>
            <w:tcW w:w="1599" w:type="pct"/>
            <w:vAlign w:val="center"/>
            <w:hideMark/>
          </w:tcPr>
          <w:p w14:paraId="6D7FDB3D"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0.0731</w:t>
            </w:r>
          </w:p>
        </w:tc>
      </w:tr>
      <w:tr w:rsidR="00B5593F" w:rsidRPr="00B5593F" w14:paraId="51D59913" w14:textId="77777777" w:rsidTr="00B5593F">
        <w:trPr>
          <w:tblCellSpacing w:w="15" w:type="dxa"/>
        </w:trPr>
        <w:tc>
          <w:tcPr>
            <w:tcW w:w="669" w:type="pct"/>
            <w:vAlign w:val="center"/>
            <w:hideMark/>
          </w:tcPr>
          <w:p w14:paraId="7BC6E89A"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SW</w:t>
            </w:r>
          </w:p>
        </w:tc>
        <w:tc>
          <w:tcPr>
            <w:tcW w:w="830" w:type="pct"/>
            <w:vAlign w:val="center"/>
            <w:hideMark/>
          </w:tcPr>
          <w:p w14:paraId="18D654E2"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CGL</w:t>
            </w:r>
          </w:p>
        </w:tc>
        <w:tc>
          <w:tcPr>
            <w:tcW w:w="1080" w:type="pct"/>
            <w:vAlign w:val="center"/>
            <w:hideMark/>
          </w:tcPr>
          <w:p w14:paraId="71831C2B"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-0.00329</w:t>
            </w:r>
          </w:p>
        </w:tc>
        <w:tc>
          <w:tcPr>
            <w:tcW w:w="603" w:type="pct"/>
            <w:vAlign w:val="center"/>
            <w:hideMark/>
          </w:tcPr>
          <w:p w14:paraId="4DDC950E"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1.10</w:t>
            </w:r>
          </w:p>
        </w:tc>
        <w:tc>
          <w:tcPr>
            <w:tcW w:w="1599" w:type="pct"/>
            <w:vAlign w:val="center"/>
            <w:hideMark/>
          </w:tcPr>
          <w:p w14:paraId="224F289B"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0.0225</w:t>
            </w:r>
          </w:p>
        </w:tc>
      </w:tr>
      <w:tr w:rsidR="00B5593F" w:rsidRPr="00B5593F" w14:paraId="69F961B2" w14:textId="77777777" w:rsidTr="00B5593F">
        <w:trPr>
          <w:tblCellSpacing w:w="15" w:type="dxa"/>
        </w:trPr>
        <w:tc>
          <w:tcPr>
            <w:tcW w:w="669" w:type="pct"/>
            <w:vAlign w:val="center"/>
            <w:hideMark/>
          </w:tcPr>
          <w:p w14:paraId="0A5E54C8"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SW</w:t>
            </w:r>
          </w:p>
        </w:tc>
        <w:tc>
          <w:tcPr>
            <w:tcW w:w="830" w:type="pct"/>
            <w:vAlign w:val="center"/>
            <w:hideMark/>
          </w:tcPr>
          <w:p w14:paraId="5FE73F31"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CGP</w:t>
            </w:r>
          </w:p>
        </w:tc>
        <w:tc>
          <w:tcPr>
            <w:tcW w:w="1080" w:type="pct"/>
            <w:vAlign w:val="center"/>
            <w:hideMark/>
          </w:tcPr>
          <w:p w14:paraId="45702007"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-0.00254</w:t>
            </w:r>
          </w:p>
        </w:tc>
        <w:tc>
          <w:tcPr>
            <w:tcW w:w="603" w:type="pct"/>
            <w:vAlign w:val="center"/>
            <w:hideMark/>
          </w:tcPr>
          <w:p w14:paraId="79899597"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1.09</w:t>
            </w:r>
          </w:p>
        </w:tc>
        <w:tc>
          <w:tcPr>
            <w:tcW w:w="1599" w:type="pct"/>
            <w:vAlign w:val="center"/>
            <w:hideMark/>
          </w:tcPr>
          <w:p w14:paraId="2E3CB506"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0.0079</w:t>
            </w:r>
          </w:p>
        </w:tc>
      </w:tr>
      <w:tr w:rsidR="00B5593F" w:rsidRPr="00B5593F" w14:paraId="49BBF12C" w14:textId="77777777" w:rsidTr="00B5593F">
        <w:trPr>
          <w:tblCellSpacing w:w="15" w:type="dxa"/>
        </w:trPr>
        <w:tc>
          <w:tcPr>
            <w:tcW w:w="669" w:type="pct"/>
            <w:vAlign w:val="center"/>
            <w:hideMark/>
          </w:tcPr>
          <w:p w14:paraId="1F25E48C"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SW</w:t>
            </w:r>
          </w:p>
        </w:tc>
        <w:tc>
          <w:tcPr>
            <w:tcW w:w="830" w:type="pct"/>
            <w:vAlign w:val="center"/>
            <w:hideMark/>
          </w:tcPr>
          <w:p w14:paraId="0BBDA482"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G</w:t>
            </w:r>
          </w:p>
        </w:tc>
        <w:tc>
          <w:tcPr>
            <w:tcW w:w="1080" w:type="pct"/>
            <w:vAlign w:val="center"/>
            <w:hideMark/>
          </w:tcPr>
          <w:p w14:paraId="055CB3F2"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0.00189</w:t>
            </w:r>
          </w:p>
        </w:tc>
        <w:tc>
          <w:tcPr>
            <w:tcW w:w="603" w:type="pct"/>
            <w:vAlign w:val="center"/>
            <w:hideMark/>
          </w:tcPr>
          <w:p w14:paraId="506FFE8A"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0.93</w:t>
            </w:r>
          </w:p>
        </w:tc>
        <w:tc>
          <w:tcPr>
            <w:tcW w:w="1599" w:type="pct"/>
            <w:vAlign w:val="center"/>
            <w:hideMark/>
          </w:tcPr>
          <w:p w14:paraId="7384D3BD"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0.0728</w:t>
            </w:r>
          </w:p>
        </w:tc>
      </w:tr>
      <w:tr w:rsidR="00B5593F" w:rsidRPr="00B5593F" w14:paraId="09022FD2" w14:textId="77777777" w:rsidTr="00B5593F">
        <w:trPr>
          <w:tblCellSpacing w:w="15" w:type="dxa"/>
        </w:trPr>
        <w:tc>
          <w:tcPr>
            <w:tcW w:w="669" w:type="pct"/>
            <w:vAlign w:val="center"/>
            <w:hideMark/>
          </w:tcPr>
          <w:p w14:paraId="4A1FF409"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VW</w:t>
            </w:r>
          </w:p>
        </w:tc>
        <w:tc>
          <w:tcPr>
            <w:tcW w:w="830" w:type="pct"/>
            <w:vAlign w:val="center"/>
            <w:hideMark/>
          </w:tcPr>
          <w:p w14:paraId="46E1C8F2"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CGL</w:t>
            </w:r>
          </w:p>
        </w:tc>
        <w:tc>
          <w:tcPr>
            <w:tcW w:w="1080" w:type="pct"/>
            <w:vAlign w:val="center"/>
            <w:hideMark/>
          </w:tcPr>
          <w:p w14:paraId="5EE6D749"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-0.00301</w:t>
            </w:r>
          </w:p>
        </w:tc>
        <w:tc>
          <w:tcPr>
            <w:tcW w:w="603" w:type="pct"/>
            <w:vAlign w:val="center"/>
            <w:hideMark/>
          </w:tcPr>
          <w:p w14:paraId="58DDF086"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1.37</w:t>
            </w:r>
          </w:p>
        </w:tc>
        <w:tc>
          <w:tcPr>
            <w:tcW w:w="1599" w:type="pct"/>
            <w:vAlign w:val="center"/>
            <w:hideMark/>
          </w:tcPr>
          <w:p w14:paraId="556118D3"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0.0041</w:t>
            </w:r>
          </w:p>
        </w:tc>
      </w:tr>
      <w:tr w:rsidR="00B5593F" w:rsidRPr="00B5593F" w14:paraId="1A3122E7" w14:textId="77777777" w:rsidTr="00B5593F">
        <w:trPr>
          <w:tblCellSpacing w:w="15" w:type="dxa"/>
        </w:trPr>
        <w:tc>
          <w:tcPr>
            <w:tcW w:w="669" w:type="pct"/>
            <w:vAlign w:val="center"/>
            <w:hideMark/>
          </w:tcPr>
          <w:p w14:paraId="33F1449C"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VW</w:t>
            </w:r>
          </w:p>
        </w:tc>
        <w:tc>
          <w:tcPr>
            <w:tcW w:w="830" w:type="pct"/>
            <w:vAlign w:val="center"/>
            <w:hideMark/>
          </w:tcPr>
          <w:p w14:paraId="49E1ECCA"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CGP</w:t>
            </w:r>
          </w:p>
        </w:tc>
        <w:tc>
          <w:tcPr>
            <w:tcW w:w="1080" w:type="pct"/>
            <w:vAlign w:val="center"/>
            <w:hideMark/>
          </w:tcPr>
          <w:p w14:paraId="7B45CC3C"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-0.00669</w:t>
            </w:r>
          </w:p>
        </w:tc>
        <w:tc>
          <w:tcPr>
            <w:tcW w:w="603" w:type="pct"/>
            <w:vAlign w:val="center"/>
            <w:hideMark/>
          </w:tcPr>
          <w:p w14:paraId="3FB9053F"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1.23</w:t>
            </w:r>
          </w:p>
        </w:tc>
        <w:tc>
          <w:tcPr>
            <w:tcW w:w="1599" w:type="pct"/>
            <w:vAlign w:val="center"/>
            <w:hideMark/>
          </w:tcPr>
          <w:p w14:paraId="380B07A5"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0.0035</w:t>
            </w:r>
          </w:p>
        </w:tc>
      </w:tr>
      <w:tr w:rsidR="00B5593F" w:rsidRPr="00B5593F" w14:paraId="72FED245" w14:textId="77777777" w:rsidTr="00B5593F">
        <w:trPr>
          <w:tblCellSpacing w:w="15" w:type="dxa"/>
        </w:trPr>
        <w:tc>
          <w:tcPr>
            <w:tcW w:w="669" w:type="pct"/>
            <w:vAlign w:val="center"/>
            <w:hideMark/>
          </w:tcPr>
          <w:p w14:paraId="6A14C937"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VW</w:t>
            </w:r>
          </w:p>
        </w:tc>
        <w:tc>
          <w:tcPr>
            <w:tcW w:w="830" w:type="pct"/>
            <w:vAlign w:val="center"/>
            <w:hideMark/>
          </w:tcPr>
          <w:p w14:paraId="3A781FE4" w14:textId="77777777" w:rsidR="00B5593F" w:rsidRPr="00B5593F" w:rsidRDefault="00B5593F" w:rsidP="00B5593F">
            <w:pPr>
              <w:spacing w:after="0" w:line="240" w:lineRule="auto"/>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G</w:t>
            </w:r>
          </w:p>
        </w:tc>
        <w:tc>
          <w:tcPr>
            <w:tcW w:w="1080" w:type="pct"/>
            <w:vAlign w:val="center"/>
            <w:hideMark/>
          </w:tcPr>
          <w:p w14:paraId="2D6C50A9"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0.00478</w:t>
            </w:r>
          </w:p>
        </w:tc>
        <w:tc>
          <w:tcPr>
            <w:tcW w:w="603" w:type="pct"/>
            <w:vAlign w:val="center"/>
            <w:hideMark/>
          </w:tcPr>
          <w:p w14:paraId="2F5F2D46"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1.36</w:t>
            </w:r>
          </w:p>
        </w:tc>
        <w:tc>
          <w:tcPr>
            <w:tcW w:w="1599" w:type="pct"/>
            <w:vAlign w:val="center"/>
            <w:hideMark/>
          </w:tcPr>
          <w:p w14:paraId="7158B403" w14:textId="77777777" w:rsidR="00B5593F" w:rsidRPr="00B5593F" w:rsidRDefault="00B5593F" w:rsidP="00B5593F">
            <w:pPr>
              <w:spacing w:after="0" w:line="240" w:lineRule="auto"/>
              <w:jc w:val="right"/>
              <w:rPr>
                <w:rFonts w:ascii="Times New Roman" w:eastAsia="Times New Roman" w:hAnsi="Times New Roman" w:cs="Times New Roman"/>
                <w:kern w:val="0"/>
                <w:sz w:val="24"/>
                <w:szCs w:val="24"/>
                <w:lang w:eastAsia="it-IT"/>
                <w14:ligatures w14:val="none"/>
              </w:rPr>
            </w:pPr>
            <w:r w:rsidRPr="00B5593F">
              <w:rPr>
                <w:rFonts w:ascii="Times New Roman" w:eastAsia="Times New Roman" w:hAnsi="Times New Roman" w:cs="Times New Roman"/>
                <w:kern w:val="0"/>
                <w:sz w:val="24"/>
                <w:szCs w:val="24"/>
                <w:lang w:eastAsia="it-IT"/>
                <w14:ligatures w14:val="none"/>
              </w:rPr>
              <w:t>0.0547</w:t>
            </w:r>
          </w:p>
        </w:tc>
      </w:tr>
    </w:tbl>
    <w:p w14:paraId="1E4D75EF" w14:textId="0456F00D" w:rsidR="00B5593F" w:rsidRDefault="001E5E22">
      <w:pPr>
        <w:rPr>
          <w:rFonts w:ascii="Arial" w:hAnsi="Arial" w:cs="Arial"/>
          <w:b/>
          <w:bCs/>
        </w:rPr>
      </w:pPr>
      <w:r>
        <w:rPr>
          <w:rFonts w:ascii="Arial" w:hAnsi="Arial" w:cs="Arial"/>
          <w:b/>
          <w:bCs/>
        </w:rPr>
        <w:t xml:space="preserve">METTERE PVALUE APLHA </w:t>
      </w:r>
    </w:p>
    <w:p w14:paraId="540F4C19" w14:textId="2444A1DB" w:rsidR="00B5593F" w:rsidRDefault="00B5593F" w:rsidP="00B5593F">
      <w:pPr>
        <w:rPr>
          <w:rFonts w:ascii="Arial" w:hAnsi="Arial" w:cs="Arial"/>
        </w:rPr>
      </w:pPr>
      <w:r w:rsidRPr="00B5593F">
        <w:rPr>
          <w:rFonts w:ascii="Arial" w:hAnsi="Arial" w:cs="Arial"/>
        </w:rPr>
        <w:t>I risultati della regressione CAPM mostrano che il fattore di mercato rappresenta la principale determinante dei rendimenti osservati. I coefficienti beta risultano positivi in tutte le specificazioni e frequentemente significativi ai livelli convenzionali, indicando una rilevante esposizione sistematica al mercato azionario. Gli alpha stimati, pur assumendo segno positivo per il modello G e negativo per gli altri modelli, non risultano statisticamente differenti da zero. Ne consegue che l’evidenza di extra-performance indipendente dal rischio di mercato appare limitata.</w:t>
      </w:r>
      <w:r w:rsidR="00D25BD4">
        <w:rPr>
          <w:rFonts w:ascii="Arial" w:hAnsi="Arial" w:cs="Arial"/>
        </w:rPr>
        <w:t xml:space="preserve"> </w:t>
      </w:r>
      <w:r w:rsidR="00D25BD4" w:rsidRPr="00D25BD4">
        <w:rPr>
          <w:rFonts w:ascii="Arial" w:hAnsi="Arial" w:cs="Arial"/>
        </w:rPr>
        <w:t xml:space="preserve">L’assenza di alpha statisticamente significativo suggerisce che la sovra/sottoperformance dei portafogli sia spiegata prevalentemente da loading sul market </w:t>
      </w:r>
      <w:proofErr w:type="spellStart"/>
      <w:r w:rsidR="00D25BD4" w:rsidRPr="00D25BD4">
        <w:rPr>
          <w:rFonts w:ascii="Arial" w:hAnsi="Arial" w:cs="Arial"/>
        </w:rPr>
        <w:t>factor</w:t>
      </w:r>
      <w:proofErr w:type="spellEnd"/>
      <w:r w:rsidR="00D25BD4">
        <w:rPr>
          <w:rFonts w:ascii="Arial" w:hAnsi="Arial" w:cs="Arial"/>
        </w:rPr>
        <w:t xml:space="preserve"> (movimenti di mercato)</w:t>
      </w:r>
      <w:r w:rsidR="00D25BD4" w:rsidRPr="00D25BD4">
        <w:rPr>
          <w:rFonts w:ascii="Arial" w:hAnsi="Arial" w:cs="Arial"/>
        </w:rPr>
        <w:t>, piuttosto che da autentica capacità di stock selection.</w:t>
      </w:r>
    </w:p>
    <w:p w14:paraId="01EC4FBC" w14:textId="61CC9991" w:rsidR="00D25BD4" w:rsidRDefault="00D25BD4" w:rsidP="00B5593F">
      <w:pPr>
        <w:rPr>
          <w:rFonts w:ascii="Arial" w:hAnsi="Arial" w:cs="Arial"/>
        </w:rPr>
      </w:pPr>
      <w:r w:rsidRPr="00D25BD4">
        <w:rPr>
          <w:rFonts w:ascii="Arial" w:hAnsi="Arial" w:cs="Arial"/>
        </w:rPr>
        <w:t>Pur in assenza di significatività statistica, il modello G è l’unico a mostrare alpha costantemente positivo in tutte le configurazioni di portafoglio, segnalando una potenziale superiorità economica rispetto agli altri modelli analizzati.</w:t>
      </w:r>
    </w:p>
    <w:p w14:paraId="506EA82B" w14:textId="77777777" w:rsidR="00025C63" w:rsidRDefault="00025C63" w:rsidP="00B5593F">
      <w:pPr>
        <w:rPr>
          <w:rFonts w:ascii="Arial" w:hAnsi="Arial" w:cs="Arial"/>
        </w:rPr>
      </w:pPr>
    </w:p>
    <w:p w14:paraId="014BEF1A" w14:textId="63363609" w:rsidR="00025C63" w:rsidRPr="00025C63" w:rsidRDefault="00025C63" w:rsidP="00B5593F">
      <w:pPr>
        <w:rPr>
          <w:rFonts w:ascii="Arial" w:hAnsi="Arial" w:cs="Arial"/>
          <w:b/>
          <w:bCs/>
        </w:rPr>
      </w:pPr>
      <w:r w:rsidRPr="00025C63">
        <w:rPr>
          <w:rFonts w:ascii="Arial" w:hAnsi="Arial" w:cs="Arial"/>
          <w:b/>
          <w:bCs/>
        </w:rPr>
        <w:t>t-</w:t>
      </w:r>
      <w:proofErr w:type="spellStart"/>
      <w:r w:rsidRPr="00025C63">
        <w:rPr>
          <w:rFonts w:ascii="Arial" w:hAnsi="Arial" w:cs="Arial"/>
          <w:b/>
          <w:bCs/>
        </w:rPr>
        <w:t>stat</w:t>
      </w:r>
      <w:proofErr w:type="spellEnd"/>
      <w:r w:rsidRPr="00025C63">
        <w:rPr>
          <w:rFonts w:ascii="Arial" w:hAnsi="Arial" w:cs="Arial"/>
          <w:b/>
          <w:bCs/>
        </w:rPr>
        <w:t xml:space="preserve"> </w:t>
      </w:r>
      <w:proofErr w:type="spellStart"/>
      <w:r w:rsidRPr="00025C63">
        <w:rPr>
          <w:rFonts w:ascii="Arial" w:hAnsi="Arial" w:cs="Arial"/>
          <w:b/>
          <w:bCs/>
        </w:rPr>
        <w:t>sharpe</w:t>
      </w:r>
      <w:proofErr w:type="spellEnd"/>
      <w:r w:rsidRPr="00025C63">
        <w:rPr>
          <w:rFonts w:ascii="Arial" w:hAnsi="Arial" w:cs="Arial"/>
          <w:b/>
          <w:bCs/>
        </w:rPr>
        <w:t xml:space="preserve"> ratio </w:t>
      </w:r>
    </w:p>
    <w:p w14:paraId="742E835A" w14:textId="23B8AEFD" w:rsidR="008E6B5F" w:rsidRDefault="00025C63" w:rsidP="00B5593F">
      <w:pPr>
        <w:rPr>
          <w:rFonts w:ascii="Arial" w:hAnsi="Arial" w:cs="Arial"/>
        </w:rPr>
      </w:pPr>
      <w:r>
        <w:rPr>
          <w:noProof/>
        </w:rPr>
        <w:lastRenderedPageBreak/>
        <w:drawing>
          <wp:inline distT="0" distB="0" distL="0" distR="0" wp14:anchorId="46551E29" wp14:editId="4A72DA9E">
            <wp:extent cx="4286250" cy="3305175"/>
            <wp:effectExtent l="0" t="0" r="0" b="9525"/>
            <wp:docPr id="14127053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05385" name=""/>
                    <pic:cNvPicPr/>
                  </pic:nvPicPr>
                  <pic:blipFill>
                    <a:blip r:embed="rId4"/>
                    <a:stretch>
                      <a:fillRect/>
                    </a:stretch>
                  </pic:blipFill>
                  <pic:spPr>
                    <a:xfrm>
                      <a:off x="0" y="0"/>
                      <a:ext cx="4286250" cy="3305175"/>
                    </a:xfrm>
                    <a:prstGeom prst="rect">
                      <a:avLst/>
                    </a:prstGeom>
                  </pic:spPr>
                </pic:pic>
              </a:graphicData>
            </a:graphic>
          </wp:inline>
        </w:drawing>
      </w:r>
      <w:r w:rsidR="008E6B5F">
        <w:rPr>
          <w:noProof/>
        </w:rPr>
        <mc:AlternateContent>
          <mc:Choice Requires="wps">
            <w:drawing>
              <wp:inline distT="0" distB="0" distL="0" distR="0" wp14:anchorId="33B813D9" wp14:editId="128C1971">
                <wp:extent cx="304800" cy="304800"/>
                <wp:effectExtent l="0" t="0" r="0" b="0"/>
                <wp:docPr id="1964185396" name="Rettangolo 2" descr="Immagine caric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0941F" id="Rettangolo 2" o:spid="_x0000_s1026" alt="Immagine caric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6B5F">
        <w:rPr>
          <w:rFonts w:ascii="Arial" w:hAnsi="Arial" w:cs="Arial"/>
          <w:noProof/>
        </w:rPr>
        <w:drawing>
          <wp:inline distT="0" distB="0" distL="0" distR="0" wp14:anchorId="07A2733C" wp14:editId="453B3799">
            <wp:extent cx="6115050" cy="3933825"/>
            <wp:effectExtent l="0" t="0" r="0" b="9525"/>
            <wp:docPr id="179239888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3933825"/>
                    </a:xfrm>
                    <a:prstGeom prst="rect">
                      <a:avLst/>
                    </a:prstGeom>
                    <a:noFill/>
                    <a:ln>
                      <a:noFill/>
                    </a:ln>
                  </pic:spPr>
                </pic:pic>
              </a:graphicData>
            </a:graphic>
          </wp:inline>
        </w:drawing>
      </w:r>
      <w:r w:rsidR="008E6B5F">
        <w:rPr>
          <w:rFonts w:ascii="Arial" w:hAnsi="Arial" w:cs="Arial"/>
          <w:noProof/>
        </w:rPr>
        <w:lastRenderedPageBreak/>
        <w:drawing>
          <wp:inline distT="0" distB="0" distL="0" distR="0" wp14:anchorId="107F3C83" wp14:editId="78D10CE0">
            <wp:extent cx="4029075" cy="5191125"/>
            <wp:effectExtent l="0" t="0" r="9525" b="9525"/>
            <wp:docPr id="85485776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9075" cy="5191125"/>
                    </a:xfrm>
                    <a:prstGeom prst="rect">
                      <a:avLst/>
                    </a:prstGeom>
                    <a:noFill/>
                    <a:ln>
                      <a:noFill/>
                    </a:ln>
                  </pic:spPr>
                </pic:pic>
              </a:graphicData>
            </a:graphic>
          </wp:inline>
        </w:drawing>
      </w:r>
    </w:p>
    <w:p w14:paraId="4BF343E0" w14:textId="77777777" w:rsidR="008E6B5F" w:rsidRPr="008E6B5F" w:rsidRDefault="008E6B5F" w:rsidP="008E6B5F">
      <w:pPr>
        <w:rPr>
          <w:rFonts w:ascii="Arial" w:hAnsi="Arial" w:cs="Arial"/>
        </w:rPr>
      </w:pPr>
      <w:r w:rsidRPr="008E6B5F">
        <w:rPr>
          <w:rFonts w:ascii="Arial" w:hAnsi="Arial" w:cs="Arial"/>
        </w:rPr>
        <w:t>L’analisi della distribuzione dei rendimenti dei portafogli rappresenta un passaggio importante per comprendere se i risultati ottenuti siano effettivamente robusti oppure influenzati da poche osservazioni eccezionali. I grafici mostrano che, in tutte le configurazioni considerate (Equally Weighted, Signal Weighted e Value Weighted), i rendimenti giornalieri risultano generalmente concentrati attorno allo zero, come tipicamente accade nelle strategie intraday. Questo indica che, nella maggior parte delle giornate, le variazioni dei portafogli sono contenute e non si osservano scostamenti sistematicamente elevati in una sola direzione.</w:t>
      </w:r>
    </w:p>
    <w:p w14:paraId="4E7FB447" w14:textId="77777777" w:rsidR="008E6B5F" w:rsidRPr="008E6B5F" w:rsidRDefault="008E6B5F" w:rsidP="008E6B5F">
      <w:pPr>
        <w:rPr>
          <w:rFonts w:ascii="Arial" w:hAnsi="Arial" w:cs="Arial"/>
        </w:rPr>
      </w:pPr>
      <w:r w:rsidRPr="008E6B5F">
        <w:rPr>
          <w:rFonts w:ascii="Arial" w:hAnsi="Arial" w:cs="Arial"/>
        </w:rPr>
        <w:t>Allo stesso tempo, la distribuzione non appare perfettamente normale. Le curve di densità evidenziano una lieve asimmetria e la presenza di code relativamente più pronunciate rispetto a una distribuzione gaussiana standard, un risultato coerente con quanto ampiamente documentato nella letteratura finanziaria. In altre parole, i rendimenti estremi, pur essendo rari, si verificano con una frequenza superiore a quella che ci si attenderebbe in un contesto puramente normale.</w:t>
      </w:r>
    </w:p>
    <w:p w14:paraId="1433E1B6" w14:textId="77777777" w:rsidR="008E6B5F" w:rsidRPr="008E6B5F" w:rsidRDefault="008E6B5F" w:rsidP="008E6B5F">
      <w:pPr>
        <w:rPr>
          <w:rFonts w:ascii="Arial" w:hAnsi="Arial" w:cs="Arial"/>
        </w:rPr>
      </w:pPr>
      <w:r w:rsidRPr="008E6B5F">
        <w:rPr>
          <w:rFonts w:ascii="Arial" w:hAnsi="Arial" w:cs="Arial"/>
        </w:rPr>
        <w:t>Confrontando le diverse metodologie di ponderazione, emerge che i portafogli Equally Weighted e Signal Weighted presentano una distribuzione più compatta e regolare, mentre il portafoglio Value Weighted mostra una maggiore dispersione dei rendimenti. Questo suggerisce che la ponderazione basata sulla capitalizzazione di mercato esponga maggiormente il portafoglio a shock specifici che colpiscono i titoli a maggiore peso relativo.</w:t>
      </w:r>
    </w:p>
    <w:p w14:paraId="2566B565" w14:textId="77777777" w:rsidR="008E6B5F" w:rsidRPr="008E6B5F" w:rsidRDefault="008E6B5F" w:rsidP="008E6B5F">
      <w:pPr>
        <w:rPr>
          <w:rFonts w:ascii="Arial" w:hAnsi="Arial" w:cs="Arial"/>
        </w:rPr>
      </w:pPr>
      <w:r w:rsidRPr="008E6B5F">
        <w:rPr>
          <w:rFonts w:ascii="Arial" w:hAnsi="Arial" w:cs="Arial"/>
        </w:rPr>
        <w:t xml:space="preserve">L’analisi tramite </w:t>
      </w:r>
      <w:proofErr w:type="spellStart"/>
      <w:r w:rsidRPr="008E6B5F">
        <w:rPr>
          <w:rFonts w:ascii="Arial" w:hAnsi="Arial" w:cs="Arial"/>
        </w:rPr>
        <w:t>boxplot</w:t>
      </w:r>
      <w:proofErr w:type="spellEnd"/>
      <w:r w:rsidRPr="008E6B5F">
        <w:rPr>
          <w:rFonts w:ascii="Arial" w:hAnsi="Arial" w:cs="Arial"/>
        </w:rPr>
        <w:t xml:space="preserve"> conferma inoltre la presenza di alcuni </w:t>
      </w:r>
      <w:proofErr w:type="spellStart"/>
      <w:r w:rsidRPr="008E6B5F">
        <w:rPr>
          <w:rFonts w:ascii="Arial" w:hAnsi="Arial" w:cs="Arial"/>
        </w:rPr>
        <w:t>outliers</w:t>
      </w:r>
      <w:proofErr w:type="spellEnd"/>
      <w:r w:rsidRPr="008E6B5F">
        <w:rPr>
          <w:rFonts w:ascii="Arial" w:hAnsi="Arial" w:cs="Arial"/>
        </w:rPr>
        <w:t xml:space="preserve">, particolarmente evidenti proprio nella versione Value Weighted, dove si osservano giornate con rendimenti </w:t>
      </w:r>
      <w:r w:rsidRPr="008E6B5F">
        <w:rPr>
          <w:rFonts w:ascii="Arial" w:hAnsi="Arial" w:cs="Arial"/>
        </w:rPr>
        <w:lastRenderedPageBreak/>
        <w:t>significativamente superiori o inferiori rispetto alla norma. Tuttavia, tali osservazioni estreme appaiono numericamente limitate rispetto al totale del campione e non sembrano dominare l’intera distribuzione.</w:t>
      </w:r>
    </w:p>
    <w:p w14:paraId="7049B8F5" w14:textId="77777777" w:rsidR="008E6B5F" w:rsidRDefault="008E6B5F" w:rsidP="008E6B5F">
      <w:pPr>
        <w:rPr>
          <w:rFonts w:ascii="Arial" w:hAnsi="Arial" w:cs="Arial"/>
        </w:rPr>
      </w:pPr>
      <w:r w:rsidRPr="008E6B5F">
        <w:rPr>
          <w:rFonts w:ascii="Arial" w:hAnsi="Arial" w:cs="Arial"/>
        </w:rPr>
        <w:t>Nel complesso, i risultati suggeriscono che la performance dei portafogli non sia attribuibile esclusivamente a pochi episodi eccezionali, ma rifletta una dinamica più diffusa e persistente nel tempo. Questo aspetto è particolarmente rilevante in relazione al suggerimento metodologico del docente e al richiamo alla letteratura sul pre-FOMC drift di Lucca e Moench, dove viene posta attenzione proprio al rischio che risultati apparentemente elevati siano in realtà generati da un numero ristretto di giornate anomale. Nel caso in esame, l’evidenza grafica sembra invece indicare una maggiore solidità del fenomeno osservato.</w:t>
      </w:r>
    </w:p>
    <w:p w14:paraId="33A35A52" w14:textId="187BD19A" w:rsidR="00866616" w:rsidRPr="008E6B5F" w:rsidRDefault="00866616" w:rsidP="008E6B5F">
      <w:pPr>
        <w:rPr>
          <w:rFonts w:ascii="Arial" w:hAnsi="Arial" w:cs="Arial"/>
        </w:rPr>
      </w:pPr>
      <w:r>
        <w:rPr>
          <w:noProof/>
        </w:rPr>
        <w:drawing>
          <wp:inline distT="0" distB="0" distL="0" distR="0" wp14:anchorId="6124B338" wp14:editId="57FC66F9">
            <wp:extent cx="4953000" cy="1771650"/>
            <wp:effectExtent l="0" t="0" r="0" b="0"/>
            <wp:docPr id="19117852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5214" name=""/>
                    <pic:cNvPicPr/>
                  </pic:nvPicPr>
                  <pic:blipFill>
                    <a:blip r:embed="rId7"/>
                    <a:stretch>
                      <a:fillRect/>
                    </a:stretch>
                  </pic:blipFill>
                  <pic:spPr>
                    <a:xfrm>
                      <a:off x="0" y="0"/>
                      <a:ext cx="4953000" cy="1771650"/>
                    </a:xfrm>
                    <a:prstGeom prst="rect">
                      <a:avLst/>
                    </a:prstGeom>
                  </pic:spPr>
                </pic:pic>
              </a:graphicData>
            </a:graphic>
          </wp:inline>
        </w:drawing>
      </w:r>
    </w:p>
    <w:p w14:paraId="36B92956" w14:textId="2A9926E3" w:rsidR="008E6B5F" w:rsidRDefault="00866616" w:rsidP="00B5593F">
      <w:pPr>
        <w:rPr>
          <w:rFonts w:ascii="Arial" w:hAnsi="Arial" w:cs="Arial"/>
        </w:rPr>
      </w:pPr>
      <w:r>
        <w:rPr>
          <w:noProof/>
        </w:rPr>
        <w:drawing>
          <wp:inline distT="0" distB="0" distL="0" distR="0" wp14:anchorId="5075947A" wp14:editId="49CDE722">
            <wp:extent cx="4667250" cy="1962150"/>
            <wp:effectExtent l="0" t="0" r="0" b="0"/>
            <wp:docPr id="1820886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86199" name=""/>
                    <pic:cNvPicPr/>
                  </pic:nvPicPr>
                  <pic:blipFill>
                    <a:blip r:embed="rId8"/>
                    <a:stretch>
                      <a:fillRect/>
                    </a:stretch>
                  </pic:blipFill>
                  <pic:spPr>
                    <a:xfrm>
                      <a:off x="0" y="0"/>
                      <a:ext cx="4667250" cy="1962150"/>
                    </a:xfrm>
                    <a:prstGeom prst="rect">
                      <a:avLst/>
                    </a:prstGeom>
                  </pic:spPr>
                </pic:pic>
              </a:graphicData>
            </a:graphic>
          </wp:inline>
        </w:drawing>
      </w:r>
    </w:p>
    <w:p w14:paraId="47DA1E90" w14:textId="22361E1D" w:rsidR="00866616" w:rsidRDefault="00866616" w:rsidP="00B5593F">
      <w:pPr>
        <w:rPr>
          <w:rFonts w:ascii="Arial" w:hAnsi="Arial" w:cs="Arial"/>
        </w:rPr>
      </w:pPr>
      <w:r>
        <w:rPr>
          <w:rFonts w:ascii="Arial" w:hAnsi="Arial" w:cs="Arial"/>
        </w:rPr>
        <w:t xml:space="preserve">Prima tabella Estrazione degli </w:t>
      </w:r>
      <w:proofErr w:type="spellStart"/>
      <w:r>
        <w:rPr>
          <w:rFonts w:ascii="Arial" w:hAnsi="Arial" w:cs="Arial"/>
        </w:rPr>
        <w:t>outliers</w:t>
      </w:r>
      <w:proofErr w:type="spellEnd"/>
      <w:r>
        <w:rPr>
          <w:rFonts w:ascii="Arial" w:hAnsi="Arial" w:cs="Arial"/>
        </w:rPr>
        <w:t xml:space="preserve">. Seconda tabella Performance senza </w:t>
      </w:r>
      <w:proofErr w:type="spellStart"/>
      <w:r>
        <w:rPr>
          <w:rFonts w:ascii="Arial" w:hAnsi="Arial" w:cs="Arial"/>
        </w:rPr>
        <w:t>Outliers</w:t>
      </w:r>
      <w:proofErr w:type="spellEnd"/>
      <w:r>
        <w:rPr>
          <w:rFonts w:ascii="Arial" w:hAnsi="Arial" w:cs="Arial"/>
        </w:rPr>
        <w:t xml:space="preserve">.  </w:t>
      </w:r>
    </w:p>
    <w:p w14:paraId="733D612A" w14:textId="77777777" w:rsidR="00866616" w:rsidRPr="00866616" w:rsidRDefault="00866616" w:rsidP="00866616">
      <w:pPr>
        <w:rPr>
          <w:rFonts w:ascii="Arial" w:hAnsi="Arial" w:cs="Arial"/>
        </w:rPr>
      </w:pPr>
      <w:r w:rsidRPr="00866616">
        <w:rPr>
          <w:rFonts w:ascii="Arial" w:hAnsi="Arial" w:cs="Arial"/>
        </w:rPr>
        <w:t xml:space="preserve">L’analisi degli </w:t>
      </w:r>
      <w:proofErr w:type="spellStart"/>
      <w:r w:rsidRPr="00866616">
        <w:rPr>
          <w:rFonts w:ascii="Arial" w:hAnsi="Arial" w:cs="Arial"/>
        </w:rPr>
        <w:t>outliers</w:t>
      </w:r>
      <w:proofErr w:type="spellEnd"/>
      <w:r w:rsidRPr="00866616">
        <w:rPr>
          <w:rFonts w:ascii="Arial" w:hAnsi="Arial" w:cs="Arial"/>
        </w:rPr>
        <w:t xml:space="preserve"> fornisce indicazioni particolarmente utili sulla solidità dei risultati ottenuti. Applicando il criterio interquartile (IQR), emerge innanzitutto che nei portafogli Equally Weighted e Signal Weighted non si rilevano osservazioni estreme per nessuno dei tre modelli considerati. In termini quantitativi, ciò significa che su 39 osservazioni per CGL, 37 per CGP e 36 per G, il numero di </w:t>
      </w:r>
      <w:proofErr w:type="spellStart"/>
      <w:r w:rsidRPr="00866616">
        <w:rPr>
          <w:rFonts w:ascii="Arial" w:hAnsi="Arial" w:cs="Arial"/>
        </w:rPr>
        <w:t>outliers</w:t>
      </w:r>
      <w:proofErr w:type="spellEnd"/>
      <w:r w:rsidRPr="00866616">
        <w:rPr>
          <w:rFonts w:ascii="Arial" w:hAnsi="Arial" w:cs="Arial"/>
        </w:rPr>
        <w:t xml:space="preserve"> risulta pari a zero in entrambe le metodologie di ponderazione. Questo rappresenta un primo segnale di robustezza, poiché suggerisce che la distribuzione dei rendimenti non è influenzata da episodi eccezionali.</w:t>
      </w:r>
    </w:p>
    <w:p w14:paraId="14C588C3" w14:textId="77777777" w:rsidR="00866616" w:rsidRPr="00866616" w:rsidRDefault="00866616" w:rsidP="00866616">
      <w:pPr>
        <w:rPr>
          <w:rFonts w:ascii="Arial" w:hAnsi="Arial" w:cs="Arial"/>
        </w:rPr>
      </w:pPr>
      <w:r w:rsidRPr="00866616">
        <w:rPr>
          <w:rFonts w:ascii="Arial" w:hAnsi="Arial" w:cs="Arial"/>
        </w:rPr>
        <w:t xml:space="preserve">La presenza di valori anomali si concentra esclusivamente nei portafogli Value Weighted. In questo caso si osserva 1 outlier per il modello CGL su 39 osservazioni (2,56% del campione), 1 outlier per CGP su 37 osservazioni (2,70%) e 2 </w:t>
      </w:r>
      <w:proofErr w:type="spellStart"/>
      <w:r w:rsidRPr="00866616">
        <w:rPr>
          <w:rFonts w:ascii="Arial" w:hAnsi="Arial" w:cs="Arial"/>
        </w:rPr>
        <w:t>outliers</w:t>
      </w:r>
      <w:proofErr w:type="spellEnd"/>
      <w:r w:rsidRPr="00866616">
        <w:rPr>
          <w:rFonts w:ascii="Arial" w:hAnsi="Arial" w:cs="Arial"/>
        </w:rPr>
        <w:t xml:space="preserve"> per G su 36 osservazioni (5,56%). Anche nei casi in cui emergono eventi estremi, la loro incidenza resta quindi molto contenuta. I rendimenti massimi registrati risultano pari al 5,74% per CGL, al 5,74% per CGP e al 5,79% per G, mentre i minimi raggiungono rispettivamente -5,51%, -3,88% e -2,93%. Si tratta di movimenti rilevanti, ma circoscritti a un numero molto limitato di giornate.</w:t>
      </w:r>
    </w:p>
    <w:p w14:paraId="791C6818" w14:textId="77777777" w:rsidR="00866616" w:rsidRPr="00866616" w:rsidRDefault="00866616" w:rsidP="00866616">
      <w:pPr>
        <w:rPr>
          <w:rFonts w:ascii="Arial" w:hAnsi="Arial" w:cs="Arial"/>
        </w:rPr>
      </w:pPr>
      <w:r w:rsidRPr="00866616">
        <w:rPr>
          <w:rFonts w:ascii="Arial" w:hAnsi="Arial" w:cs="Arial"/>
        </w:rPr>
        <w:lastRenderedPageBreak/>
        <w:t xml:space="preserve">L’analisi di robustezza successiva, condotta eliminando tali osservazioni estreme, conferma ulteriormente questa evidenza. Nei portafogli Equally Weighted, dopo la rimozione degli </w:t>
      </w:r>
      <w:proofErr w:type="spellStart"/>
      <w:r w:rsidRPr="00866616">
        <w:rPr>
          <w:rFonts w:ascii="Arial" w:hAnsi="Arial" w:cs="Arial"/>
        </w:rPr>
        <w:t>outliers</w:t>
      </w:r>
      <w:proofErr w:type="spellEnd"/>
      <w:r w:rsidRPr="00866616">
        <w:rPr>
          <w:rFonts w:ascii="Arial" w:hAnsi="Arial" w:cs="Arial"/>
        </w:rPr>
        <w:t xml:space="preserve">, il rendimento medio giornaliero rimane pari a -0,148% per CGL, -0,242% per CGP e -0,118% per G, con Sharpe Ratio rispettivamente di -0,090, -0,144 e -0,065. Analogamente, nei portafogli Signal Weighted il rendimento medio si attesta a -0,259% per CGL, -0,268% per CGP e -0,227% per G. Infine, nei portafogli Value Weighted, nonostante la presenza degli </w:t>
      </w:r>
      <w:proofErr w:type="spellStart"/>
      <w:r w:rsidRPr="00866616">
        <w:rPr>
          <w:rFonts w:ascii="Arial" w:hAnsi="Arial" w:cs="Arial"/>
        </w:rPr>
        <w:t>outliers</w:t>
      </w:r>
      <w:proofErr w:type="spellEnd"/>
      <w:r w:rsidRPr="00866616">
        <w:rPr>
          <w:rFonts w:ascii="Arial" w:hAnsi="Arial" w:cs="Arial"/>
        </w:rPr>
        <w:t>, i rendimenti medi restano pari a -0,285% per CGL, -0,535% per CGP e -0,354% per G dopo la loro esclusione.</w:t>
      </w:r>
    </w:p>
    <w:p w14:paraId="51D256F4" w14:textId="77777777" w:rsidR="00866616" w:rsidRPr="00866616" w:rsidRDefault="00866616" w:rsidP="00866616">
      <w:pPr>
        <w:rPr>
          <w:rFonts w:ascii="Arial" w:hAnsi="Arial" w:cs="Arial"/>
        </w:rPr>
      </w:pPr>
      <w:r w:rsidRPr="00866616">
        <w:rPr>
          <w:rFonts w:ascii="Arial" w:hAnsi="Arial" w:cs="Arial"/>
        </w:rPr>
        <w:t xml:space="preserve">L’aspetto più importante è che la rimozione delle osservazioni estreme non altera la gerarchia relativa tra modelli né modifica in modo sostanziale il quadro generale dei risultati. Il modello G continua a mostrare le performance relativamente migliori nelle strutture EW e SW, mentre nel Value Weighted il risultato meno favorevole resta quello del modello CGP. In altri termini, gli </w:t>
      </w:r>
      <w:proofErr w:type="spellStart"/>
      <w:r w:rsidRPr="00866616">
        <w:rPr>
          <w:rFonts w:ascii="Arial" w:hAnsi="Arial" w:cs="Arial"/>
        </w:rPr>
        <w:t>outliers</w:t>
      </w:r>
      <w:proofErr w:type="spellEnd"/>
      <w:r w:rsidRPr="00866616">
        <w:rPr>
          <w:rFonts w:ascii="Arial" w:hAnsi="Arial" w:cs="Arial"/>
        </w:rPr>
        <w:t xml:space="preserve"> non appaiono determinanti nel generare i risultati osservati.</w:t>
      </w:r>
    </w:p>
    <w:p w14:paraId="0D5EC0C3" w14:textId="77777777" w:rsidR="00866616" w:rsidRPr="00866616" w:rsidRDefault="00866616" w:rsidP="00866616">
      <w:pPr>
        <w:rPr>
          <w:rFonts w:ascii="Arial" w:hAnsi="Arial" w:cs="Arial"/>
        </w:rPr>
      </w:pPr>
      <w:r w:rsidRPr="00866616">
        <w:rPr>
          <w:rFonts w:ascii="Arial" w:hAnsi="Arial" w:cs="Arial"/>
        </w:rPr>
        <w:t>Da un punto di vista metodologico, questo passaggio è particolarmente rilevante perché consente di escludere che la performance dei portafogli sia trainata da poche giornate eccezionalmente positive o negative. L’evidenza empirica suggerisce invece che i rendimenti riflettano una dinamica più diffusa e persistente lungo l’intero campione, coerente con l’idea che l’eventuale capacità predittiva dei modelli si manifesti in modo sistematico e non episodico.</w:t>
      </w:r>
    </w:p>
    <w:p w14:paraId="2AC9CD57" w14:textId="77777777" w:rsidR="00866616" w:rsidRPr="00B5593F" w:rsidRDefault="00866616" w:rsidP="00B5593F">
      <w:pPr>
        <w:rPr>
          <w:rFonts w:ascii="Arial" w:hAnsi="Arial" w:cs="Arial"/>
        </w:rPr>
      </w:pPr>
    </w:p>
    <w:sectPr w:rsidR="00866616" w:rsidRPr="00B559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08"/>
    <w:rsid w:val="00025C63"/>
    <w:rsid w:val="001E5E22"/>
    <w:rsid w:val="00202F64"/>
    <w:rsid w:val="0033728E"/>
    <w:rsid w:val="003642D0"/>
    <w:rsid w:val="004022CF"/>
    <w:rsid w:val="00574382"/>
    <w:rsid w:val="008513D3"/>
    <w:rsid w:val="00866616"/>
    <w:rsid w:val="008E6B5F"/>
    <w:rsid w:val="009006F1"/>
    <w:rsid w:val="00984908"/>
    <w:rsid w:val="00A61E72"/>
    <w:rsid w:val="00B5593F"/>
    <w:rsid w:val="00D25B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5E3C"/>
  <w15:chartTrackingRefBased/>
  <w15:docId w15:val="{69FAEC17-929E-44D2-A684-0F262A44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84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84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849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849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849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849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849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849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849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849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849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849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849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849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849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849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849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849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8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849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8490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8490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849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84908"/>
    <w:rPr>
      <w:i/>
      <w:iCs/>
      <w:color w:val="404040" w:themeColor="text1" w:themeTint="BF"/>
    </w:rPr>
  </w:style>
  <w:style w:type="paragraph" w:styleId="Paragrafoelenco">
    <w:name w:val="List Paragraph"/>
    <w:basedOn w:val="Normale"/>
    <w:uiPriority w:val="34"/>
    <w:qFormat/>
    <w:rsid w:val="00984908"/>
    <w:pPr>
      <w:ind w:left="720"/>
      <w:contextualSpacing/>
    </w:pPr>
  </w:style>
  <w:style w:type="character" w:styleId="Enfasiintensa">
    <w:name w:val="Intense Emphasis"/>
    <w:basedOn w:val="Carpredefinitoparagrafo"/>
    <w:uiPriority w:val="21"/>
    <w:qFormat/>
    <w:rsid w:val="00984908"/>
    <w:rPr>
      <w:i/>
      <w:iCs/>
      <w:color w:val="0F4761" w:themeColor="accent1" w:themeShade="BF"/>
    </w:rPr>
  </w:style>
  <w:style w:type="paragraph" w:styleId="Citazioneintensa">
    <w:name w:val="Intense Quote"/>
    <w:basedOn w:val="Normale"/>
    <w:next w:val="Normale"/>
    <w:link w:val="CitazioneintensaCarattere"/>
    <w:uiPriority w:val="30"/>
    <w:qFormat/>
    <w:rsid w:val="00984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84908"/>
    <w:rPr>
      <w:i/>
      <w:iCs/>
      <w:color w:val="0F4761" w:themeColor="accent1" w:themeShade="BF"/>
    </w:rPr>
  </w:style>
  <w:style w:type="character" w:styleId="Riferimentointenso">
    <w:name w:val="Intense Reference"/>
    <w:basedOn w:val="Carpredefinitoparagrafo"/>
    <w:uiPriority w:val="32"/>
    <w:qFormat/>
    <w:rsid w:val="00984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1231</Words>
  <Characters>7018</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6</cp:revision>
  <dcterms:created xsi:type="dcterms:W3CDTF">2026-04-25T08:17:00Z</dcterms:created>
  <dcterms:modified xsi:type="dcterms:W3CDTF">2026-04-25T16:06:00Z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456c118d-1350-4d5d-8f4e-47dec4cfa965</vt:lpwstr>
  </property>
</Properties>
</file>