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0BBE" w14:textId="418CD285" w:rsidR="001F7C46" w:rsidRPr="001F7C46" w:rsidRDefault="001F7C46" w:rsidP="001F7C46">
      <w:pPr>
        <w:pStyle w:val="Titolo1"/>
        <w:rPr>
          <w:rFonts w:ascii="Times New Roman" w:hAnsi="Times New Roman" w:cs="Times New Roman"/>
          <w:b/>
          <w:bCs/>
          <w:i/>
          <w:iCs/>
          <w:color w:val="auto"/>
          <w:sz w:val="32"/>
          <w:szCs w:val="32"/>
        </w:rPr>
      </w:pPr>
      <w:r w:rsidRPr="001F7C46">
        <w:rPr>
          <w:rFonts w:ascii="Times New Roman" w:hAnsi="Times New Roman" w:cs="Times New Roman"/>
          <w:b/>
          <w:bCs/>
          <w:i/>
          <w:iCs/>
          <w:color w:val="auto"/>
          <w:sz w:val="32"/>
          <w:szCs w:val="32"/>
        </w:rPr>
        <w:t>Risultati principali</w:t>
      </w:r>
    </w:p>
    <w:p w14:paraId="65617287" w14:textId="77777777"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L’analisi empirica condotta è finalizzata a valutare se i modelli di linguaggio di ultima generazione siano in grado di generare previsioni informative sui rendimenti azionari di brevissimo periodo. In particolare, l’attenzione è rivolta a tre dimensioni: l’accuratezza direzionale delle previsioni, la qualità economica dei segnali attraverso strategie di portafoglio e la capacità di stimare la magnitudine dei movimenti di prezzo. Un ulteriore obiettivo centrale è rappresentato dal confronto tra le diverse configurazioni di modelli analizzati.</w:t>
      </w:r>
    </w:p>
    <w:p w14:paraId="6673A4A5" w14:textId="77777777"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I risultati evidenziano in modo piuttosto netto l’assenza di capacità predittiva sistematica. Per quanto riguarda l’accuratezza direzionale, l’hit ratio associato ai segnali long risulta pari al 44,7%, valore significativamente inferiore al benchmark del 50%. Il test statistico conferma tale evidenza (t = -1,99; p-value = 0,047), suggerendo che i modelli, nel caso delle selezioni long, tendono a commettere errori sistematici e a individuare titoli che, in media, performano peggio di quanto previsto.</w:t>
      </w:r>
    </w:p>
    <w:p w14:paraId="7D803497" w14:textId="77777777"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Nel caso dei segnali short, l’hit ratio è pari al 50,7%, valore sostanzialmente in linea con la casualità. Il test statistico non evidenzia differenze significative (p-value = 0,79), indicando che i modelli non possiedono alcuna capacità di previsione direzionale neppure in questo caso. Questo risultato, combinato con quello relativo ai segnali long, suggerisce che le previsioni dei modelli non contengono informazione utile per distinguere tra titoli destinati a salire o scendere nel corso della giornata.</w:t>
      </w:r>
    </w:p>
    <w:p w14:paraId="3A6E7F37" w14:textId="42D4ED8C"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L’analisi del market timing sull’indice S&amp;P 500 conferma ulteriormente queste evidenze. I modelli mostrano livelli di accuratezza eterogenei ma complessivamente modesti: ad esempio, il modello CGL registra 14 previsioni corrette su 39 osservazioni (circa il 3</w:t>
      </w:r>
      <w:r w:rsidR="00264E3A">
        <w:rPr>
          <w:rFonts w:ascii="Times New Roman" w:hAnsi="Times New Roman" w:cs="Times New Roman"/>
          <w:sz w:val="24"/>
          <w:szCs w:val="24"/>
        </w:rPr>
        <w:t>5,9</w:t>
      </w:r>
      <w:r w:rsidRPr="001F7C46">
        <w:rPr>
          <w:rFonts w:ascii="Times New Roman" w:hAnsi="Times New Roman" w:cs="Times New Roman"/>
          <w:sz w:val="24"/>
          <w:szCs w:val="24"/>
        </w:rPr>
        <w:t xml:space="preserve">%), mentre il modello CGP si colloca intorno al </w:t>
      </w:r>
      <w:r w:rsidR="00264E3A">
        <w:rPr>
          <w:rFonts w:ascii="Times New Roman" w:hAnsi="Times New Roman" w:cs="Times New Roman"/>
          <w:sz w:val="24"/>
          <w:szCs w:val="24"/>
        </w:rPr>
        <w:t>43,6</w:t>
      </w:r>
      <w:r w:rsidRPr="001F7C46">
        <w:rPr>
          <w:rFonts w:ascii="Times New Roman" w:hAnsi="Times New Roman" w:cs="Times New Roman"/>
          <w:sz w:val="24"/>
          <w:szCs w:val="24"/>
        </w:rPr>
        <w:t>% (17 su 39) e il modello G raggiunge circa il 51</w:t>
      </w:r>
      <w:r w:rsidR="00264E3A">
        <w:rPr>
          <w:rFonts w:ascii="Times New Roman" w:hAnsi="Times New Roman" w:cs="Times New Roman"/>
          <w:sz w:val="24"/>
          <w:szCs w:val="24"/>
        </w:rPr>
        <w:t>,3</w:t>
      </w:r>
      <w:r w:rsidRPr="001F7C46">
        <w:rPr>
          <w:rFonts w:ascii="Times New Roman" w:hAnsi="Times New Roman" w:cs="Times New Roman"/>
          <w:sz w:val="24"/>
          <w:szCs w:val="24"/>
        </w:rPr>
        <w:t>% (20 su 39). Tuttavia, i test binomiali associati mostrano p-value pari rispettivamente a 0,11, 0,52 e 1,00, indicando che nessuna di queste performance è statisticamente distinguibile da una previsione casuale. Anche in questo caso, quindi, non emerge alcuna evidenza di capacità predittiva sistematica.</w:t>
      </w:r>
    </w:p>
    <w:p w14:paraId="3C132C49" w14:textId="1B73DE24"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Passando all’analisi della performance economica, i risultati ottenuti attraverso la costruzione di portafogli intra-day confermano la debolezza dei segnali generati. Nei portafogli equally weighted, i rendimenti medi giornalieri risultano generalmente negativi o prossimi allo zero. In particolare, il modello CGL presenta un rendimento medio pari a circa -0,1</w:t>
      </w:r>
      <w:r w:rsidR="00264E3A">
        <w:rPr>
          <w:rFonts w:ascii="Times New Roman" w:hAnsi="Times New Roman" w:cs="Times New Roman"/>
          <w:sz w:val="24"/>
          <w:szCs w:val="24"/>
        </w:rPr>
        <w:t>5</w:t>
      </w:r>
      <w:r w:rsidRPr="001F7C46">
        <w:rPr>
          <w:rFonts w:ascii="Times New Roman" w:hAnsi="Times New Roman" w:cs="Times New Roman"/>
          <w:sz w:val="24"/>
          <w:szCs w:val="24"/>
        </w:rPr>
        <w:t xml:space="preserve">%, il modello CGP circa -0,24%, mentre il modello G mostra un valore </w:t>
      </w:r>
      <w:r w:rsidR="00264E3A">
        <w:rPr>
          <w:rFonts w:ascii="Times New Roman" w:hAnsi="Times New Roman" w:cs="Times New Roman"/>
          <w:sz w:val="24"/>
          <w:szCs w:val="24"/>
        </w:rPr>
        <w:t>di circa -</w:t>
      </w:r>
      <w:r w:rsidRPr="001F7C46">
        <w:rPr>
          <w:rFonts w:ascii="Times New Roman" w:hAnsi="Times New Roman" w:cs="Times New Roman"/>
          <w:sz w:val="24"/>
          <w:szCs w:val="24"/>
        </w:rPr>
        <w:t>0,12%. Tuttavia, considerando la volatilità associata (compresa tra circa 1,6% e 1,8%), gli Sharpe ratio risultano negativi per tutti i modelli, rispettivamente pari a circa -0,09, -0,14 e -0,07.</w:t>
      </w:r>
    </w:p>
    <w:p w14:paraId="4696B50D" w14:textId="1B08ED2E"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Una dinamica analoga emerge nei portafogli signal weighted, dove i rendimenti medi risultano negativi per tutti i modelli (tra circa -0,23% e -0,2</w:t>
      </w:r>
      <w:r w:rsidR="00264E3A">
        <w:rPr>
          <w:rFonts w:ascii="Times New Roman" w:hAnsi="Times New Roman" w:cs="Times New Roman"/>
          <w:sz w:val="24"/>
          <w:szCs w:val="24"/>
        </w:rPr>
        <w:t>7</w:t>
      </w:r>
      <w:r w:rsidRPr="001F7C46">
        <w:rPr>
          <w:rFonts w:ascii="Times New Roman" w:hAnsi="Times New Roman" w:cs="Times New Roman"/>
          <w:sz w:val="24"/>
          <w:szCs w:val="24"/>
        </w:rPr>
        <w:t>%) e gli Sharpe ratio si collocano tra -0,17 e -0,13. Nei portafogli value weighted, i risultati rimangono coerenti: i rendimenti medi sono prossimi allo zero o negativi e gli Sharpe ratio risultano compresi tra circa -0,19 e -0,02, con il modello G che presenta la performance relativamente meno negativa.</w:t>
      </w:r>
      <w:r w:rsidR="00264E3A">
        <w:rPr>
          <w:rFonts w:ascii="Times New Roman" w:hAnsi="Times New Roman" w:cs="Times New Roman"/>
          <w:sz w:val="24"/>
          <w:szCs w:val="24"/>
        </w:rPr>
        <w:t xml:space="preserve"> </w:t>
      </w:r>
      <w:r w:rsidR="00264E3A" w:rsidRPr="00264E3A">
        <w:rPr>
          <w:rFonts w:ascii="Times New Roman" w:hAnsi="Times New Roman" w:cs="Times New Roman"/>
          <w:sz w:val="24"/>
          <w:szCs w:val="24"/>
        </w:rPr>
        <w:t>Tale assenza di creazione di valore è ribadita anche dalle regressioni multifattoriali sui fattori di Fama-French e Momentum, le quali restituiscono Alpha (intercette) non significativi o di segno negativo per tutte le configurazioni analizzate</w:t>
      </w:r>
      <w:r w:rsidR="00264E3A">
        <w:rPr>
          <w:rFonts w:ascii="Times New Roman" w:hAnsi="Times New Roman" w:cs="Times New Roman"/>
          <w:sz w:val="24"/>
          <w:szCs w:val="24"/>
        </w:rPr>
        <w:t>.</w:t>
      </w:r>
    </w:p>
    <w:p w14:paraId="1EAC86F8" w14:textId="77777777"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 xml:space="preserve">In tutti i casi, i t-statistic associati agli Sharpe ratio risultano negativi e di entità contenuta (ad esempio, compresi tra circa -1,18 e -0,14 nei diversi schemi di ponderazione), indicando l’assenza di </w:t>
      </w:r>
      <w:r w:rsidRPr="001F7C46">
        <w:rPr>
          <w:rFonts w:ascii="Times New Roman" w:hAnsi="Times New Roman" w:cs="Times New Roman"/>
          <w:sz w:val="24"/>
          <w:szCs w:val="24"/>
        </w:rPr>
        <w:lastRenderedPageBreak/>
        <w:t>evidenza statistica di rendimenti positivi. L’analisi congiunta dei risultati suggerisce quindi che le strategie costruite sulla base dei segnali dei modelli non sono in grado di generare valore economico.</w:t>
      </w:r>
    </w:p>
    <w:p w14:paraId="5BC2AA5D" w14:textId="77777777"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Il confronto tra modelli rappresenta un elemento particolarmente interessante. Sebbene nessun modello mostri performance positive, emergono differenze nella loro “qualità relativa”. Il modello CGP tende sistematicamente a presentare i risultati peggiori in termini di rendimento medio e Sharpe ratio, mentre il modello G mostra una performance relativamente meno negativa e una maggiore stabilità dei rendimenti. Il modello CGL si colloca generalmente in una posizione intermedia. Tuttavia, tali differenze non sono sufficienti a identificare un modello chiaramente superiore, ma indicano piuttosto la presenza di logiche di selezione differenti.</w:t>
      </w:r>
    </w:p>
    <w:p w14:paraId="08455F49" w14:textId="77777777" w:rsidR="001E23C4" w:rsidRDefault="001E23C4" w:rsidP="001F7C46">
      <w:pPr>
        <w:ind w:firstLine="284"/>
        <w:jc w:val="both"/>
        <w:rPr>
          <w:rFonts w:ascii="Times New Roman" w:hAnsi="Times New Roman" w:cs="Times New Roman"/>
          <w:sz w:val="24"/>
          <w:szCs w:val="24"/>
        </w:rPr>
      </w:pPr>
      <w:r w:rsidRPr="001E23C4">
        <w:rPr>
          <w:rFonts w:ascii="Times New Roman" w:hAnsi="Times New Roman" w:cs="Times New Roman"/>
          <w:sz w:val="24"/>
          <w:szCs w:val="24"/>
        </w:rPr>
        <w:t>Questa eterogeneità si riflette anche nei grafici dei rendimenti cumulati, che mostrano traiettorie divergenti tra i modelli ma tutte caratterizzate da elevata volatilità, pesanti drawdown e totale assenza di crescita persistente.</w:t>
      </w:r>
    </w:p>
    <w:p w14:paraId="0998ED93" w14:textId="1E82500A"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Per quanto riguarda l’analisi della magnitudine, i risultati della regressione lineare tra rendimento previsto e rendimento realizzato evidenziano una capacità esplicativa praticamente nulla. Il coefficiente associato al rendimento previsto è pari a 0,0065 e non risulta statisticamente significativo (p-value = 0,83). Il coefficiente di determinazione è estremamente basso (R² ≈ 0,0001), indicando che le previsioni dei modelli non spiegano la variabilità dei rendimenti osservati.</w:t>
      </w:r>
    </w:p>
    <w:p w14:paraId="4ADEC8CA" w14:textId="0929CFDF" w:rsidR="001F7C46" w:rsidRPr="001F7C46" w:rsidRDefault="001F7C46" w:rsidP="001F7C46">
      <w:pPr>
        <w:ind w:firstLine="284"/>
        <w:jc w:val="both"/>
        <w:rPr>
          <w:rFonts w:ascii="Times New Roman" w:hAnsi="Times New Roman" w:cs="Times New Roman"/>
          <w:sz w:val="24"/>
          <w:szCs w:val="24"/>
        </w:rPr>
      </w:pPr>
      <w:r w:rsidRPr="001F7C46">
        <w:rPr>
          <w:rFonts w:ascii="Times New Roman" w:hAnsi="Times New Roman" w:cs="Times New Roman"/>
          <w:sz w:val="24"/>
          <w:szCs w:val="24"/>
        </w:rPr>
        <w:t xml:space="preserve">Questa evidenza suggerisce la presenza di un forte fenomeno di miscalibration: le previsioni numeriche generate dai modelli non sono allineate con la distribuzione dei rendimenti reali e non possono essere utilizzate per stimare in modo affidabile </w:t>
      </w:r>
      <w:r w:rsidR="001E23C4" w:rsidRPr="001E23C4">
        <w:rPr>
          <w:rFonts w:ascii="Times New Roman" w:hAnsi="Times New Roman" w:cs="Times New Roman"/>
          <w:sz w:val="24"/>
          <w:szCs w:val="24"/>
        </w:rPr>
        <w:t>l'ampiezza dei movimenti di prezzo</w:t>
      </w:r>
      <w:r w:rsidRPr="001F7C46">
        <w:rPr>
          <w:rFonts w:ascii="Times New Roman" w:hAnsi="Times New Roman" w:cs="Times New Roman"/>
          <w:sz w:val="24"/>
          <w:szCs w:val="24"/>
        </w:rPr>
        <w:t>.</w:t>
      </w:r>
    </w:p>
    <w:p w14:paraId="0AF51D91" w14:textId="77777777" w:rsidR="001E23C4" w:rsidRDefault="001E23C4" w:rsidP="001F7C46">
      <w:pPr>
        <w:ind w:firstLine="284"/>
        <w:jc w:val="both"/>
        <w:rPr>
          <w:rFonts w:ascii="Times New Roman" w:hAnsi="Times New Roman" w:cs="Times New Roman"/>
          <w:sz w:val="24"/>
          <w:szCs w:val="24"/>
        </w:rPr>
      </w:pPr>
      <w:r w:rsidRPr="001E23C4">
        <w:rPr>
          <w:rFonts w:ascii="Times New Roman" w:hAnsi="Times New Roman" w:cs="Times New Roman"/>
          <w:sz w:val="24"/>
          <w:szCs w:val="24"/>
        </w:rPr>
        <w:t>Infine, l’analisi di robustezza condotta su un universo fisso di titoli "Big Tech" conferma le evidenze principali. Anche circoscrivendo l'analisi a titoli ad altissima capitalizzazione, i rendimenti medi rimangono negativi e gli Sharpe ratio non mostrano alcun miglioramento (-0,25 per il modello G, -0,18 per il GCP). Questo indica che il fallimento della strategia non dipende unicamente dalla difficoltà di selezionare endogenamente l’universo investibile, ma da una debolezza intrinseca dei segnali di base.</w:t>
      </w:r>
    </w:p>
    <w:p w14:paraId="48D0DBC8" w14:textId="0264FB5E" w:rsidR="004022CF" w:rsidRDefault="001F7C46" w:rsidP="00C25F8A">
      <w:pPr>
        <w:ind w:firstLine="284"/>
        <w:jc w:val="both"/>
        <w:rPr>
          <w:rFonts w:ascii="Times New Roman" w:hAnsi="Times New Roman" w:cs="Times New Roman"/>
          <w:sz w:val="24"/>
          <w:szCs w:val="24"/>
        </w:rPr>
      </w:pPr>
      <w:r>
        <w:rPr>
          <w:rFonts w:ascii="Times New Roman" w:hAnsi="Times New Roman" w:cs="Times New Roman"/>
          <w:sz w:val="24"/>
          <w:szCs w:val="24"/>
        </w:rPr>
        <w:t>L</w:t>
      </w:r>
      <w:r w:rsidRPr="001F7C46">
        <w:rPr>
          <w:rFonts w:ascii="Times New Roman" w:hAnsi="Times New Roman" w:cs="Times New Roman"/>
          <w:sz w:val="24"/>
          <w:szCs w:val="24"/>
        </w:rPr>
        <w:t>’insieme dei risultati mostra in modo coerente che i modelli analizzati non sono in grado di prevedere i rendimenti azionari di brevissimo periodo né in termini direzionali né in termini quantitativi. Le differenze tra modelli, pur presenti, riflettono variazioni nei pattern di errore e nella volatilità dei risultati piuttosto che una reale capacità predittiva. I segnali generati appaiono quindi più come output plausibili dal punto di vista narrativo che come strumenti dotati di contenuto informativo utilizzabile in un contesto di trading.</w:t>
      </w:r>
    </w:p>
    <w:p w14:paraId="3A56429C" w14:textId="564EB066" w:rsidR="00C25F8A" w:rsidRDefault="00C25F8A" w:rsidP="00C25F8A">
      <w:pPr>
        <w:jc w:val="both"/>
        <w:rPr>
          <w:rFonts w:ascii="Times New Roman" w:hAnsi="Times New Roman" w:cs="Times New Roman"/>
          <w:b/>
          <w:bCs/>
          <w:sz w:val="24"/>
          <w:szCs w:val="24"/>
        </w:rPr>
      </w:pPr>
      <w:r>
        <w:rPr>
          <w:rFonts w:ascii="Times New Roman" w:hAnsi="Times New Roman" w:cs="Times New Roman"/>
          <w:b/>
          <w:bCs/>
          <w:sz w:val="24"/>
          <w:szCs w:val="24"/>
        </w:rPr>
        <w:t>Domande:</w:t>
      </w:r>
    </w:p>
    <w:p w14:paraId="4C9E4FE1" w14:textId="64711075" w:rsidR="00C25F8A" w:rsidRDefault="00C25F8A" w:rsidP="00C25F8A">
      <w:pPr>
        <w:jc w:val="both"/>
        <w:rPr>
          <w:rFonts w:ascii="Times New Roman" w:hAnsi="Times New Roman" w:cs="Times New Roman"/>
          <w:sz w:val="24"/>
          <w:szCs w:val="24"/>
        </w:rPr>
      </w:pPr>
      <w:r w:rsidRPr="00C25F8A">
        <w:rPr>
          <w:rFonts w:ascii="Times New Roman" w:hAnsi="Times New Roman" w:cs="Times New Roman"/>
          <w:sz w:val="24"/>
          <w:szCs w:val="24"/>
        </w:rPr>
        <w:t>Considerando che i risultati empirici evidenziano una chiara assenza di capacità predittiva e di creazione di valore da parte dei modelli, riterrebbe opportuno concludere la raccolta dati entro la fine di aprile, in modo da potermi dedicare interamente alla revisione e alla stesura finale dell</w:t>
      </w:r>
      <w:r>
        <w:rPr>
          <w:rFonts w:ascii="Times New Roman" w:hAnsi="Times New Roman" w:cs="Times New Roman"/>
          <w:sz w:val="24"/>
          <w:szCs w:val="24"/>
        </w:rPr>
        <w:t>a tesi?</w:t>
      </w:r>
    </w:p>
    <w:p w14:paraId="5A61224E" w14:textId="77777777" w:rsidR="00C25F8A" w:rsidRDefault="00C25F8A" w:rsidP="00C25F8A">
      <w:pPr>
        <w:jc w:val="both"/>
        <w:rPr>
          <w:rFonts w:ascii="Times New Roman" w:hAnsi="Times New Roman" w:cs="Times New Roman"/>
          <w:sz w:val="24"/>
          <w:szCs w:val="24"/>
        </w:rPr>
      </w:pPr>
      <w:r w:rsidRPr="00C25F8A">
        <w:rPr>
          <w:rFonts w:ascii="Times New Roman" w:hAnsi="Times New Roman" w:cs="Times New Roman"/>
          <w:sz w:val="24"/>
          <w:szCs w:val="24"/>
        </w:rPr>
        <w:t>Ritiene che le analisi condotte finora siano complete ed esaustive</w:t>
      </w:r>
      <w:r>
        <w:rPr>
          <w:rFonts w:ascii="Times New Roman" w:hAnsi="Times New Roman" w:cs="Times New Roman"/>
          <w:sz w:val="24"/>
          <w:szCs w:val="24"/>
        </w:rPr>
        <w:t xml:space="preserve">? </w:t>
      </w:r>
    </w:p>
    <w:p w14:paraId="76350256" w14:textId="7AF7A49B" w:rsidR="00C25F8A" w:rsidRDefault="00C25F8A" w:rsidP="00C25F8A">
      <w:pPr>
        <w:jc w:val="both"/>
        <w:rPr>
          <w:rFonts w:ascii="Times New Roman" w:hAnsi="Times New Roman" w:cs="Times New Roman"/>
          <w:sz w:val="24"/>
          <w:szCs w:val="24"/>
        </w:rPr>
      </w:pPr>
      <w:r w:rsidRPr="00C25F8A">
        <w:rPr>
          <w:rFonts w:ascii="Times New Roman" w:hAnsi="Times New Roman" w:cs="Times New Roman"/>
          <w:sz w:val="24"/>
          <w:szCs w:val="24"/>
        </w:rPr>
        <w:t>Avrebbe per caso già visibilità</w:t>
      </w:r>
      <w:r>
        <w:rPr>
          <w:rFonts w:ascii="Times New Roman" w:hAnsi="Times New Roman" w:cs="Times New Roman"/>
          <w:sz w:val="24"/>
          <w:szCs w:val="24"/>
        </w:rPr>
        <w:t xml:space="preserve"> sul giorno della discussione di laurea? </w:t>
      </w:r>
    </w:p>
    <w:p w14:paraId="43C040C7" w14:textId="706283C2" w:rsidR="00C25F8A" w:rsidRPr="00C25F8A" w:rsidRDefault="0053154C" w:rsidP="00C25F8A">
      <w:pPr>
        <w:jc w:val="both"/>
        <w:rPr>
          <w:rFonts w:ascii="Times New Roman" w:hAnsi="Times New Roman" w:cs="Times New Roman"/>
          <w:sz w:val="24"/>
          <w:szCs w:val="24"/>
        </w:rPr>
      </w:pPr>
      <w:r w:rsidRPr="0053154C">
        <w:rPr>
          <w:rFonts w:ascii="Times New Roman" w:hAnsi="Times New Roman" w:cs="Times New Roman"/>
          <w:sz w:val="24"/>
          <w:szCs w:val="24"/>
        </w:rPr>
        <w:t>In merito al capitolo sulla Literature Review che le ho inviato precedentemente, volevo chiederle se ci fossero dei punti da integrare o revisionare.</w:t>
      </w:r>
    </w:p>
    <w:sectPr w:rsidR="00C25F8A" w:rsidRPr="00C25F8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5A7"/>
    <w:rsid w:val="001E23C4"/>
    <w:rsid w:val="001F7C46"/>
    <w:rsid w:val="00202F64"/>
    <w:rsid w:val="00264E3A"/>
    <w:rsid w:val="002D073E"/>
    <w:rsid w:val="003642D0"/>
    <w:rsid w:val="004022CF"/>
    <w:rsid w:val="0053154C"/>
    <w:rsid w:val="00760477"/>
    <w:rsid w:val="008513D3"/>
    <w:rsid w:val="008C15A7"/>
    <w:rsid w:val="00BD3843"/>
    <w:rsid w:val="00C25F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335A"/>
  <w15:chartTrackingRefBased/>
  <w15:docId w15:val="{CAA9515D-0E73-4F6F-83D9-33248902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C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C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C15A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C15A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C15A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C15A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C15A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C15A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C15A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C15A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C15A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C15A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C15A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C15A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C15A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C15A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C15A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C15A7"/>
    <w:rPr>
      <w:rFonts w:eastAsiaTheme="majorEastAsia" w:cstheme="majorBidi"/>
      <w:color w:val="272727" w:themeColor="text1" w:themeTint="D8"/>
    </w:rPr>
  </w:style>
  <w:style w:type="paragraph" w:styleId="Titolo">
    <w:name w:val="Title"/>
    <w:basedOn w:val="Normale"/>
    <w:next w:val="Normale"/>
    <w:link w:val="TitoloCarattere"/>
    <w:uiPriority w:val="10"/>
    <w:qFormat/>
    <w:rsid w:val="008C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C15A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C15A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C15A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C15A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C15A7"/>
    <w:rPr>
      <w:i/>
      <w:iCs/>
      <w:color w:val="404040" w:themeColor="text1" w:themeTint="BF"/>
    </w:rPr>
  </w:style>
  <w:style w:type="paragraph" w:styleId="Paragrafoelenco">
    <w:name w:val="List Paragraph"/>
    <w:basedOn w:val="Normale"/>
    <w:uiPriority w:val="34"/>
    <w:qFormat/>
    <w:rsid w:val="008C15A7"/>
    <w:pPr>
      <w:ind w:left="720"/>
      <w:contextualSpacing/>
    </w:pPr>
  </w:style>
  <w:style w:type="character" w:styleId="Enfasiintensa">
    <w:name w:val="Intense Emphasis"/>
    <w:basedOn w:val="Carpredefinitoparagrafo"/>
    <w:uiPriority w:val="21"/>
    <w:qFormat/>
    <w:rsid w:val="008C15A7"/>
    <w:rPr>
      <w:i/>
      <w:iCs/>
      <w:color w:val="0F4761" w:themeColor="accent1" w:themeShade="BF"/>
    </w:rPr>
  </w:style>
  <w:style w:type="paragraph" w:styleId="Citazioneintensa">
    <w:name w:val="Intense Quote"/>
    <w:basedOn w:val="Normale"/>
    <w:next w:val="Normale"/>
    <w:link w:val="CitazioneintensaCarattere"/>
    <w:uiPriority w:val="30"/>
    <w:qFormat/>
    <w:rsid w:val="008C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C15A7"/>
    <w:rPr>
      <w:i/>
      <w:iCs/>
      <w:color w:val="0F4761" w:themeColor="accent1" w:themeShade="BF"/>
    </w:rPr>
  </w:style>
  <w:style w:type="character" w:styleId="Riferimentointenso">
    <w:name w:val="Intense Reference"/>
    <w:basedOn w:val="Carpredefinitoparagrafo"/>
    <w:uiPriority w:val="32"/>
    <w:qFormat/>
    <w:rsid w:val="008C1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1091</Words>
  <Characters>6223</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GAMBINA</dc:creator>
  <cp:keywords/>
  <dc:description/>
  <cp:lastModifiedBy>Martina GAMBINA</cp:lastModifiedBy>
  <cp:revision>8</cp:revision>
  <dcterms:created xsi:type="dcterms:W3CDTF">2026-04-10T09:38:00Z</dcterms:created>
  <dcterms:modified xsi:type="dcterms:W3CDTF">2026-04-10T10:02:00Z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26e56959-1484-4bfa-9758-fbb4031a57ec</vt:lpwstr>
  </property>
</Properties>
</file>