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D149" w14:textId="57082113" w:rsidR="0022295B" w:rsidRPr="0022295B" w:rsidRDefault="006E079F" w:rsidP="0022295B">
      <w:pPr>
        <w:jc w:val="both"/>
        <w:rPr>
          <w:rFonts w:ascii="Times New Roman" w:hAnsi="Times New Roman" w:cs="Times New Roman"/>
          <w:b/>
          <w:bCs/>
          <w:sz w:val="24"/>
          <w:szCs w:val="24"/>
        </w:rPr>
      </w:pPr>
      <w:r>
        <w:rPr>
          <w:rFonts w:ascii="Times New Roman" w:hAnsi="Times New Roman" w:cs="Times New Roman"/>
          <w:b/>
          <w:bCs/>
          <w:sz w:val="24"/>
          <w:szCs w:val="24"/>
        </w:rPr>
        <w:t xml:space="preserve">Capitolo </w:t>
      </w:r>
      <w:r w:rsidR="0022295B" w:rsidRPr="0022295B">
        <w:rPr>
          <w:rFonts w:ascii="Times New Roman" w:hAnsi="Times New Roman" w:cs="Times New Roman"/>
          <w:b/>
          <w:bCs/>
          <w:sz w:val="24"/>
          <w:szCs w:val="24"/>
        </w:rPr>
        <w:t>4. Risultati empirici</w:t>
      </w:r>
    </w:p>
    <w:p w14:paraId="2664865B" w14:textId="77777777" w:rsidR="0022295B" w:rsidRPr="0022295B" w:rsidRDefault="0022295B" w:rsidP="0022295B">
      <w:pPr>
        <w:jc w:val="both"/>
        <w:rPr>
          <w:rFonts w:ascii="Times New Roman" w:hAnsi="Times New Roman" w:cs="Times New Roman"/>
          <w:b/>
          <w:bCs/>
          <w:sz w:val="24"/>
          <w:szCs w:val="24"/>
        </w:rPr>
      </w:pPr>
      <w:r w:rsidRPr="0022295B">
        <w:rPr>
          <w:rFonts w:ascii="Times New Roman" w:hAnsi="Times New Roman" w:cs="Times New Roman"/>
          <w:b/>
          <w:bCs/>
          <w:sz w:val="24"/>
          <w:szCs w:val="24"/>
        </w:rPr>
        <w:t>4.1 Introduzione ai risultati empirici</w:t>
      </w:r>
    </w:p>
    <w:p w14:paraId="79832AAB"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Il presente capitolo illustra i risultati empirici ottenuti dall’implementazione del framework sperimentale descritto nel Capitolo 3, finalizzato a valutare la capacità predittiva di modelli linguistici di grandi dimensioni (LLMs) nel contesto del forecasting azionario intraday. L’analisi è stata condotta in ambiente rigorosamente real-time e out-of-sample, utilizzando esclusivamente informazioni pubblicamente disponibili al momento della generazione delle previsioni e impedendo qualsiasi forma di look-ahead bias o retrospettiva selettiva.</w:t>
      </w:r>
    </w:p>
    <w:p w14:paraId="3808EB9E"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L’esperimento ha coinvolto tre differenti configurazioni di modelli linguistici: ChatGPT versione loggata (CGL), ChatGPT versione non loggata (CGP) e Gemini Pro (G). Per ciascun modello sono stati raccolti quotidianamente segnali relativi a:</w:t>
      </w:r>
    </w:p>
    <w:p w14:paraId="4943CBDD"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selezione dei titoli con maggiore probabilità di sovraperformance (Long);</w:t>
      </w:r>
    </w:p>
    <w:p w14:paraId="48F0B15B"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selezione dei titoli con maggiore probabilità di sottoperformance (Short);</w:t>
      </w:r>
    </w:p>
    <w:p w14:paraId="54D0C241"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previsione direzionale dell’indice S&amp;P 500;</w:t>
      </w:r>
    </w:p>
    <w:p w14:paraId="67B91B6A"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stime puntuali del prezzo di chiusura del giorno successivo.</w:t>
      </w:r>
    </w:p>
    <w:p w14:paraId="435DAF9D" w14:textId="7F199BBA"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A partire da tali output sono stati costruiti differenti portafogli sperimentali mediante tre schemi di ponderazione: equally weighted (EW), signal weighted (SW) e value weighted (VW). Le performance ottenute sono state successivamente valutate sia in termini di rendimenti grezzi sia attraverso metriche risk-adjusted coerenti con la letteratura di asset pricing</w:t>
      </w:r>
      <w:r>
        <w:rPr>
          <w:rStyle w:val="Rimandonotaapidipagina"/>
          <w:rFonts w:ascii="Times New Roman" w:hAnsi="Times New Roman" w:cs="Times New Roman"/>
          <w:sz w:val="24"/>
          <w:szCs w:val="24"/>
        </w:rPr>
        <w:footnoteReference w:id="1"/>
      </w:r>
      <w:r>
        <w:rPr>
          <w:rFonts w:ascii="Times New Roman" w:hAnsi="Times New Roman" w:cs="Times New Roman"/>
          <w:sz w:val="24"/>
          <w:szCs w:val="24"/>
        </w:rPr>
        <w:t>.</w:t>
      </w:r>
    </w:p>
    <w:p w14:paraId="7C26E868"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L’obiettivo dell’analisi non consiste esclusivamente nel verificare l’accuratezza direzionale delle previsioni generate dagli LLMs, ma soprattutto nel determinare se tali modelli siano in grado di produrre rendimenti economicamente significativi e statisticamente robusti una volta corretto per il rischio sistematico. In linea con la letteratura finanziaria contemporanea, la valutazione delle performance viene pertanto condotta utilizzando Sharpe ratio, regressioni CAPM e modelli multifattoriali Fama-French-Carhart.</w:t>
      </w:r>
    </w:p>
    <w:p w14:paraId="7BAEDDD5"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I risultati empirici mostrano un quadro articolato. Da un lato, alcuni portafogli — in particolare quelli costruiti utilizzando il modello Gemini Pro e schemi di ponderazione value-weighted — evidenziano performance cumulative positive e Sharpe ratio moderatamente superiori rispetto alle alternative considerate. Dall’altro lato, tali evidenze tendono a perdere significatività una volta analizzate all’interno di un framework risk-adjusted, suggerendo che i rendimenti osservati possano riflettere prevalentemente esposizioni sistematiche al rischio piuttosto che reale capacità di stock selection da parte dei modelli linguistici.</w:t>
      </w:r>
    </w:p>
    <w:p w14:paraId="7E811E8C" w14:textId="523E4AD9"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Parallelamente, l’analisi qualitativa delle sessioni di raccolta dati evidenzia significativi problemi di instabilità operativa e incoerenza inferenziale. Nel corso dell’esperimento sono infatti emersi fenomeni ricorrenti di prompt non-compliance, allucinazioni numeriche, divergenze cross-session e </w:t>
      </w:r>
      <w:r w:rsidRPr="0022295B">
        <w:rPr>
          <w:rFonts w:ascii="Times New Roman" w:hAnsi="Times New Roman" w:cs="Times New Roman"/>
          <w:sz w:val="24"/>
          <w:szCs w:val="24"/>
        </w:rPr>
        <w:lastRenderedPageBreak/>
        <w:t>incoerenze direzionali interne agli stessi modelli</w:t>
      </w:r>
      <w:r>
        <w:rPr>
          <w:rStyle w:val="Rimandonotaapidipagina"/>
          <w:rFonts w:ascii="Times New Roman" w:hAnsi="Times New Roman" w:cs="Times New Roman"/>
          <w:sz w:val="24"/>
          <w:szCs w:val="24"/>
        </w:rPr>
        <w:footnoteReference w:id="2"/>
      </w:r>
      <w:r w:rsidRPr="0022295B">
        <w:rPr>
          <w:rFonts w:ascii="Times New Roman" w:hAnsi="Times New Roman" w:cs="Times New Roman"/>
          <w:sz w:val="24"/>
          <w:szCs w:val="24"/>
        </w:rPr>
        <w:t>.</w:t>
      </w:r>
      <w:r>
        <w:rPr>
          <w:rFonts w:ascii="Times New Roman" w:hAnsi="Times New Roman" w:cs="Times New Roman"/>
          <w:sz w:val="24"/>
          <w:szCs w:val="24"/>
        </w:rPr>
        <w:t xml:space="preserve"> </w:t>
      </w:r>
      <w:r w:rsidRPr="0022295B">
        <w:rPr>
          <w:rFonts w:ascii="Times New Roman" w:hAnsi="Times New Roman" w:cs="Times New Roman"/>
          <w:sz w:val="24"/>
          <w:szCs w:val="24"/>
        </w:rPr>
        <w:t>Tali evidenze assumono particolare rilevanza metodologica poiché suggeriscono che il comportamento operativo degli LLMs in ambiente real-time risulti significativamente meno stabile rispetto a quanto spesso implicato dalla letteratura sperimentale retrospettiva.</w:t>
      </w:r>
    </w:p>
    <w:p w14:paraId="3A7DEFE6"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Nel complesso, i risultati ottenuti indicano che, pur producendo output finanziariamente plausibili e talvolta coerenti con il sentiment di mercato prevalente, i modelli linguistici analizzati non mostrano evidenza robusta di capacità predittiva economicamente sfruttabile nel contesto intraday considerato.</w:t>
      </w:r>
    </w:p>
    <w:p w14:paraId="604627A5" w14:textId="77777777" w:rsidR="0022295B" w:rsidRPr="0022295B" w:rsidRDefault="0022295B" w:rsidP="0022295B">
      <w:pPr>
        <w:jc w:val="both"/>
        <w:rPr>
          <w:rFonts w:ascii="Times New Roman" w:hAnsi="Times New Roman" w:cs="Times New Roman"/>
          <w:b/>
          <w:bCs/>
          <w:sz w:val="24"/>
          <w:szCs w:val="24"/>
        </w:rPr>
      </w:pPr>
      <w:r w:rsidRPr="0022295B">
        <w:rPr>
          <w:rFonts w:ascii="Times New Roman" w:hAnsi="Times New Roman" w:cs="Times New Roman"/>
          <w:b/>
          <w:bCs/>
          <w:sz w:val="24"/>
          <w:szCs w:val="24"/>
        </w:rPr>
        <w:t>4.2 Directional Accuracy e Market Timing</w:t>
      </w:r>
    </w:p>
    <w:p w14:paraId="7E6BD016"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La prima dimensione analizzata riguarda la capacità dei modelli linguistici di prevedere correttamente la direzione dei rendimenti azionari nel giorno di trading successivo. In particolare, l’analisi si concentra sia sull’accuratezza dei segnali Long e Short relativi ai singoli titoli, sia sulla capacità di market timing riferita all’indice S&amp;P 500.</w:t>
      </w:r>
    </w:p>
    <w:p w14:paraId="091AD275"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L’accuratezza direzionale rappresenta una misura intuitiva della qualità predittiva di un modello, ma non necessariamente sufficiente a dimostrare la presenza di una reale capacità di generare abnormal returns. In mercati caratterizzati da elevata efficienza informativa, infatti, anche percentuali di successo leggermente superiori al 50% possono risultare economicamente irrilevanti una volta considerati costi di transazione, volatilità e rischio sistematico. Per tale ragione, i risultati presentati in questa sezione costituiscono soltanto il primo livello dell’analisi empirica, successivamente approfondito mediante metriche risk-adjusted.</w:t>
      </w:r>
    </w:p>
    <w:p w14:paraId="65088CB9" w14:textId="77777777" w:rsidR="0022295B" w:rsidRPr="0022295B" w:rsidRDefault="0022295B" w:rsidP="0022295B">
      <w:pPr>
        <w:jc w:val="both"/>
        <w:rPr>
          <w:rFonts w:ascii="Times New Roman" w:hAnsi="Times New Roman" w:cs="Times New Roman"/>
          <w:b/>
          <w:bCs/>
          <w:sz w:val="24"/>
          <w:szCs w:val="24"/>
        </w:rPr>
      </w:pPr>
      <w:r w:rsidRPr="0022295B">
        <w:rPr>
          <w:rFonts w:ascii="Times New Roman" w:hAnsi="Times New Roman" w:cs="Times New Roman"/>
          <w:b/>
          <w:bCs/>
          <w:sz w:val="24"/>
          <w:szCs w:val="24"/>
        </w:rPr>
        <w:t>4.2.1 Accuratezza direzionale dei segnali Long e Short</w:t>
      </w:r>
    </w:p>
    <w:p w14:paraId="140B7438" w14:textId="5D281C5F"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La Tabella </w:t>
      </w:r>
      <w:r w:rsidR="00D97E63">
        <w:rPr>
          <w:rFonts w:ascii="Times New Roman" w:hAnsi="Times New Roman" w:cs="Times New Roman"/>
          <w:sz w:val="24"/>
          <w:szCs w:val="24"/>
        </w:rPr>
        <w:t>1</w:t>
      </w:r>
      <w:r w:rsidRPr="0022295B">
        <w:rPr>
          <w:rFonts w:ascii="Times New Roman" w:hAnsi="Times New Roman" w:cs="Times New Roman"/>
          <w:sz w:val="24"/>
          <w:szCs w:val="24"/>
        </w:rPr>
        <w:t xml:space="preserve"> riporta i risultati relativi ai test di accuratezza direzionale per i segnali Long e Short generati dai modelli linguistici.</w:t>
      </w:r>
    </w:p>
    <w:p w14:paraId="02485EAE" w14:textId="39B3236D" w:rsidR="00D97E63" w:rsidRPr="00D97E63" w:rsidRDefault="00D97E63" w:rsidP="00D97E63">
      <w:pPr>
        <w:pStyle w:val="Didascalia"/>
        <w:keepNext/>
        <w:rPr>
          <w:color w:val="auto"/>
        </w:rPr>
      </w:pPr>
      <w:r w:rsidRPr="00D97E63">
        <w:rPr>
          <w:color w:val="auto"/>
        </w:rPr>
        <w:t xml:space="preserve">Tabella </w:t>
      </w:r>
      <w:r w:rsidRPr="00D97E63">
        <w:rPr>
          <w:color w:val="auto"/>
        </w:rPr>
        <w:fldChar w:fldCharType="begin"/>
      </w:r>
      <w:r w:rsidRPr="00D97E63">
        <w:rPr>
          <w:color w:val="auto"/>
        </w:rPr>
        <w:instrText xml:space="preserve"> SEQ Tabella \* ARABIC </w:instrText>
      </w:r>
      <w:r w:rsidRPr="00D97E63">
        <w:rPr>
          <w:color w:val="auto"/>
        </w:rPr>
        <w:fldChar w:fldCharType="separate"/>
      </w:r>
      <w:r w:rsidR="00212089">
        <w:rPr>
          <w:noProof/>
          <w:color w:val="auto"/>
        </w:rPr>
        <w:t>1</w:t>
      </w:r>
      <w:r w:rsidRPr="00D97E63">
        <w:rPr>
          <w:color w:val="auto"/>
        </w:rPr>
        <w:fldChar w:fldCharType="end"/>
      </w:r>
    </w:p>
    <w:p w14:paraId="383ECD2A" w14:textId="402B4DC6" w:rsidR="00D97E63" w:rsidRPr="00D97E63" w:rsidRDefault="00D97E63" w:rsidP="00D97E63">
      <w:pPr>
        <w:jc w:val="both"/>
        <w:rPr>
          <w:rFonts w:ascii="Times New Roman" w:hAnsi="Times New Roman" w:cs="Times New Roman"/>
          <w:sz w:val="24"/>
          <w:szCs w:val="24"/>
        </w:rPr>
      </w:pPr>
      <w:r w:rsidRPr="0022295B">
        <w:rPr>
          <w:rFonts w:ascii="Times New Roman" w:hAnsi="Times New Roman" w:cs="Times New Roman"/>
          <w:sz w:val="24"/>
          <w:szCs w:val="24"/>
        </w:rPr>
        <w:t>Accuratezza direzionale dei segnali Long e Short</w:t>
      </w:r>
    </w:p>
    <w:tbl>
      <w:tblPr>
        <w:tblStyle w:val="Grigliatabella"/>
        <w:tblW w:w="0" w:type="auto"/>
        <w:tblLook w:val="04A0" w:firstRow="1" w:lastRow="0" w:firstColumn="1" w:lastColumn="0" w:noHBand="0" w:noVBand="1"/>
      </w:tblPr>
      <w:tblGrid>
        <w:gridCol w:w="1437"/>
        <w:gridCol w:w="1170"/>
        <w:gridCol w:w="876"/>
        <w:gridCol w:w="1236"/>
        <w:gridCol w:w="1449"/>
      </w:tblGrid>
      <w:tr w:rsidR="00D97E63" w:rsidRPr="00D97E63" w14:paraId="56784918" w14:textId="77777777" w:rsidTr="00D97E63">
        <w:tc>
          <w:tcPr>
            <w:tcW w:w="0" w:type="auto"/>
            <w:tcBorders>
              <w:top w:val="single" w:sz="4" w:space="0" w:color="auto"/>
              <w:left w:val="nil"/>
              <w:bottom w:val="single" w:sz="4" w:space="0" w:color="auto"/>
              <w:right w:val="nil"/>
            </w:tcBorders>
            <w:hideMark/>
          </w:tcPr>
          <w:p w14:paraId="39518B8D"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Signal Type</w:t>
            </w:r>
          </w:p>
        </w:tc>
        <w:tc>
          <w:tcPr>
            <w:tcW w:w="0" w:type="auto"/>
            <w:tcBorders>
              <w:top w:val="single" w:sz="4" w:space="0" w:color="auto"/>
              <w:left w:val="nil"/>
              <w:bottom w:val="single" w:sz="4" w:space="0" w:color="auto"/>
              <w:right w:val="nil"/>
            </w:tcBorders>
            <w:hideMark/>
          </w:tcPr>
          <w:p w14:paraId="086375DF"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Hit Ratio</w:t>
            </w:r>
          </w:p>
        </w:tc>
        <w:tc>
          <w:tcPr>
            <w:tcW w:w="0" w:type="auto"/>
            <w:tcBorders>
              <w:top w:val="single" w:sz="4" w:space="0" w:color="auto"/>
              <w:left w:val="nil"/>
              <w:bottom w:val="single" w:sz="4" w:space="0" w:color="auto"/>
              <w:right w:val="nil"/>
            </w:tcBorders>
            <w:hideMark/>
          </w:tcPr>
          <w:p w14:paraId="6AAD90B9"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t-stat</w:t>
            </w:r>
          </w:p>
        </w:tc>
        <w:tc>
          <w:tcPr>
            <w:tcW w:w="0" w:type="auto"/>
            <w:tcBorders>
              <w:top w:val="single" w:sz="4" w:space="0" w:color="auto"/>
              <w:left w:val="nil"/>
              <w:bottom w:val="single" w:sz="4" w:space="0" w:color="auto"/>
              <w:right w:val="nil"/>
            </w:tcBorders>
            <w:hideMark/>
          </w:tcPr>
          <w:p w14:paraId="1F960990"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p-value</w:t>
            </w:r>
          </w:p>
        </w:tc>
        <w:tc>
          <w:tcPr>
            <w:tcW w:w="0" w:type="auto"/>
            <w:tcBorders>
              <w:top w:val="single" w:sz="4" w:space="0" w:color="auto"/>
              <w:left w:val="nil"/>
              <w:bottom w:val="single" w:sz="4" w:space="0" w:color="auto"/>
              <w:right w:val="nil"/>
            </w:tcBorders>
            <w:hideMark/>
          </w:tcPr>
          <w:p w14:paraId="59F9928E" w14:textId="57919B26" w:rsidR="00D97E63" w:rsidRPr="00D97E63" w:rsidRDefault="00BD3852" w:rsidP="00D97E63">
            <w:pPr>
              <w:rPr>
                <w:rFonts w:ascii="Times New Roman" w:eastAsia="Times New Roman" w:hAnsi="Times New Roman" w:cs="Times New Roman"/>
                <w:color w:val="1F1F1F"/>
                <w:kern w:val="0"/>
                <w:sz w:val="24"/>
                <w:szCs w:val="24"/>
                <w:lang w:eastAsia="it-IT"/>
                <w14:ligatures w14:val="none"/>
              </w:rPr>
            </w:pPr>
            <w:r>
              <w:rPr>
                <w:rFonts w:ascii="Times New Roman" w:eastAsia="Times New Roman" w:hAnsi="Times New Roman" w:cs="Times New Roman"/>
                <w:b/>
                <w:bCs/>
                <w:color w:val="1F1F1F"/>
                <w:kern w:val="0"/>
                <w:sz w:val="24"/>
                <w:szCs w:val="24"/>
                <w:bdr w:val="none" w:sz="0" w:space="0" w:color="auto" w:frame="1"/>
                <w:lang w:eastAsia="it-IT"/>
                <w14:ligatures w14:val="none"/>
              </w:rPr>
              <w:t>Data Frame</w:t>
            </w:r>
          </w:p>
        </w:tc>
      </w:tr>
      <w:tr w:rsidR="00D97E63" w:rsidRPr="00D97E63" w14:paraId="1092130F" w14:textId="77777777" w:rsidTr="00D97E63">
        <w:tc>
          <w:tcPr>
            <w:tcW w:w="0" w:type="auto"/>
            <w:tcBorders>
              <w:top w:val="single" w:sz="4" w:space="0" w:color="auto"/>
              <w:left w:val="nil"/>
              <w:bottom w:val="nil"/>
              <w:right w:val="nil"/>
            </w:tcBorders>
            <w:hideMark/>
          </w:tcPr>
          <w:p w14:paraId="5F99130E"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Long Picks</w:t>
            </w:r>
          </w:p>
        </w:tc>
        <w:tc>
          <w:tcPr>
            <w:tcW w:w="0" w:type="auto"/>
            <w:tcBorders>
              <w:top w:val="single" w:sz="4" w:space="0" w:color="auto"/>
              <w:left w:val="nil"/>
              <w:bottom w:val="nil"/>
              <w:right w:val="nil"/>
            </w:tcBorders>
            <w:hideMark/>
          </w:tcPr>
          <w:p w14:paraId="0E7CEB29"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53.81% </w:t>
            </w:r>
          </w:p>
        </w:tc>
        <w:tc>
          <w:tcPr>
            <w:tcW w:w="0" w:type="auto"/>
            <w:tcBorders>
              <w:top w:val="single" w:sz="4" w:space="0" w:color="auto"/>
              <w:left w:val="nil"/>
              <w:bottom w:val="nil"/>
              <w:right w:val="nil"/>
            </w:tcBorders>
            <w:hideMark/>
          </w:tcPr>
          <w:p w14:paraId="69564D06" w14:textId="55081B3F"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1.995</w:t>
            </w:r>
            <w:r w:rsidR="00BD3852">
              <w:rPr>
                <w:rFonts w:ascii="Times New Roman" w:eastAsia="Times New Roman" w:hAnsi="Times New Roman" w:cs="Times New Roman"/>
                <w:color w:val="1F1F1F"/>
                <w:kern w:val="0"/>
                <w:sz w:val="24"/>
                <w:szCs w:val="24"/>
                <w:bdr w:val="none" w:sz="0" w:space="0" w:color="auto" w:frame="1"/>
                <w:lang w:eastAsia="it-IT"/>
                <w14:ligatures w14:val="none"/>
              </w:rPr>
              <w:t>5</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single" w:sz="4" w:space="0" w:color="auto"/>
              <w:left w:val="nil"/>
              <w:bottom w:val="nil"/>
              <w:right w:val="nil"/>
            </w:tcBorders>
            <w:hideMark/>
          </w:tcPr>
          <w:p w14:paraId="2ED5C3CF" w14:textId="5CD40899"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0.046</w:t>
            </w:r>
            <w:r w:rsidR="00BD3852">
              <w:rPr>
                <w:rFonts w:ascii="Times New Roman" w:eastAsia="Times New Roman" w:hAnsi="Times New Roman" w:cs="Times New Roman"/>
                <w:color w:val="1F1F1F"/>
                <w:kern w:val="0"/>
                <w:sz w:val="24"/>
                <w:szCs w:val="24"/>
                <w:bdr w:val="none" w:sz="0" w:space="0" w:color="auto" w:frame="1"/>
                <w:lang w:eastAsia="it-IT"/>
                <w14:ligatures w14:val="none"/>
              </w:rPr>
              <w:t>38</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single" w:sz="4" w:space="0" w:color="auto"/>
              <w:left w:val="nil"/>
              <w:bottom w:val="nil"/>
              <w:right w:val="nil"/>
            </w:tcBorders>
            <w:hideMark/>
          </w:tcPr>
          <w:p w14:paraId="59C5B3DD" w14:textId="264EB788"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68</w:t>
            </w:r>
            <w:r w:rsidR="00BD3852">
              <w:rPr>
                <w:rFonts w:ascii="Times New Roman" w:eastAsia="Times New Roman" w:hAnsi="Times New Roman" w:cs="Times New Roman"/>
                <w:color w:val="1F1F1F"/>
                <w:kern w:val="0"/>
                <w:sz w:val="24"/>
                <w:szCs w:val="24"/>
                <w:bdr w:val="none" w:sz="0" w:space="0" w:color="auto" w:frame="1"/>
                <w:lang w:eastAsia="it-IT"/>
                <w14:ligatures w14:val="none"/>
              </w:rPr>
              <w:t>1</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r>
      <w:tr w:rsidR="00D97E63" w:rsidRPr="00D97E63" w14:paraId="58917B53" w14:textId="77777777" w:rsidTr="00D97E63">
        <w:tc>
          <w:tcPr>
            <w:tcW w:w="0" w:type="auto"/>
            <w:tcBorders>
              <w:top w:val="nil"/>
              <w:left w:val="nil"/>
              <w:bottom w:val="nil"/>
              <w:right w:val="nil"/>
            </w:tcBorders>
            <w:hideMark/>
          </w:tcPr>
          <w:p w14:paraId="4EF1DDE5"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Short Picks</w:t>
            </w:r>
          </w:p>
        </w:tc>
        <w:tc>
          <w:tcPr>
            <w:tcW w:w="0" w:type="auto"/>
            <w:tcBorders>
              <w:top w:val="nil"/>
              <w:left w:val="nil"/>
              <w:bottom w:val="nil"/>
              <w:right w:val="nil"/>
            </w:tcBorders>
            <w:hideMark/>
          </w:tcPr>
          <w:p w14:paraId="2FDA83EB"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51.79% </w:t>
            </w:r>
          </w:p>
        </w:tc>
        <w:tc>
          <w:tcPr>
            <w:tcW w:w="0" w:type="auto"/>
            <w:tcBorders>
              <w:top w:val="nil"/>
              <w:left w:val="nil"/>
              <w:bottom w:val="nil"/>
              <w:right w:val="nil"/>
            </w:tcBorders>
            <w:hideMark/>
          </w:tcPr>
          <w:p w14:paraId="6D038D29" w14:textId="330A1AA0"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0.927</w:t>
            </w:r>
            <w:r w:rsidR="00BD3852">
              <w:rPr>
                <w:rFonts w:ascii="Times New Roman" w:eastAsia="Times New Roman" w:hAnsi="Times New Roman" w:cs="Times New Roman"/>
                <w:color w:val="1F1F1F"/>
                <w:kern w:val="0"/>
                <w:sz w:val="24"/>
                <w:szCs w:val="24"/>
                <w:bdr w:val="none" w:sz="0" w:space="0" w:color="auto" w:frame="1"/>
                <w:lang w:eastAsia="it-IT"/>
                <w14:ligatures w14:val="none"/>
              </w:rPr>
              <w:t>1</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nil"/>
              <w:left w:val="nil"/>
              <w:bottom w:val="nil"/>
              <w:right w:val="nil"/>
            </w:tcBorders>
            <w:hideMark/>
          </w:tcPr>
          <w:p w14:paraId="3C4B3FFA"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0.354 </w:t>
            </w:r>
          </w:p>
        </w:tc>
        <w:tc>
          <w:tcPr>
            <w:tcW w:w="0" w:type="auto"/>
            <w:tcBorders>
              <w:top w:val="nil"/>
              <w:left w:val="nil"/>
              <w:bottom w:val="nil"/>
              <w:right w:val="nil"/>
            </w:tcBorders>
            <w:hideMark/>
          </w:tcPr>
          <w:p w14:paraId="2DE22AD2" w14:textId="06AAC189"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6</w:t>
            </w:r>
            <w:r w:rsidR="00BD3852">
              <w:rPr>
                <w:rFonts w:ascii="Times New Roman" w:eastAsia="Times New Roman" w:hAnsi="Times New Roman" w:cs="Times New Roman"/>
                <w:color w:val="1F1F1F"/>
                <w:kern w:val="0"/>
                <w:sz w:val="24"/>
                <w:szCs w:val="24"/>
                <w:bdr w:val="none" w:sz="0" w:space="0" w:color="auto" w:frame="1"/>
                <w:lang w:eastAsia="it-IT"/>
                <w14:ligatures w14:val="none"/>
              </w:rPr>
              <w:t>69</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r>
    </w:tbl>
    <w:p w14:paraId="0F5D4AE3" w14:textId="77777777" w:rsidR="00D97E63" w:rsidRDefault="0022295B" w:rsidP="0022295B">
      <w:pPr>
        <w:jc w:val="both"/>
        <w:rPr>
          <w:rFonts w:ascii="Times New Roman" w:hAnsi="Times New Roman" w:cs="Times New Roman"/>
          <w:i/>
          <w:iCs/>
          <w:sz w:val="24"/>
          <w:szCs w:val="24"/>
        </w:rPr>
      </w:pPr>
      <w:r w:rsidRPr="0022295B">
        <w:rPr>
          <w:rFonts w:ascii="Times New Roman" w:hAnsi="Times New Roman" w:cs="Times New Roman"/>
          <w:i/>
          <w:iCs/>
          <w:sz w:val="24"/>
          <w:szCs w:val="24"/>
        </w:rPr>
        <w:t xml:space="preserve">Nota. </w:t>
      </w:r>
      <w:r w:rsidR="00D97E63" w:rsidRPr="00D97E63">
        <w:rPr>
          <w:rFonts w:ascii="Times New Roman" w:hAnsi="Times New Roman" w:cs="Times New Roman"/>
          <w:i/>
          <w:iCs/>
          <w:sz w:val="24"/>
          <w:szCs w:val="24"/>
        </w:rPr>
        <w:t>La tabella riporta i risultati dei one-sample t-test condotti confrontando l’accuratezza osservata con una probabilità teorica pari al 50%. I livelli di significatività statistica sono indicati come segue: p &lt; 0.05.</w:t>
      </w:r>
    </w:p>
    <w:p w14:paraId="69C027D3" w14:textId="77777777"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I risultati aggiornati evidenziano un quadro asimmetrico circa la capacità dei modelli di prevedere correttamente il segno del rendimento. In particolare, i segnali Long mostrano un hit ratio pari al 53.81</w:t>
      </w:r>
      <w:proofErr w:type="gramStart"/>
      <w:r w:rsidRPr="00D97E63">
        <w:rPr>
          <w:rFonts w:ascii="Times New Roman" w:hAnsi="Times New Roman" w:cs="Times New Roman"/>
          <w:sz w:val="24"/>
          <w:szCs w:val="24"/>
        </w:rPr>
        <w:t>% ,</w:t>
      </w:r>
      <w:proofErr w:type="gramEnd"/>
      <w:r w:rsidRPr="00D97E63">
        <w:rPr>
          <w:rFonts w:ascii="Times New Roman" w:hAnsi="Times New Roman" w:cs="Times New Roman"/>
          <w:sz w:val="24"/>
          <w:szCs w:val="24"/>
        </w:rPr>
        <w:t xml:space="preserve"> mentre i segnali Short si attestano al 51.79%. A differenza delle prime evidenze campionarie, l'accuratezza direzionale delle posizioni Long risulta ora statisticamente significativa (con un p-value pari a 0.046), rigettando l'ipotesi nulla di un processo puramente casuale. Al contrario, la capacità predittiva sui segnali Short mantiene un p-value di 0.354, confermandosi statisticamente indistinguibile dal caso.</w:t>
      </w:r>
    </w:p>
    <w:p w14:paraId="0B8B99ED" w14:textId="059CC1B6"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lastRenderedPageBreak/>
        <w:t xml:space="preserve"> Da un punto di vista economico, sebbene emerga un lieve ma statisticamente significativo vantaggio direzionale sui titoli Long, questa marcata asimmetria non fornisce evidenza sufficiente a dimostrare che i modelli linguistici siano in grado di estrarre, in modo sistematico e nel brevissimo termine, un'informazione predittiva concretamente sfruttabile dai dati pubblicamente disponibili. Sebbene le risposte generate appaiano frequentemente plausibili dal punto di vista narrativo e coerenti con il contesto macro-finanziario del momento, tale plausibilità linguistica non si traduce in una capacità robusta e generalizzata di anticipare il movimento dei prezzi in entrambe le direzioni.</w:t>
      </w:r>
    </w:p>
    <w:p w14:paraId="1F9D2865" w14:textId="77777777"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Questo risultato appare coerente con l’ipotesi di efficienza semi-forte dei mercati finanziari discussa nel Capitolo 2. In un contesto altamente liquido e caratterizzato da rapidissima incorporazione delle informazioni pubbliche nei prezzi, eventuali vantaggi derivanti dalla capacità di sintesi testuale degli LLMs tendono infatti a dissiparsi rapidamente.</w:t>
      </w:r>
    </w:p>
    <w:p w14:paraId="20011F17" w14:textId="77777777"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 xml:space="preserve">Dal punto di vista metodologico, è inoltre importante sottolineare che l’esperimento è stato condotto in ambiente rigorosamente out-of-sample e real-time. A differenza di numerosi studi recenti sugli LLMs applicati alla finanza, le previsioni non sono state generate retrospettivamente su dataset storici già consolidati, ma raccolte quotidianamente prima dell’apertura del mercato statunitense successivo. Tale impostazione riduce significativamente il rischio di overfitting implicito e contribuisce a rendere i risultati maggiormente rappresentativi di un contesto operativo realistico. </w:t>
      </w:r>
    </w:p>
    <w:p w14:paraId="38599003" w14:textId="4E9AB43B" w:rsidR="0022295B" w:rsidRPr="0022295B" w:rsidRDefault="0022295B" w:rsidP="0022295B">
      <w:pPr>
        <w:jc w:val="both"/>
        <w:rPr>
          <w:rFonts w:ascii="Times New Roman" w:hAnsi="Times New Roman" w:cs="Times New Roman"/>
          <w:b/>
          <w:bCs/>
          <w:sz w:val="24"/>
          <w:szCs w:val="24"/>
          <w:lang w:val="en-GB"/>
        </w:rPr>
      </w:pPr>
      <w:r w:rsidRPr="0022295B">
        <w:rPr>
          <w:rFonts w:ascii="Times New Roman" w:hAnsi="Times New Roman" w:cs="Times New Roman"/>
          <w:b/>
          <w:bCs/>
          <w:sz w:val="24"/>
          <w:szCs w:val="24"/>
          <w:lang w:val="en-GB"/>
        </w:rPr>
        <w:t>4.2.2 Market timing sull’indice S&amp;P 500</w:t>
      </w:r>
    </w:p>
    <w:p w14:paraId="5EF6827A" w14:textId="29560098"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Oltre allo stock picking sui singoli titoli, ai modelli linguistici è stato richiesto di prevedere la direzione giornaliera dell’indice S&amp;P 500. Questo task consente di valutare se gli LLMs siano maggiormente efficaci nell’interpretazione del sentiment macroeconomico aggregato rispetto alla previsione cross-sectional delle singole azioni</w:t>
      </w:r>
      <w:r w:rsidR="0022295B" w:rsidRPr="0022295B">
        <w:rPr>
          <w:rFonts w:ascii="Times New Roman" w:hAnsi="Times New Roman" w:cs="Times New Roman"/>
          <w:sz w:val="24"/>
          <w:szCs w:val="24"/>
        </w:rPr>
        <w:t>.</w:t>
      </w:r>
    </w:p>
    <w:p w14:paraId="31F875C9" w14:textId="2327D14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La Tabella </w:t>
      </w:r>
      <w:r w:rsidR="0024249D">
        <w:rPr>
          <w:rFonts w:ascii="Times New Roman" w:hAnsi="Times New Roman" w:cs="Times New Roman"/>
          <w:sz w:val="24"/>
          <w:szCs w:val="24"/>
        </w:rPr>
        <w:t>2</w:t>
      </w:r>
      <w:r w:rsidRPr="0022295B">
        <w:rPr>
          <w:rFonts w:ascii="Times New Roman" w:hAnsi="Times New Roman" w:cs="Times New Roman"/>
          <w:sz w:val="24"/>
          <w:szCs w:val="24"/>
        </w:rPr>
        <w:t xml:space="preserve"> riporta i risultati relativi all’accuratezza di market timing per ciascun modello.</w:t>
      </w:r>
    </w:p>
    <w:p w14:paraId="19171D42" w14:textId="1369E506" w:rsidR="0024249D" w:rsidRPr="0024249D" w:rsidRDefault="0024249D" w:rsidP="0024249D">
      <w:pPr>
        <w:pStyle w:val="Didascalia"/>
        <w:keepNext/>
        <w:rPr>
          <w:color w:val="auto"/>
        </w:rPr>
      </w:pPr>
      <w:r w:rsidRPr="0024249D">
        <w:rPr>
          <w:color w:val="auto"/>
        </w:rPr>
        <w:t xml:space="preserve">Tabella </w:t>
      </w:r>
      <w:r w:rsidRPr="0024249D">
        <w:rPr>
          <w:color w:val="auto"/>
        </w:rPr>
        <w:fldChar w:fldCharType="begin"/>
      </w:r>
      <w:r w:rsidRPr="0024249D">
        <w:rPr>
          <w:color w:val="auto"/>
        </w:rPr>
        <w:instrText xml:space="preserve"> SEQ Tabella \* ARABIC </w:instrText>
      </w:r>
      <w:r w:rsidRPr="0024249D">
        <w:rPr>
          <w:color w:val="auto"/>
        </w:rPr>
        <w:fldChar w:fldCharType="separate"/>
      </w:r>
      <w:r w:rsidR="00212089">
        <w:rPr>
          <w:noProof/>
          <w:color w:val="auto"/>
        </w:rPr>
        <w:t>2</w:t>
      </w:r>
      <w:r w:rsidRPr="0024249D">
        <w:rPr>
          <w:color w:val="auto"/>
        </w:rPr>
        <w:fldChar w:fldCharType="end"/>
      </w:r>
    </w:p>
    <w:p w14:paraId="355B84D2" w14:textId="7DD7667A" w:rsidR="0024249D" w:rsidRDefault="0024249D" w:rsidP="0024249D">
      <w:pPr>
        <w:jc w:val="both"/>
        <w:rPr>
          <w:rFonts w:ascii="Times New Roman" w:hAnsi="Times New Roman" w:cs="Times New Roman"/>
          <w:sz w:val="24"/>
          <w:szCs w:val="24"/>
        </w:rPr>
      </w:pPr>
      <w:r w:rsidRPr="0022295B">
        <w:rPr>
          <w:rFonts w:ascii="Times New Roman" w:hAnsi="Times New Roman" w:cs="Times New Roman"/>
          <w:sz w:val="24"/>
          <w:szCs w:val="24"/>
        </w:rPr>
        <w:t>Accuratezza di market timing sull’indice S&amp;P 500</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1056"/>
        <w:gridCol w:w="870"/>
        <w:gridCol w:w="1170"/>
        <w:gridCol w:w="2050"/>
      </w:tblGrid>
      <w:tr w:rsidR="00E70A7B" w:rsidRPr="00E70A7B" w14:paraId="62EBA7E5" w14:textId="77777777" w:rsidTr="00E70A7B">
        <w:tc>
          <w:tcPr>
            <w:tcW w:w="0" w:type="auto"/>
            <w:tcBorders>
              <w:top w:val="single" w:sz="4" w:space="0" w:color="auto"/>
              <w:bottom w:val="single" w:sz="4" w:space="0" w:color="auto"/>
            </w:tcBorders>
            <w:hideMark/>
          </w:tcPr>
          <w:p w14:paraId="78FCB165"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Modello</w:t>
            </w:r>
          </w:p>
        </w:tc>
        <w:tc>
          <w:tcPr>
            <w:tcW w:w="0" w:type="auto"/>
            <w:tcBorders>
              <w:top w:val="single" w:sz="4" w:space="0" w:color="auto"/>
              <w:bottom w:val="single" w:sz="4" w:space="0" w:color="auto"/>
            </w:tcBorders>
            <w:hideMark/>
          </w:tcPr>
          <w:p w14:paraId="112E5A8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Successi</w:t>
            </w:r>
          </w:p>
        </w:tc>
        <w:tc>
          <w:tcPr>
            <w:tcW w:w="0" w:type="auto"/>
            <w:tcBorders>
              <w:top w:val="single" w:sz="4" w:space="0" w:color="auto"/>
              <w:bottom w:val="single" w:sz="4" w:space="0" w:color="auto"/>
            </w:tcBorders>
            <w:hideMark/>
          </w:tcPr>
          <w:p w14:paraId="3A543ADF"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Totale</w:t>
            </w:r>
          </w:p>
        </w:tc>
        <w:tc>
          <w:tcPr>
            <w:tcW w:w="0" w:type="auto"/>
            <w:tcBorders>
              <w:top w:val="single" w:sz="4" w:space="0" w:color="auto"/>
              <w:bottom w:val="single" w:sz="4" w:space="0" w:color="auto"/>
            </w:tcBorders>
            <w:hideMark/>
          </w:tcPr>
          <w:p w14:paraId="4C635594"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Hit Ratio</w:t>
            </w:r>
          </w:p>
        </w:tc>
        <w:tc>
          <w:tcPr>
            <w:tcW w:w="0" w:type="auto"/>
            <w:tcBorders>
              <w:top w:val="single" w:sz="4" w:space="0" w:color="auto"/>
              <w:bottom w:val="single" w:sz="4" w:space="0" w:color="auto"/>
            </w:tcBorders>
            <w:hideMark/>
          </w:tcPr>
          <w:p w14:paraId="19D6DD11"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p-value binomiale</w:t>
            </w:r>
          </w:p>
        </w:tc>
      </w:tr>
      <w:tr w:rsidR="00E70A7B" w:rsidRPr="00E70A7B" w14:paraId="436B10F7" w14:textId="77777777" w:rsidTr="00E70A7B">
        <w:tc>
          <w:tcPr>
            <w:tcW w:w="0" w:type="auto"/>
            <w:tcBorders>
              <w:top w:val="single" w:sz="4" w:space="0" w:color="auto"/>
            </w:tcBorders>
            <w:hideMark/>
          </w:tcPr>
          <w:p w14:paraId="0594EA6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CGL</w:t>
            </w:r>
          </w:p>
        </w:tc>
        <w:tc>
          <w:tcPr>
            <w:tcW w:w="0" w:type="auto"/>
            <w:tcBorders>
              <w:top w:val="single" w:sz="4" w:space="0" w:color="auto"/>
            </w:tcBorders>
            <w:hideMark/>
          </w:tcPr>
          <w:p w14:paraId="3CF19F67"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39</w:t>
            </w:r>
          </w:p>
        </w:tc>
        <w:tc>
          <w:tcPr>
            <w:tcW w:w="0" w:type="auto"/>
            <w:tcBorders>
              <w:top w:val="single" w:sz="4" w:space="0" w:color="auto"/>
            </w:tcBorders>
            <w:hideMark/>
          </w:tcPr>
          <w:p w14:paraId="1C7D036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tcBorders>
              <w:top w:val="single" w:sz="4" w:space="0" w:color="auto"/>
            </w:tcBorders>
            <w:hideMark/>
          </w:tcPr>
          <w:p w14:paraId="02F8E0E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52.0%</w:t>
            </w:r>
          </w:p>
        </w:tc>
        <w:tc>
          <w:tcPr>
            <w:tcW w:w="0" w:type="auto"/>
            <w:tcBorders>
              <w:top w:val="single" w:sz="4" w:space="0" w:color="auto"/>
            </w:tcBorders>
            <w:hideMark/>
          </w:tcPr>
          <w:p w14:paraId="20D91799"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0.818</w:t>
            </w:r>
          </w:p>
        </w:tc>
      </w:tr>
      <w:tr w:rsidR="00E70A7B" w:rsidRPr="00E70A7B" w14:paraId="0F68CD4A" w14:textId="77777777" w:rsidTr="00E70A7B">
        <w:tc>
          <w:tcPr>
            <w:tcW w:w="0" w:type="auto"/>
            <w:hideMark/>
          </w:tcPr>
          <w:p w14:paraId="7D76B00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CGP</w:t>
            </w:r>
          </w:p>
        </w:tc>
        <w:tc>
          <w:tcPr>
            <w:tcW w:w="0" w:type="auto"/>
            <w:hideMark/>
          </w:tcPr>
          <w:p w14:paraId="4D4C6771"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40</w:t>
            </w:r>
          </w:p>
        </w:tc>
        <w:tc>
          <w:tcPr>
            <w:tcW w:w="0" w:type="auto"/>
            <w:hideMark/>
          </w:tcPr>
          <w:p w14:paraId="072944F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hideMark/>
          </w:tcPr>
          <w:p w14:paraId="5547E603"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53.3%</w:t>
            </w:r>
          </w:p>
        </w:tc>
        <w:tc>
          <w:tcPr>
            <w:tcW w:w="0" w:type="auto"/>
            <w:hideMark/>
          </w:tcPr>
          <w:p w14:paraId="424FEDF6"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0.644</w:t>
            </w:r>
          </w:p>
        </w:tc>
      </w:tr>
      <w:tr w:rsidR="00E70A7B" w:rsidRPr="00E70A7B" w14:paraId="7D9A2778" w14:textId="77777777" w:rsidTr="00E70A7B">
        <w:tc>
          <w:tcPr>
            <w:tcW w:w="0" w:type="auto"/>
            <w:hideMark/>
          </w:tcPr>
          <w:p w14:paraId="429837F8"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G</w:t>
            </w:r>
          </w:p>
        </w:tc>
        <w:tc>
          <w:tcPr>
            <w:tcW w:w="0" w:type="auto"/>
            <w:hideMark/>
          </w:tcPr>
          <w:p w14:paraId="64A805C0"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41</w:t>
            </w:r>
          </w:p>
        </w:tc>
        <w:tc>
          <w:tcPr>
            <w:tcW w:w="0" w:type="auto"/>
            <w:hideMark/>
          </w:tcPr>
          <w:p w14:paraId="1CF17CB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hideMark/>
          </w:tcPr>
          <w:p w14:paraId="774ACD93"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54.7%</w:t>
            </w:r>
          </w:p>
        </w:tc>
        <w:tc>
          <w:tcPr>
            <w:tcW w:w="0" w:type="auto"/>
            <w:hideMark/>
          </w:tcPr>
          <w:p w14:paraId="0BBD70B9"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0.489</w:t>
            </w:r>
          </w:p>
        </w:tc>
      </w:tr>
      <w:tr w:rsidR="00E70A7B" w:rsidRPr="00E70A7B" w14:paraId="1689DC45" w14:textId="77777777" w:rsidTr="00E70A7B">
        <w:tc>
          <w:tcPr>
            <w:tcW w:w="0" w:type="auto"/>
          </w:tcPr>
          <w:p w14:paraId="6B815AC0"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Pr>
          <w:p w14:paraId="5C835CFA"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Pr>
          <w:p w14:paraId="3692CBF2"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Pr>
          <w:p w14:paraId="38A6D6AF"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Pr>
          <w:p w14:paraId="7386D442"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r>
    </w:tbl>
    <w:p w14:paraId="797CB8FA"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i/>
          <w:iCs/>
          <w:sz w:val="24"/>
          <w:szCs w:val="24"/>
        </w:rPr>
        <w:t>Nota. I p-value sono ottenuti tramite test binomiale con probabilità teorica pari al 50%.</w:t>
      </w:r>
    </w:p>
    <w:p w14:paraId="79AE319C" w14:textId="1A953649" w:rsidR="00E70A7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 xml:space="preserve">La Tabella 2 riporta i risultati relativi all’accuratezza di market timing per ciascun modello, associando le frequenze di successo ai rispettivi p-value calcolati mediante test binomiale. Sebbene Gemini Pro mostri la percentuale di successo più elevata, pari al 54.7%, nessuno dei modelli raggiunge i livelli convenzionali di significatività statistica. </w:t>
      </w:r>
      <w:r>
        <w:rPr>
          <w:rFonts w:ascii="Times New Roman" w:hAnsi="Times New Roman" w:cs="Times New Roman"/>
          <w:sz w:val="24"/>
          <w:szCs w:val="24"/>
        </w:rPr>
        <w:t xml:space="preserve">Pertanto, </w:t>
      </w:r>
      <w:r w:rsidRPr="00E70A7B">
        <w:rPr>
          <w:rFonts w:ascii="Times New Roman" w:hAnsi="Times New Roman" w:cs="Times New Roman"/>
          <w:sz w:val="24"/>
          <w:szCs w:val="24"/>
        </w:rPr>
        <w:t xml:space="preserve">non emerge alcuna evidenza robusta di una capacità sistematica di market timing da parte delle architetture analizzate. </w:t>
      </w:r>
    </w:p>
    <w:p w14:paraId="30F782B3" w14:textId="77777777" w:rsidR="00E70A7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Tuttavia, i risultati continuano a suggerire alcune differenze qualitative interessanti tra i modelli. Sebbene Gemini Pro mostri il più elevato hit ratio nel task di market timing, le successive regressioni multifattoriali non evidenziano una sistematica esposizione statisticamente significativa al fattore momentum. Tale evidenza suggerisce che la relativa superiorità osservata nel market timing non possa essere ricondotta semplicemente a strategie implicitamente momentum-oriented.</w:t>
      </w:r>
    </w:p>
    <w:p w14:paraId="06BC37FB" w14:textId="09420A17"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lastRenderedPageBreak/>
        <w:t>Le versioni ChatGPT, al contrario, mostrano una maggiore instabilità cross-session e una più elevata dipendenza dal contesto operativo. Nel corso della raccolta dati sono infatti emersi numerosi episodi di divergenza tra versione loggata e non loggata dello stesso modello, nonché casi in cui differenti sessioni producevano previsioni opposte a fronte di prompt identici</w:t>
      </w:r>
      <w:r w:rsidR="0022295B">
        <w:rPr>
          <w:rStyle w:val="Rimandonotaapidipagina"/>
          <w:rFonts w:ascii="Times New Roman" w:hAnsi="Times New Roman" w:cs="Times New Roman"/>
          <w:sz w:val="24"/>
          <w:szCs w:val="24"/>
        </w:rPr>
        <w:footnoteReference w:id="3"/>
      </w:r>
      <w:r w:rsidR="0022295B" w:rsidRPr="0022295B">
        <w:rPr>
          <w:rFonts w:ascii="Times New Roman" w:hAnsi="Times New Roman" w:cs="Times New Roman"/>
          <w:sz w:val="24"/>
          <w:szCs w:val="24"/>
        </w:rPr>
        <w:t>.</w:t>
      </w:r>
    </w:p>
    <w:p w14:paraId="7DBC49DC" w14:textId="359C0387"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Nel complesso, l’evidenza empirica presentata in questa sezione conferma che i modelli linguistici analizzati non siano in grado di prevedere con accuratezza statisticamente significativa la direzione dei rendimenti azionari o dell’indice di mercato nel brevissimo termine. Sebbene alcuni modelli mostrino occasionalmente performance superiori al benchmark casuale, tali risultati appaiono fragili, instabili e non sufficienti a supportare l’esistenza di una reale capacità predittiva sistematica.</w:t>
      </w:r>
    </w:p>
    <w:p w14:paraId="74EF2F78" w14:textId="77777777" w:rsidR="000B1B45" w:rsidRPr="000B1B45" w:rsidRDefault="000B1B45" w:rsidP="000B1B45">
      <w:pPr>
        <w:jc w:val="both"/>
        <w:rPr>
          <w:rFonts w:ascii="Times New Roman" w:hAnsi="Times New Roman" w:cs="Times New Roman"/>
          <w:b/>
          <w:bCs/>
          <w:sz w:val="24"/>
          <w:szCs w:val="24"/>
          <w:lang w:val="en-GB"/>
        </w:rPr>
      </w:pPr>
      <w:r w:rsidRPr="000B1B45">
        <w:rPr>
          <w:rFonts w:ascii="Times New Roman" w:hAnsi="Times New Roman" w:cs="Times New Roman"/>
          <w:b/>
          <w:bCs/>
          <w:sz w:val="24"/>
          <w:szCs w:val="24"/>
          <w:lang w:val="en-GB"/>
        </w:rPr>
        <w:t>4.3 Portfolio Performance e Risk-Adjusted Returns</w:t>
      </w:r>
    </w:p>
    <w:p w14:paraId="16FD147E"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L’analisi dell’accuratezza direzionale, pur utile per valutare la coerenza dei segnali generati dai modelli linguistici, non consente di determinare se tali previsioni siano effettivamente traducibili in strategie economicamente profittevoli. Per questa ragione, il presente paragrafo esamina le performance dei portafogli costruiti a partire dai segnali Long generati dagli LLMs, valutandone sia i rendimenti grezzi sia le performance corrette per il rischio.</w:t>
      </w:r>
    </w:p>
    <w:p w14:paraId="0607F008"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Come illustrato nel Capitolo 3, sono stati implementati tre differenti schemi di ponderazione:</w:t>
      </w:r>
    </w:p>
    <w:p w14:paraId="7990169B"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equally weighted (EW);</w:t>
      </w:r>
    </w:p>
    <w:p w14:paraId="27C01EE3"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signal weighted (SW);</w:t>
      </w:r>
    </w:p>
    <w:p w14:paraId="106DB792"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value weighted (VW).</w:t>
      </w:r>
    </w:p>
    <w:p w14:paraId="5C280BFE"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L’obiettivo è verificare se differenti modalità di allocazione del capitale possano influenzare la capacità dei segnali generati dagli LLMs di produrre rendimenti economicamente significativi.</w:t>
      </w:r>
    </w:p>
    <w:p w14:paraId="0760F2B5" w14:textId="77777777" w:rsidR="000B1B45" w:rsidRPr="000B1B45" w:rsidRDefault="000B1B45" w:rsidP="000B1B45">
      <w:pPr>
        <w:jc w:val="both"/>
        <w:rPr>
          <w:rFonts w:ascii="Times New Roman" w:hAnsi="Times New Roman" w:cs="Times New Roman"/>
          <w:b/>
          <w:bCs/>
          <w:sz w:val="24"/>
          <w:szCs w:val="24"/>
        </w:rPr>
      </w:pPr>
      <w:r w:rsidRPr="000B1B45">
        <w:rPr>
          <w:rFonts w:ascii="Times New Roman" w:hAnsi="Times New Roman" w:cs="Times New Roman"/>
          <w:b/>
          <w:bCs/>
          <w:sz w:val="24"/>
          <w:szCs w:val="24"/>
        </w:rPr>
        <w:t>4.3.1 Performance cumulative dei portafogli</w:t>
      </w:r>
    </w:p>
    <w:p w14:paraId="47CC36ED" w14:textId="78C4F53C" w:rsidR="00E70A7B" w:rsidRDefault="00E70A7B" w:rsidP="00E70A7B">
      <w:pPr>
        <w:keepNext/>
        <w:jc w:val="both"/>
      </w:pPr>
      <w:r w:rsidRPr="00E70A7B">
        <w:rPr>
          <w:rFonts w:ascii="Times New Roman" w:hAnsi="Times New Roman" w:cs="Times New Roman"/>
          <w:sz w:val="24"/>
          <w:szCs w:val="24"/>
        </w:rPr>
        <w:t>La Figura 1 riporta l’andamento dei cumulative returns per i tre schemi di ponderazione considerati lungo l'intero orizzonte campionario</w:t>
      </w:r>
    </w:p>
    <w:p w14:paraId="0E0C7FDA" w14:textId="76C611E0" w:rsidR="00E70A7B" w:rsidRPr="00BF04E8" w:rsidRDefault="00E70A7B" w:rsidP="003F1C17">
      <w:pPr>
        <w:pStyle w:val="Didascalia"/>
        <w:jc w:val="both"/>
        <w:rPr>
          <w:lang w:val="en-GB"/>
        </w:rPr>
      </w:pPr>
      <w:r w:rsidRPr="00BF04E8">
        <w:rPr>
          <w:lang w:val="en-GB"/>
        </w:rPr>
        <w:t xml:space="preserve">Figura </w:t>
      </w:r>
      <w:r w:rsidR="00D157D3">
        <w:rPr>
          <w:lang w:val="en-GB"/>
        </w:rPr>
        <w:fldChar w:fldCharType="begin"/>
      </w:r>
      <w:r w:rsidR="00D157D3">
        <w:rPr>
          <w:lang w:val="en-GB"/>
        </w:rPr>
        <w:instrText xml:space="preserve"> SEQ Figura \* ARABIC </w:instrText>
      </w:r>
      <w:r w:rsidR="00D157D3">
        <w:rPr>
          <w:lang w:val="en-GB"/>
        </w:rPr>
        <w:fldChar w:fldCharType="separate"/>
      </w:r>
      <w:r w:rsidR="00D157D3">
        <w:rPr>
          <w:noProof/>
          <w:lang w:val="en-GB"/>
        </w:rPr>
        <w:t>1</w:t>
      </w:r>
      <w:r w:rsidR="00D157D3">
        <w:rPr>
          <w:lang w:val="en-GB"/>
        </w:rPr>
        <w:fldChar w:fldCharType="end"/>
      </w:r>
    </w:p>
    <w:p w14:paraId="70CAD021" w14:textId="77777777" w:rsidR="00E70A7B" w:rsidRPr="00E70A7B" w:rsidRDefault="00E70A7B" w:rsidP="003F1C17">
      <w:pPr>
        <w:jc w:val="both"/>
        <w:rPr>
          <w:rFonts w:ascii="Times New Roman" w:hAnsi="Times New Roman" w:cs="Times New Roman"/>
          <w:sz w:val="24"/>
          <w:szCs w:val="24"/>
          <w:lang w:val="en-GB"/>
        </w:rPr>
      </w:pPr>
      <w:r w:rsidRPr="000B1B45">
        <w:rPr>
          <w:rFonts w:ascii="Times New Roman" w:hAnsi="Times New Roman" w:cs="Times New Roman"/>
          <w:sz w:val="24"/>
          <w:szCs w:val="24"/>
          <w:lang w:val="en-GB"/>
        </w:rPr>
        <w:t>Cumulative Returns by Portfolio Type</w:t>
      </w:r>
    </w:p>
    <w:p w14:paraId="56F78589" w14:textId="77777777" w:rsidR="00E70A7B" w:rsidRPr="00BF04E8" w:rsidRDefault="00E70A7B" w:rsidP="003F1C17">
      <w:pPr>
        <w:jc w:val="center"/>
        <w:rPr>
          <w:lang w:val="en-GB"/>
        </w:rPr>
      </w:pPr>
    </w:p>
    <w:p w14:paraId="3913197A" w14:textId="4752490C" w:rsidR="00E70A7B" w:rsidRPr="00E70A7B" w:rsidRDefault="00E70A7B" w:rsidP="00E70A7B">
      <w:pPr>
        <w:jc w:val="center"/>
      </w:pPr>
      <w:r>
        <w:rPr>
          <w:noProof/>
        </w:rPr>
        <w:lastRenderedPageBreak/>
        <w:drawing>
          <wp:inline distT="0" distB="0" distL="0" distR="0" wp14:anchorId="29D536A9" wp14:editId="104FD2BD">
            <wp:extent cx="4238625" cy="2858761"/>
            <wp:effectExtent l="0" t="0" r="0" b="0"/>
            <wp:docPr id="16156818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4077" cy="2862438"/>
                    </a:xfrm>
                    <a:prstGeom prst="rect">
                      <a:avLst/>
                    </a:prstGeom>
                    <a:noFill/>
                    <a:ln>
                      <a:noFill/>
                    </a:ln>
                  </pic:spPr>
                </pic:pic>
              </a:graphicData>
            </a:graphic>
          </wp:inline>
        </w:drawing>
      </w:r>
    </w:p>
    <w:p w14:paraId="5EC8F99A" w14:textId="38B85B71"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t xml:space="preserve">Nota. La figura mostra l’andamento cumulato dei portafogli EW, SW e VW costruiti utilizzando i segnali generati dai modelli linguistici nel periodo campionario 5 febbraio 2026 – </w:t>
      </w:r>
      <w:r w:rsidR="00E70A7B">
        <w:rPr>
          <w:rFonts w:ascii="Times New Roman" w:hAnsi="Times New Roman" w:cs="Times New Roman"/>
          <w:i/>
          <w:iCs/>
          <w:sz w:val="24"/>
          <w:szCs w:val="24"/>
        </w:rPr>
        <w:t>22</w:t>
      </w:r>
      <w:r w:rsidRPr="000B1B45">
        <w:rPr>
          <w:rFonts w:ascii="Times New Roman" w:hAnsi="Times New Roman" w:cs="Times New Roman"/>
          <w:i/>
          <w:iCs/>
          <w:sz w:val="24"/>
          <w:szCs w:val="24"/>
        </w:rPr>
        <w:t xml:space="preserve"> maggio 2026.</w:t>
      </w:r>
    </w:p>
    <w:p w14:paraId="0DA14467" w14:textId="77777777" w:rsidR="00C74CBA" w:rsidRDefault="00C74CBA" w:rsidP="000B1B45">
      <w:pPr>
        <w:jc w:val="both"/>
        <w:rPr>
          <w:rFonts w:ascii="Times New Roman" w:hAnsi="Times New Roman" w:cs="Times New Roman"/>
          <w:sz w:val="24"/>
          <w:szCs w:val="24"/>
        </w:rPr>
      </w:pPr>
      <w:r w:rsidRPr="00C74CBA">
        <w:rPr>
          <w:rFonts w:ascii="Times New Roman" w:hAnsi="Times New Roman" w:cs="Times New Roman"/>
          <w:sz w:val="24"/>
          <w:szCs w:val="24"/>
        </w:rPr>
        <w:t xml:space="preserve">L’evidenza grafica mostra una marcata eterogeneità cross-model. In particolare, si osserva un comportamento fortemente differenziato tra le architetture a seconda dello schema di ponderazione adottato. Nelle configurazioni equally weighted e signal weighted, ChatGPT versione non loggata (CGP) e Gemini Pro (G) registrano le performance cumulative più elevate, mentre ChatGPT versione loggata (CGL) mostra i risultati più contenuti, pur mantenendo un rendimento positivo lungo l'orizzonte considerato. Di contro, nello schema value-weighted, Gemini Pro (G) esprime il rendimento più elevato, seguito da ChatGPT versione loggata (CGL), laddove la versione non loggata (CGP) subisce un marcato ridimensionamento delle performance cumulative. </w:t>
      </w:r>
    </w:p>
    <w:p w14:paraId="20A6FDE5" w14:textId="77777777" w:rsidR="00C74CBA" w:rsidRDefault="00C74CBA" w:rsidP="000B1B45">
      <w:pPr>
        <w:jc w:val="both"/>
        <w:rPr>
          <w:rFonts w:ascii="Times New Roman" w:hAnsi="Times New Roman" w:cs="Times New Roman"/>
          <w:sz w:val="24"/>
          <w:szCs w:val="24"/>
        </w:rPr>
      </w:pPr>
      <w:r w:rsidRPr="00C74CBA">
        <w:rPr>
          <w:rFonts w:ascii="Times New Roman" w:hAnsi="Times New Roman" w:cs="Times New Roman"/>
          <w:sz w:val="24"/>
          <w:szCs w:val="24"/>
        </w:rPr>
        <w:t>Il risultato economicamente più rilevante in termini assoluti emerge nel caso del portafoglio equally weighted costruito sui segnali di ChatGPT versione non loggata (CGP), che raggiunge un cumulative return pari al 25.4%, seguito a brevissima distanza dalla medesima configurazione applicata a Gemini Pro (G), la quale si attesta al 25.0%. Nell'ambito dello schema value-weighted, il ritorno più significativo è invece quello espresso da Gemini Pro (G), pari al 20.7%.</w:t>
      </w:r>
    </w:p>
    <w:p w14:paraId="5AF55326" w14:textId="77777777" w:rsidR="00C74CBA" w:rsidRPr="00C74CBA" w:rsidRDefault="00C74CBA" w:rsidP="00C74CBA">
      <w:pPr>
        <w:jc w:val="both"/>
        <w:rPr>
          <w:rFonts w:ascii="Times New Roman" w:hAnsi="Times New Roman" w:cs="Times New Roman"/>
          <w:sz w:val="24"/>
          <w:szCs w:val="24"/>
        </w:rPr>
      </w:pPr>
      <w:r w:rsidRPr="00C74CBA">
        <w:rPr>
          <w:rFonts w:ascii="Times New Roman" w:hAnsi="Times New Roman" w:cs="Times New Roman"/>
          <w:sz w:val="24"/>
          <w:szCs w:val="24"/>
        </w:rPr>
        <w:t>Tuttavia, tali risultati devono essere interpretati con cautela per almeno tre ragioni. In primo luogo, il periodo campionario risulta relativamente limitato, aumentando il rischio che parte della performance osservata rifletta componenti casuali o condizioni di mercato particolarmente favorevoli. In secondo luogo, le performance positive mostrano un'elevata asimmetria e non risultano replicate con continuità o uniformità al variare dei criteri di ponderazione o tra i diversi modelli alternativi. Infine, come verrà mostrato nelle successive regressioni multifattoriali, gran parte della performance osservata sembra spiegata da esposizioni sistematiche ai fattori di rischio piuttosto che da reale capacità di stock selection.</w:t>
      </w:r>
    </w:p>
    <w:p w14:paraId="1083AF6D" w14:textId="77777777" w:rsidR="00C74CBA" w:rsidRPr="00C74CBA" w:rsidRDefault="00C74CBA" w:rsidP="00C74CBA">
      <w:pPr>
        <w:jc w:val="both"/>
        <w:rPr>
          <w:rFonts w:ascii="Times New Roman" w:hAnsi="Times New Roman" w:cs="Times New Roman"/>
          <w:sz w:val="24"/>
          <w:szCs w:val="24"/>
        </w:rPr>
      </w:pPr>
      <w:r w:rsidRPr="00C74CBA">
        <w:rPr>
          <w:rFonts w:ascii="Times New Roman" w:hAnsi="Times New Roman" w:cs="Times New Roman"/>
          <w:sz w:val="24"/>
          <w:szCs w:val="24"/>
        </w:rPr>
        <w:t>Particolarmente interessante è inoltre il confronto tra gli schemi di ponderazione. I portafogli equally weighted mostrano performance superiori per Gemini Pro (G) e per la versione non loggata di ChatGPT (CGP), mentre lo schema value-weighted risulta premiante principalmente per la configurazione loggata di ChatGPT (CGL). Tale evidenza suggerisce che l'efficacia dei criteri di allocazione del capitale non sia univoca, confermando come il vantaggio associato a uno specifico schema di ponderazione appaia instabile e strettamente dipendente dall'architettura del modello utilizzato.</w:t>
      </w:r>
    </w:p>
    <w:p w14:paraId="0FBE9CB1" w14:textId="77777777" w:rsidR="000B1B45" w:rsidRPr="000B1B45" w:rsidRDefault="000B1B45" w:rsidP="000B1B45">
      <w:pPr>
        <w:jc w:val="both"/>
        <w:rPr>
          <w:rFonts w:ascii="Times New Roman" w:hAnsi="Times New Roman" w:cs="Times New Roman"/>
          <w:b/>
          <w:bCs/>
          <w:sz w:val="24"/>
          <w:szCs w:val="24"/>
        </w:rPr>
      </w:pPr>
      <w:r w:rsidRPr="000B1B45">
        <w:rPr>
          <w:rFonts w:ascii="Times New Roman" w:hAnsi="Times New Roman" w:cs="Times New Roman"/>
          <w:b/>
          <w:bCs/>
          <w:sz w:val="24"/>
          <w:szCs w:val="24"/>
        </w:rPr>
        <w:lastRenderedPageBreak/>
        <w:t>4.3.2 Statistiche descrittive dei rendimenti</w:t>
      </w:r>
    </w:p>
    <w:p w14:paraId="1E8DEF85" w14:textId="307AF665"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 xml:space="preserve">La Tabella </w:t>
      </w:r>
      <w:r w:rsidR="003F1C17">
        <w:rPr>
          <w:rFonts w:ascii="Times New Roman" w:hAnsi="Times New Roman" w:cs="Times New Roman"/>
          <w:sz w:val="24"/>
          <w:szCs w:val="24"/>
        </w:rPr>
        <w:t>3</w:t>
      </w:r>
      <w:r w:rsidRPr="000B1B45">
        <w:rPr>
          <w:rFonts w:ascii="Times New Roman" w:hAnsi="Times New Roman" w:cs="Times New Roman"/>
          <w:sz w:val="24"/>
          <w:szCs w:val="24"/>
        </w:rPr>
        <w:t xml:space="preserve"> riporta le principali statistiche descrittive dei rendimenti giornalieri dei portafogli costruiti mediante i tre differenti schemi di ponderazione.</w:t>
      </w:r>
    </w:p>
    <w:p w14:paraId="462A8427" w14:textId="7840BBFB"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Statistiche descrittive dei rendimenti dei portafogli</w:t>
      </w:r>
    </w:p>
    <w:p w14:paraId="2D54FDA0" w14:textId="02CAE66F" w:rsidR="000B1B45" w:rsidRPr="000B1B45" w:rsidRDefault="000B1B45" w:rsidP="000B1B45">
      <w:pPr>
        <w:pStyle w:val="Didascalia"/>
        <w:keepNext/>
        <w:rPr>
          <w:color w:val="auto"/>
        </w:rPr>
      </w:pPr>
      <w:r w:rsidRPr="000B1B45">
        <w:rPr>
          <w:color w:val="auto"/>
        </w:rPr>
        <w:t xml:space="preserve">Tabella </w:t>
      </w:r>
      <w:r w:rsidRPr="000B1B45">
        <w:rPr>
          <w:color w:val="auto"/>
        </w:rPr>
        <w:fldChar w:fldCharType="begin"/>
      </w:r>
      <w:r w:rsidRPr="000B1B45">
        <w:rPr>
          <w:color w:val="auto"/>
        </w:rPr>
        <w:instrText xml:space="preserve"> SEQ Tabella \* ARABIC </w:instrText>
      </w:r>
      <w:r w:rsidRPr="000B1B45">
        <w:rPr>
          <w:color w:val="auto"/>
        </w:rPr>
        <w:fldChar w:fldCharType="separate"/>
      </w:r>
      <w:r w:rsidR="00212089">
        <w:rPr>
          <w:noProof/>
          <w:color w:val="auto"/>
        </w:rPr>
        <w:t>3</w:t>
      </w:r>
      <w:r w:rsidRPr="000B1B45">
        <w:rPr>
          <w:color w:val="auto"/>
        </w:rPr>
        <w:fldChar w:fldCharType="end"/>
      </w:r>
    </w:p>
    <w:p w14:paraId="71B22A10" w14:textId="784B54E8" w:rsidR="000B1B45" w:rsidRPr="00BF04E8" w:rsidRDefault="000B1B45" w:rsidP="003F1C17">
      <w:pPr>
        <w:jc w:val="both"/>
        <w:rPr>
          <w:rFonts w:ascii="Times New Roman" w:hAnsi="Times New Roman" w:cs="Times New Roman"/>
          <w:sz w:val="24"/>
          <w:szCs w:val="24"/>
        </w:rPr>
      </w:pPr>
      <w:r w:rsidRPr="00BF04E8">
        <w:rPr>
          <w:rFonts w:ascii="Times New Roman" w:hAnsi="Times New Roman" w:cs="Times New Roman"/>
          <w:sz w:val="24"/>
          <w:szCs w:val="24"/>
        </w:rPr>
        <w:t>Statistiche descrittive dei rendimenti dei portafogli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14"/>
        <w:gridCol w:w="1440"/>
        <w:gridCol w:w="987"/>
        <w:gridCol w:w="1034"/>
        <w:gridCol w:w="956"/>
      </w:tblGrid>
      <w:tr w:rsidR="00BF04E8" w:rsidRPr="00BF04E8" w14:paraId="23F6DCE3" w14:textId="77777777" w:rsidTr="00BF04E8">
        <w:trPr>
          <w:tblHeader/>
          <w:tblCellSpacing w:w="15" w:type="dxa"/>
        </w:trPr>
        <w:tc>
          <w:tcPr>
            <w:tcW w:w="0" w:type="auto"/>
            <w:tcBorders>
              <w:top w:val="single" w:sz="4" w:space="0" w:color="auto"/>
              <w:bottom w:val="single" w:sz="4" w:space="0" w:color="auto"/>
            </w:tcBorders>
            <w:vAlign w:val="center"/>
            <w:hideMark/>
          </w:tcPr>
          <w:p w14:paraId="2DE336C8"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00B96CC1"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648DE747"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32EE6D5B"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Std. Dev.</w:t>
            </w:r>
          </w:p>
        </w:tc>
        <w:tc>
          <w:tcPr>
            <w:tcW w:w="0" w:type="auto"/>
            <w:tcBorders>
              <w:top w:val="single" w:sz="4" w:space="0" w:color="auto"/>
              <w:bottom w:val="single" w:sz="4" w:space="0" w:color="auto"/>
            </w:tcBorders>
            <w:vAlign w:val="center"/>
            <w:hideMark/>
          </w:tcPr>
          <w:p w14:paraId="7FE603D6"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Skewness</w:t>
            </w:r>
          </w:p>
        </w:tc>
        <w:tc>
          <w:tcPr>
            <w:tcW w:w="0" w:type="auto"/>
            <w:tcBorders>
              <w:top w:val="single" w:sz="4" w:space="0" w:color="auto"/>
              <w:bottom w:val="single" w:sz="4" w:space="0" w:color="auto"/>
            </w:tcBorders>
            <w:vAlign w:val="center"/>
            <w:hideMark/>
          </w:tcPr>
          <w:p w14:paraId="362E2965"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Kurtosis</w:t>
            </w:r>
          </w:p>
        </w:tc>
      </w:tr>
      <w:tr w:rsidR="00BF04E8" w:rsidRPr="00BF04E8" w14:paraId="5AFDC454" w14:textId="77777777">
        <w:trPr>
          <w:tblCellSpacing w:w="15" w:type="dxa"/>
        </w:trPr>
        <w:tc>
          <w:tcPr>
            <w:tcW w:w="0" w:type="auto"/>
            <w:vAlign w:val="center"/>
            <w:hideMark/>
          </w:tcPr>
          <w:p w14:paraId="5084B81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E97637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60CE76A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6BABFDD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0.0177</w:t>
            </w:r>
          </w:p>
        </w:tc>
        <w:tc>
          <w:tcPr>
            <w:tcW w:w="0" w:type="auto"/>
            <w:vAlign w:val="center"/>
            <w:hideMark/>
          </w:tcPr>
          <w:p w14:paraId="40366BB6"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0.263</w:t>
            </w:r>
          </w:p>
        </w:tc>
        <w:tc>
          <w:tcPr>
            <w:tcW w:w="0" w:type="auto"/>
            <w:vAlign w:val="center"/>
            <w:hideMark/>
          </w:tcPr>
          <w:p w14:paraId="02CF04F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0.086</w:t>
            </w:r>
          </w:p>
        </w:tc>
      </w:tr>
      <w:tr w:rsidR="00BF04E8" w:rsidRPr="00BF04E8" w14:paraId="172EE09D" w14:textId="77777777">
        <w:trPr>
          <w:tblCellSpacing w:w="15" w:type="dxa"/>
        </w:trPr>
        <w:tc>
          <w:tcPr>
            <w:tcW w:w="0" w:type="auto"/>
            <w:vAlign w:val="center"/>
            <w:hideMark/>
          </w:tcPr>
          <w:p w14:paraId="5461B37E"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432FC59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1ABCCD8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5825CEC5"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0.0189</w:t>
            </w:r>
          </w:p>
        </w:tc>
        <w:tc>
          <w:tcPr>
            <w:tcW w:w="0" w:type="auto"/>
            <w:vAlign w:val="center"/>
            <w:hideMark/>
          </w:tcPr>
          <w:p w14:paraId="3D7A38C7"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0.345</w:t>
            </w:r>
          </w:p>
        </w:tc>
        <w:tc>
          <w:tcPr>
            <w:tcW w:w="0" w:type="auto"/>
            <w:vAlign w:val="center"/>
            <w:hideMark/>
          </w:tcPr>
          <w:p w14:paraId="14E102A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0.240</w:t>
            </w:r>
          </w:p>
        </w:tc>
      </w:tr>
      <w:tr w:rsidR="00BF04E8" w:rsidRPr="00BF04E8" w14:paraId="6E27EDA1" w14:textId="77777777">
        <w:trPr>
          <w:tblCellSpacing w:w="15" w:type="dxa"/>
        </w:trPr>
        <w:tc>
          <w:tcPr>
            <w:tcW w:w="0" w:type="auto"/>
            <w:vAlign w:val="center"/>
            <w:hideMark/>
          </w:tcPr>
          <w:p w14:paraId="7C6B9FC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47DC9C35"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vAlign w:val="center"/>
            <w:hideMark/>
          </w:tcPr>
          <w:p w14:paraId="7561891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39D4865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0.0164</w:t>
            </w:r>
          </w:p>
        </w:tc>
        <w:tc>
          <w:tcPr>
            <w:tcW w:w="0" w:type="auto"/>
            <w:vAlign w:val="center"/>
            <w:hideMark/>
          </w:tcPr>
          <w:p w14:paraId="29330CA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0.599</w:t>
            </w:r>
          </w:p>
        </w:tc>
        <w:tc>
          <w:tcPr>
            <w:tcW w:w="0" w:type="auto"/>
            <w:vAlign w:val="center"/>
            <w:hideMark/>
          </w:tcPr>
          <w:p w14:paraId="26783F7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0.454</w:t>
            </w:r>
          </w:p>
        </w:tc>
      </w:tr>
      <w:tr w:rsidR="00BF04E8" w:rsidRPr="00BF04E8" w14:paraId="511626EA" w14:textId="77777777">
        <w:trPr>
          <w:tblCellSpacing w:w="15" w:type="dxa"/>
        </w:trPr>
        <w:tc>
          <w:tcPr>
            <w:tcW w:w="0" w:type="auto"/>
            <w:vAlign w:val="center"/>
            <w:hideMark/>
          </w:tcPr>
          <w:p w14:paraId="0CD4302E"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348FD66"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622DFDB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196BDA4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59A2C757" w14:textId="07F9EC55"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0.032</w:t>
            </w:r>
            <w:r w:rsidR="00BD3852">
              <w:rPr>
                <w:rFonts w:ascii="Times New Roman" w:eastAsia="Times New Roman" w:hAnsi="Times New Roman" w:cs="Times New Roman"/>
                <w:kern w:val="0"/>
                <w:sz w:val="24"/>
                <w:szCs w:val="24"/>
                <w:lang w:eastAsia="it-IT"/>
                <w14:ligatures w14:val="none"/>
              </w:rPr>
              <w:t>1</w:t>
            </w:r>
          </w:p>
        </w:tc>
        <w:tc>
          <w:tcPr>
            <w:tcW w:w="0" w:type="auto"/>
            <w:vAlign w:val="center"/>
            <w:hideMark/>
          </w:tcPr>
          <w:p w14:paraId="54C628C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-0.273</w:t>
            </w:r>
          </w:p>
        </w:tc>
      </w:tr>
      <w:tr w:rsidR="00BF04E8" w:rsidRPr="00BF04E8" w14:paraId="313841B0" w14:textId="77777777">
        <w:trPr>
          <w:tblCellSpacing w:w="15" w:type="dxa"/>
        </w:trPr>
        <w:tc>
          <w:tcPr>
            <w:tcW w:w="0" w:type="auto"/>
            <w:vAlign w:val="center"/>
            <w:hideMark/>
          </w:tcPr>
          <w:p w14:paraId="59DFBEB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77A3646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525027B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6810CFB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67FE058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0.145</w:t>
            </w:r>
          </w:p>
        </w:tc>
        <w:tc>
          <w:tcPr>
            <w:tcW w:w="0" w:type="auto"/>
            <w:vAlign w:val="center"/>
            <w:hideMark/>
          </w:tcPr>
          <w:p w14:paraId="17263E7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-0.210</w:t>
            </w:r>
          </w:p>
        </w:tc>
      </w:tr>
      <w:tr w:rsidR="00BF04E8" w:rsidRPr="00BF04E8" w14:paraId="01A8FF7D" w14:textId="77777777">
        <w:trPr>
          <w:tblCellSpacing w:w="15" w:type="dxa"/>
        </w:trPr>
        <w:tc>
          <w:tcPr>
            <w:tcW w:w="0" w:type="auto"/>
            <w:vAlign w:val="center"/>
            <w:hideMark/>
          </w:tcPr>
          <w:p w14:paraId="563CD59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76DA640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33C7BD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3268E25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7CBF222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0.668</w:t>
            </w:r>
          </w:p>
        </w:tc>
        <w:tc>
          <w:tcPr>
            <w:tcW w:w="0" w:type="auto"/>
            <w:vAlign w:val="center"/>
            <w:hideMark/>
          </w:tcPr>
          <w:p w14:paraId="4B8D2A9F" w14:textId="2D3858AD"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1.04</w:t>
            </w:r>
          </w:p>
        </w:tc>
      </w:tr>
      <w:tr w:rsidR="00BF04E8" w:rsidRPr="00BF04E8" w14:paraId="38249665" w14:textId="77777777">
        <w:trPr>
          <w:tblCellSpacing w:w="15" w:type="dxa"/>
        </w:trPr>
        <w:tc>
          <w:tcPr>
            <w:tcW w:w="0" w:type="auto"/>
            <w:vAlign w:val="center"/>
            <w:hideMark/>
          </w:tcPr>
          <w:p w14:paraId="4B5E1D3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74930F9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48CAB00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22D107F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0.0192</w:t>
            </w:r>
          </w:p>
        </w:tc>
        <w:tc>
          <w:tcPr>
            <w:tcW w:w="0" w:type="auto"/>
            <w:vAlign w:val="center"/>
            <w:hideMark/>
          </w:tcPr>
          <w:p w14:paraId="482A6FE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0.587</w:t>
            </w:r>
          </w:p>
        </w:tc>
        <w:tc>
          <w:tcPr>
            <w:tcW w:w="0" w:type="auto"/>
            <w:vAlign w:val="center"/>
            <w:hideMark/>
          </w:tcPr>
          <w:p w14:paraId="1F1307F2" w14:textId="1271A7A0"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1.10</w:t>
            </w:r>
          </w:p>
        </w:tc>
      </w:tr>
      <w:tr w:rsidR="00BF04E8" w:rsidRPr="00BF04E8" w14:paraId="3887F5F3" w14:textId="77777777">
        <w:trPr>
          <w:tblCellSpacing w:w="15" w:type="dxa"/>
        </w:trPr>
        <w:tc>
          <w:tcPr>
            <w:tcW w:w="0" w:type="auto"/>
            <w:vAlign w:val="center"/>
            <w:hideMark/>
          </w:tcPr>
          <w:p w14:paraId="6EAA857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1ECF323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0DC58DB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6ED99DD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2D89E39B" w14:textId="19EC1F18"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0.087</w:t>
            </w:r>
            <w:r w:rsidR="00BD3852">
              <w:rPr>
                <w:rFonts w:ascii="Times New Roman" w:eastAsia="Times New Roman" w:hAnsi="Times New Roman" w:cs="Times New Roman"/>
                <w:kern w:val="0"/>
                <w:sz w:val="24"/>
                <w:szCs w:val="24"/>
                <w:lang w:eastAsia="it-IT"/>
                <w14:ligatures w14:val="none"/>
              </w:rPr>
              <w:t>4</w:t>
            </w:r>
          </w:p>
        </w:tc>
        <w:tc>
          <w:tcPr>
            <w:tcW w:w="0" w:type="auto"/>
            <w:vAlign w:val="center"/>
            <w:hideMark/>
          </w:tcPr>
          <w:p w14:paraId="1DED6D5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-0.503</w:t>
            </w:r>
          </w:p>
        </w:tc>
      </w:tr>
      <w:tr w:rsidR="00BF04E8" w:rsidRPr="00BF04E8" w14:paraId="47A013C9" w14:textId="77777777">
        <w:trPr>
          <w:tblCellSpacing w:w="15" w:type="dxa"/>
        </w:trPr>
        <w:tc>
          <w:tcPr>
            <w:tcW w:w="0" w:type="auto"/>
            <w:vAlign w:val="center"/>
            <w:hideMark/>
          </w:tcPr>
          <w:p w14:paraId="52F33B3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5833F2A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vAlign w:val="center"/>
            <w:hideMark/>
          </w:tcPr>
          <w:p w14:paraId="5BF05DD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0.00272</w:t>
            </w:r>
          </w:p>
        </w:tc>
        <w:tc>
          <w:tcPr>
            <w:tcW w:w="0" w:type="auto"/>
            <w:vAlign w:val="center"/>
            <w:hideMark/>
          </w:tcPr>
          <w:p w14:paraId="2F4DAA6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0.0174</w:t>
            </w:r>
          </w:p>
        </w:tc>
        <w:tc>
          <w:tcPr>
            <w:tcW w:w="0" w:type="auto"/>
            <w:vAlign w:val="center"/>
            <w:hideMark/>
          </w:tcPr>
          <w:p w14:paraId="518FC17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0.482</w:t>
            </w:r>
          </w:p>
        </w:tc>
        <w:tc>
          <w:tcPr>
            <w:tcW w:w="0" w:type="auto"/>
            <w:vAlign w:val="center"/>
            <w:hideMark/>
          </w:tcPr>
          <w:p w14:paraId="12FE7A2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0.647</w:t>
            </w:r>
          </w:p>
        </w:tc>
      </w:tr>
    </w:tbl>
    <w:p w14:paraId="7687572C"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t>Fonte: elaborazione propria su dati raccolti in tempo reale.</w:t>
      </w:r>
    </w:p>
    <w:p w14:paraId="296D6651" w14:textId="77777777"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Le statistiche descrittive evidenziano una moderata variabilità sia nei rendimenti medi sia nella distribuzione delle performance tra i diversi modelli. I portafogli costruiti mediante ChatGPT versione non loggata (CGP) e Gemini Pro (G) mostrano generalmente i rendimenti medi più elevati negli schemi equally weighted e signal weighted, mentre nel caso value weighted Gemini Pro registra la performance media migliore. ChatGPT versione loggata (CGL) presenta invece rendimenti medi più contenuti nella maggior parte delle configurazioni considerate.</w:t>
      </w:r>
    </w:p>
    <w:p w14:paraId="64FAFDDA" w14:textId="77777777"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Dal punto di vista della volatilità, le deviazioni standard risultano relativamente omogenee tra i differenti schemi di ponderazione, suggerendo che le differenze osservate nei rendimenti non siano accompagnate da sostanziali divergenze nei livelli di rischio assunti.</w:t>
      </w:r>
    </w:p>
    <w:p w14:paraId="0BE97887" w14:textId="77777777"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La distribuzione dei rendimenti appare generalmente caratterizzata da livelli moderati di skewness positiva, in particolare nei portafogli Gemini Pro e nelle configurazioni value weighted di ChatGPT versione loggata. Tale evidenza suggerisce la presenza di alcune osservazioni positive estreme concentrate in specifiche giornate di mercato favorevoli.</w:t>
      </w:r>
    </w:p>
    <w:p w14:paraId="474D613E" w14:textId="1A719715"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 xml:space="preserve">La Figura </w:t>
      </w:r>
      <w:r>
        <w:rPr>
          <w:rFonts w:ascii="Times New Roman" w:hAnsi="Times New Roman" w:cs="Times New Roman"/>
          <w:sz w:val="24"/>
          <w:szCs w:val="24"/>
        </w:rPr>
        <w:t>2</w:t>
      </w:r>
      <w:r w:rsidRPr="000B1B45">
        <w:rPr>
          <w:rFonts w:ascii="Times New Roman" w:hAnsi="Times New Roman" w:cs="Times New Roman"/>
          <w:sz w:val="24"/>
          <w:szCs w:val="24"/>
        </w:rPr>
        <w:t xml:space="preserve"> mostra invece la distribuzione empirica dei rendimenti giornalieri dei portafogli.</w:t>
      </w:r>
    </w:p>
    <w:p w14:paraId="581CA0F5" w14:textId="5A5A45AE" w:rsidR="003F1C17" w:rsidRPr="003F1C17" w:rsidRDefault="003F1C17" w:rsidP="003F1C17">
      <w:pPr>
        <w:pStyle w:val="Didascalia"/>
        <w:keepNext/>
        <w:jc w:val="both"/>
        <w:rPr>
          <w:color w:val="auto"/>
        </w:rPr>
      </w:pPr>
      <w:r w:rsidRPr="003F1C17">
        <w:rPr>
          <w:color w:val="auto"/>
        </w:rPr>
        <w:t xml:space="preserve">Figura </w:t>
      </w:r>
      <w:r w:rsidR="00D157D3">
        <w:rPr>
          <w:color w:val="auto"/>
        </w:rPr>
        <w:fldChar w:fldCharType="begin"/>
      </w:r>
      <w:r w:rsidR="00D157D3">
        <w:rPr>
          <w:color w:val="auto"/>
        </w:rPr>
        <w:instrText xml:space="preserve"> SEQ Figura \* ARABIC </w:instrText>
      </w:r>
      <w:r w:rsidR="00D157D3">
        <w:rPr>
          <w:color w:val="auto"/>
        </w:rPr>
        <w:fldChar w:fldCharType="separate"/>
      </w:r>
      <w:r w:rsidR="00D157D3">
        <w:rPr>
          <w:noProof/>
          <w:color w:val="auto"/>
        </w:rPr>
        <w:t>2</w:t>
      </w:r>
      <w:r w:rsidR="00D157D3">
        <w:rPr>
          <w:color w:val="auto"/>
        </w:rPr>
        <w:fldChar w:fldCharType="end"/>
      </w:r>
    </w:p>
    <w:p w14:paraId="3CB637B9" w14:textId="77777777" w:rsidR="003F1C17" w:rsidRPr="003F1C17" w:rsidRDefault="003F1C17" w:rsidP="003F1C17">
      <w:pPr>
        <w:jc w:val="both"/>
        <w:rPr>
          <w:rFonts w:ascii="Times New Roman" w:hAnsi="Times New Roman" w:cs="Times New Roman"/>
          <w:sz w:val="24"/>
          <w:szCs w:val="24"/>
          <w:lang w:val="en-GB"/>
        </w:rPr>
      </w:pPr>
      <w:r w:rsidRPr="003F1C17">
        <w:rPr>
          <w:rFonts w:ascii="Times New Roman" w:hAnsi="Times New Roman" w:cs="Times New Roman"/>
          <w:sz w:val="24"/>
          <w:szCs w:val="24"/>
          <w:lang w:val="en-GB"/>
        </w:rPr>
        <w:t>Distribution of Portfolio Returns</w:t>
      </w:r>
    </w:p>
    <w:p w14:paraId="3B04A838" w14:textId="77777777" w:rsidR="003F1C17" w:rsidRPr="003F1C17" w:rsidRDefault="003F1C17" w:rsidP="003F1C17"/>
    <w:p w14:paraId="3CE4D69D" w14:textId="77777777" w:rsidR="003F1C17" w:rsidRDefault="003F1C17" w:rsidP="003F1C17">
      <w:pPr>
        <w:keepNext/>
        <w:jc w:val="center"/>
      </w:pPr>
      <w:r>
        <w:rPr>
          <w:rFonts w:ascii="Times New Roman" w:hAnsi="Times New Roman" w:cs="Times New Roman"/>
          <w:noProof/>
          <w:sz w:val="24"/>
          <w:szCs w:val="24"/>
          <w:lang w:val="en-GB"/>
        </w:rPr>
        <w:lastRenderedPageBreak/>
        <w:drawing>
          <wp:inline distT="0" distB="0" distL="0" distR="0" wp14:anchorId="4136A8DE" wp14:editId="1F6F1A72">
            <wp:extent cx="4196885" cy="2771775"/>
            <wp:effectExtent l="0" t="0" r="0" b="0"/>
            <wp:docPr id="109749043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8812" cy="2779652"/>
                    </a:xfrm>
                    <a:prstGeom prst="rect">
                      <a:avLst/>
                    </a:prstGeom>
                    <a:noFill/>
                    <a:ln>
                      <a:noFill/>
                    </a:ln>
                  </pic:spPr>
                </pic:pic>
              </a:graphicData>
            </a:graphic>
          </wp:inline>
        </w:drawing>
      </w:r>
    </w:p>
    <w:p w14:paraId="2B4735EB" w14:textId="4CA3C88F" w:rsidR="000B1B45" w:rsidRPr="000B1B45" w:rsidRDefault="000B1B45" w:rsidP="00CD050A">
      <w:pPr>
        <w:jc w:val="both"/>
        <w:rPr>
          <w:rFonts w:ascii="Times New Roman" w:hAnsi="Times New Roman" w:cs="Times New Roman"/>
          <w:sz w:val="24"/>
          <w:szCs w:val="24"/>
        </w:rPr>
      </w:pPr>
      <w:r w:rsidRPr="00BF04E8">
        <w:rPr>
          <w:rFonts w:ascii="Times New Roman" w:hAnsi="Times New Roman" w:cs="Times New Roman"/>
          <w:i/>
          <w:iCs/>
          <w:sz w:val="24"/>
          <w:szCs w:val="24"/>
        </w:rPr>
        <w:t xml:space="preserve">Nota. </w:t>
      </w:r>
      <w:r w:rsidRPr="000B1B45">
        <w:rPr>
          <w:rFonts w:ascii="Times New Roman" w:hAnsi="Times New Roman" w:cs="Times New Roman"/>
          <w:i/>
          <w:iCs/>
          <w:sz w:val="24"/>
          <w:szCs w:val="24"/>
        </w:rPr>
        <w:t>La figura riporta la distribuzione empirica dei rendimenti giornalieri per ciascun modello e schema di ponderazione.</w:t>
      </w:r>
    </w:p>
    <w:p w14:paraId="1FE276E0" w14:textId="77777777" w:rsidR="00BF04E8" w:rsidRDefault="00BF04E8" w:rsidP="000B1B45">
      <w:pPr>
        <w:jc w:val="both"/>
        <w:rPr>
          <w:rFonts w:ascii="Times New Roman" w:hAnsi="Times New Roman" w:cs="Times New Roman"/>
          <w:sz w:val="24"/>
          <w:szCs w:val="24"/>
        </w:rPr>
      </w:pPr>
      <w:r w:rsidRPr="00BF04E8">
        <w:rPr>
          <w:rFonts w:ascii="Times New Roman" w:hAnsi="Times New Roman" w:cs="Times New Roman"/>
          <w:sz w:val="24"/>
          <w:szCs w:val="24"/>
        </w:rPr>
        <w:t>Dal punto di vista qualitativo, le distribuzioni appaiono ampiamente sovrapposte, suggerendo che le differenze tra i modelli risultino complessivamente contenute. Le principali divergenze emergono soprattutto nella dispersione delle osservazioni estreme e nella maggiore concentrazione di rendimenti positivi in alcune configurazioni specifiche, in particolare nei portafogli associati a Gemini Pro.</w:t>
      </w:r>
    </w:p>
    <w:p w14:paraId="327FFCCE" w14:textId="24926968" w:rsidR="000B1B45" w:rsidRPr="000B1B45" w:rsidRDefault="000B1B45" w:rsidP="000B1B45">
      <w:pPr>
        <w:jc w:val="both"/>
        <w:rPr>
          <w:rFonts w:ascii="Times New Roman" w:hAnsi="Times New Roman" w:cs="Times New Roman"/>
          <w:b/>
          <w:bCs/>
          <w:sz w:val="24"/>
          <w:szCs w:val="24"/>
        </w:rPr>
      </w:pPr>
      <w:r w:rsidRPr="000B1B45">
        <w:rPr>
          <w:rFonts w:ascii="Times New Roman" w:hAnsi="Times New Roman" w:cs="Times New Roman"/>
          <w:b/>
          <w:bCs/>
          <w:sz w:val="24"/>
          <w:szCs w:val="24"/>
        </w:rPr>
        <w:t>4.3.3 Risk-adjusted performance</w:t>
      </w:r>
    </w:p>
    <w:p w14:paraId="1BD67592" w14:textId="127DCEB5" w:rsidR="000B1B45" w:rsidRPr="000B1B45" w:rsidRDefault="00BF04E8" w:rsidP="000B1B45">
      <w:pPr>
        <w:jc w:val="both"/>
        <w:rPr>
          <w:rFonts w:ascii="Times New Roman" w:hAnsi="Times New Roman" w:cs="Times New Roman"/>
          <w:sz w:val="24"/>
          <w:szCs w:val="24"/>
        </w:rPr>
      </w:pPr>
      <w:r w:rsidRPr="00BF04E8">
        <w:rPr>
          <w:rFonts w:ascii="Times New Roman" w:hAnsi="Times New Roman" w:cs="Times New Roman"/>
          <w:sz w:val="24"/>
          <w:szCs w:val="24"/>
        </w:rPr>
        <w:t>La semplice osservazione dei rendimenti cumulati non è tuttavia sufficiente per valutare la reale qualità economica delle strategie implementate. In finanza, infatti, performance superiori possono riflettere semplicemente una maggiore esposizione al rischio piuttosto che una reale capacità predittiva. Per questa ragione, la valutazione delle strategie viene ora condotta utilizzando metriche risk-adjusted.</w:t>
      </w:r>
      <w:r>
        <w:rPr>
          <w:rFonts w:ascii="Times New Roman" w:hAnsi="Times New Roman" w:cs="Times New Roman"/>
          <w:sz w:val="24"/>
          <w:szCs w:val="24"/>
        </w:rPr>
        <w:t xml:space="preserve"> </w:t>
      </w:r>
      <w:r w:rsidR="000B1B45" w:rsidRPr="000B1B45">
        <w:rPr>
          <w:rFonts w:ascii="Times New Roman" w:hAnsi="Times New Roman" w:cs="Times New Roman"/>
          <w:sz w:val="24"/>
          <w:szCs w:val="24"/>
        </w:rPr>
        <w:t xml:space="preserve">La Tabella </w:t>
      </w:r>
      <w:r>
        <w:rPr>
          <w:rFonts w:ascii="Times New Roman" w:hAnsi="Times New Roman" w:cs="Times New Roman"/>
          <w:sz w:val="24"/>
          <w:szCs w:val="24"/>
        </w:rPr>
        <w:t>4</w:t>
      </w:r>
      <w:r w:rsidR="000B1B45" w:rsidRPr="000B1B45">
        <w:rPr>
          <w:rFonts w:ascii="Times New Roman" w:hAnsi="Times New Roman" w:cs="Times New Roman"/>
          <w:sz w:val="24"/>
          <w:szCs w:val="24"/>
        </w:rPr>
        <w:t xml:space="preserve"> riporta gli Sharpe ratio dei diversi portafogli.</w:t>
      </w:r>
    </w:p>
    <w:p w14:paraId="4538688D" w14:textId="41BCCE1C" w:rsidR="00BF04E8" w:rsidRDefault="00BF04E8" w:rsidP="00BF04E8">
      <w:pPr>
        <w:pStyle w:val="Didascalia"/>
        <w:keepNext/>
        <w:rPr>
          <w:color w:val="auto"/>
        </w:rPr>
      </w:pPr>
      <w:r w:rsidRPr="00BF04E8">
        <w:rPr>
          <w:color w:val="auto"/>
        </w:rPr>
        <w:t xml:space="preserve">Tabella </w:t>
      </w:r>
      <w:r w:rsidRPr="00BF04E8">
        <w:rPr>
          <w:color w:val="auto"/>
        </w:rPr>
        <w:fldChar w:fldCharType="begin"/>
      </w:r>
      <w:r w:rsidRPr="00BF04E8">
        <w:rPr>
          <w:color w:val="auto"/>
        </w:rPr>
        <w:instrText xml:space="preserve"> SEQ Tabella \* ARABIC </w:instrText>
      </w:r>
      <w:r w:rsidRPr="00BF04E8">
        <w:rPr>
          <w:color w:val="auto"/>
        </w:rPr>
        <w:fldChar w:fldCharType="separate"/>
      </w:r>
      <w:r w:rsidR="00212089">
        <w:rPr>
          <w:noProof/>
          <w:color w:val="auto"/>
        </w:rPr>
        <w:t>4</w:t>
      </w:r>
      <w:r w:rsidRPr="00BF04E8">
        <w:rPr>
          <w:color w:val="auto"/>
        </w:rPr>
        <w:fldChar w:fldCharType="end"/>
      </w:r>
    </w:p>
    <w:p w14:paraId="00BAA297" w14:textId="318453A2" w:rsidR="00BF04E8" w:rsidRDefault="00BF04E8" w:rsidP="00BF04E8">
      <w:pPr>
        <w:jc w:val="both"/>
        <w:rPr>
          <w:rFonts w:ascii="Times New Roman" w:hAnsi="Times New Roman" w:cs="Times New Roman"/>
          <w:sz w:val="24"/>
          <w:szCs w:val="24"/>
        </w:rPr>
      </w:pPr>
      <w:r w:rsidRPr="000B1B45">
        <w:rPr>
          <w:rFonts w:ascii="Times New Roman" w:hAnsi="Times New Roman" w:cs="Times New Roman"/>
          <w:sz w:val="24"/>
          <w:szCs w:val="24"/>
        </w:rPr>
        <w:t>Sharpe Ratio dei portafogli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14"/>
        <w:gridCol w:w="1440"/>
        <w:gridCol w:w="987"/>
        <w:gridCol w:w="1414"/>
        <w:gridCol w:w="615"/>
      </w:tblGrid>
      <w:tr w:rsidR="00BF04E8" w:rsidRPr="00924CA7" w14:paraId="555ECC57" w14:textId="77777777" w:rsidTr="00924CA7">
        <w:trPr>
          <w:tblHeader/>
          <w:tblCellSpacing w:w="15" w:type="dxa"/>
        </w:trPr>
        <w:tc>
          <w:tcPr>
            <w:tcW w:w="0" w:type="auto"/>
            <w:tcBorders>
              <w:top w:val="single" w:sz="4" w:space="0" w:color="auto"/>
              <w:bottom w:val="single" w:sz="4" w:space="0" w:color="auto"/>
            </w:tcBorders>
            <w:vAlign w:val="center"/>
            <w:hideMark/>
          </w:tcPr>
          <w:p w14:paraId="323A27C9"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7C1526DA"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52807B6B"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260BAC63"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Std. Dev.</w:t>
            </w:r>
          </w:p>
        </w:tc>
        <w:tc>
          <w:tcPr>
            <w:tcW w:w="0" w:type="auto"/>
            <w:tcBorders>
              <w:top w:val="single" w:sz="4" w:space="0" w:color="auto"/>
              <w:bottom w:val="single" w:sz="4" w:space="0" w:color="auto"/>
            </w:tcBorders>
            <w:vAlign w:val="center"/>
            <w:hideMark/>
          </w:tcPr>
          <w:p w14:paraId="28E116C0"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Sharpe Ratio</w:t>
            </w:r>
          </w:p>
        </w:tc>
        <w:tc>
          <w:tcPr>
            <w:tcW w:w="0" w:type="auto"/>
            <w:tcBorders>
              <w:top w:val="single" w:sz="4" w:space="0" w:color="auto"/>
              <w:bottom w:val="single" w:sz="4" w:space="0" w:color="auto"/>
            </w:tcBorders>
            <w:vAlign w:val="center"/>
            <w:hideMark/>
          </w:tcPr>
          <w:p w14:paraId="5E3293D9"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t-stat</w:t>
            </w:r>
          </w:p>
        </w:tc>
      </w:tr>
      <w:tr w:rsidR="00BF04E8" w:rsidRPr="00924CA7" w14:paraId="52A052D8" w14:textId="77777777" w:rsidTr="00924CA7">
        <w:trPr>
          <w:tblCellSpacing w:w="15" w:type="dxa"/>
        </w:trPr>
        <w:tc>
          <w:tcPr>
            <w:tcW w:w="0" w:type="auto"/>
            <w:vAlign w:val="center"/>
            <w:hideMark/>
          </w:tcPr>
          <w:p w14:paraId="30D1FDA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2FC8D3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DC15A0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6DA6C3F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0.0177</w:t>
            </w:r>
          </w:p>
        </w:tc>
        <w:tc>
          <w:tcPr>
            <w:tcW w:w="0" w:type="auto"/>
            <w:vAlign w:val="center"/>
            <w:hideMark/>
          </w:tcPr>
          <w:p w14:paraId="31B89EE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0.0571</w:t>
            </w:r>
          </w:p>
        </w:tc>
        <w:tc>
          <w:tcPr>
            <w:tcW w:w="0" w:type="auto"/>
            <w:vAlign w:val="center"/>
            <w:hideMark/>
          </w:tcPr>
          <w:p w14:paraId="12B55C3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0.498</w:t>
            </w:r>
          </w:p>
        </w:tc>
      </w:tr>
      <w:tr w:rsidR="00BF04E8" w:rsidRPr="00924CA7" w14:paraId="07E3262C" w14:textId="77777777" w:rsidTr="00924CA7">
        <w:trPr>
          <w:tblCellSpacing w:w="15" w:type="dxa"/>
        </w:trPr>
        <w:tc>
          <w:tcPr>
            <w:tcW w:w="0" w:type="auto"/>
            <w:vAlign w:val="center"/>
            <w:hideMark/>
          </w:tcPr>
          <w:p w14:paraId="6B971BA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1F0BF6A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29027EF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5FCCE3A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0.0189</w:t>
            </w:r>
          </w:p>
        </w:tc>
        <w:tc>
          <w:tcPr>
            <w:tcW w:w="0" w:type="auto"/>
            <w:vAlign w:val="center"/>
            <w:hideMark/>
          </w:tcPr>
          <w:p w14:paraId="524754E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591728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1.48</w:t>
            </w:r>
          </w:p>
        </w:tc>
      </w:tr>
      <w:tr w:rsidR="00BF04E8" w:rsidRPr="00924CA7" w14:paraId="2E474EBC" w14:textId="77777777" w:rsidTr="00924CA7">
        <w:trPr>
          <w:tblCellSpacing w:w="15" w:type="dxa"/>
        </w:trPr>
        <w:tc>
          <w:tcPr>
            <w:tcW w:w="0" w:type="auto"/>
            <w:vAlign w:val="center"/>
            <w:hideMark/>
          </w:tcPr>
          <w:p w14:paraId="303C0EE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B1447C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vAlign w:val="center"/>
            <w:hideMark/>
          </w:tcPr>
          <w:p w14:paraId="241255F1"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6E77BE50"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0.0164</w:t>
            </w:r>
          </w:p>
        </w:tc>
        <w:tc>
          <w:tcPr>
            <w:tcW w:w="0" w:type="auto"/>
            <w:vAlign w:val="center"/>
            <w:hideMark/>
          </w:tcPr>
          <w:p w14:paraId="02CCF30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0.195</w:t>
            </w:r>
          </w:p>
        </w:tc>
        <w:tc>
          <w:tcPr>
            <w:tcW w:w="0" w:type="auto"/>
            <w:vAlign w:val="center"/>
            <w:hideMark/>
          </w:tcPr>
          <w:p w14:paraId="0B93559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1.66</w:t>
            </w:r>
          </w:p>
        </w:tc>
      </w:tr>
      <w:tr w:rsidR="00BF04E8" w:rsidRPr="00924CA7" w14:paraId="7A4D7C32" w14:textId="77777777" w:rsidTr="00924CA7">
        <w:trPr>
          <w:tblCellSpacing w:w="15" w:type="dxa"/>
        </w:trPr>
        <w:tc>
          <w:tcPr>
            <w:tcW w:w="0" w:type="auto"/>
            <w:vAlign w:val="center"/>
            <w:hideMark/>
          </w:tcPr>
          <w:p w14:paraId="00A45AB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C3882D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5F016E2E"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54ECBB2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18D44B84"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2361CEF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0.139</w:t>
            </w:r>
          </w:p>
        </w:tc>
      </w:tr>
      <w:tr w:rsidR="00BF04E8" w:rsidRPr="00924CA7" w14:paraId="21E00B1E" w14:textId="77777777" w:rsidTr="00924CA7">
        <w:trPr>
          <w:tblCellSpacing w:w="15" w:type="dxa"/>
        </w:trPr>
        <w:tc>
          <w:tcPr>
            <w:tcW w:w="0" w:type="auto"/>
            <w:vAlign w:val="center"/>
            <w:hideMark/>
          </w:tcPr>
          <w:p w14:paraId="09A2794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913A76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4209277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743C5B1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4A7F9783"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BE456B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1.48</w:t>
            </w:r>
          </w:p>
        </w:tc>
      </w:tr>
      <w:tr w:rsidR="00BF04E8" w:rsidRPr="00924CA7" w14:paraId="614386CB" w14:textId="77777777" w:rsidTr="00924CA7">
        <w:trPr>
          <w:tblCellSpacing w:w="15" w:type="dxa"/>
        </w:trPr>
        <w:tc>
          <w:tcPr>
            <w:tcW w:w="0" w:type="auto"/>
            <w:vAlign w:val="center"/>
            <w:hideMark/>
          </w:tcPr>
          <w:p w14:paraId="2B1746CE"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7041C8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3C87DF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2D95CC7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66D1D99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0.143</w:t>
            </w:r>
          </w:p>
        </w:tc>
        <w:tc>
          <w:tcPr>
            <w:tcW w:w="0" w:type="auto"/>
            <w:vAlign w:val="center"/>
            <w:hideMark/>
          </w:tcPr>
          <w:p w14:paraId="1B95EA20"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1.22</w:t>
            </w:r>
          </w:p>
        </w:tc>
      </w:tr>
      <w:tr w:rsidR="00BF04E8" w:rsidRPr="00924CA7" w14:paraId="2F98F811" w14:textId="77777777" w:rsidTr="00924CA7">
        <w:trPr>
          <w:tblCellSpacing w:w="15" w:type="dxa"/>
        </w:trPr>
        <w:tc>
          <w:tcPr>
            <w:tcW w:w="0" w:type="auto"/>
            <w:vAlign w:val="center"/>
            <w:hideMark/>
          </w:tcPr>
          <w:p w14:paraId="76970A4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1B728BF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1470E09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4964FAD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0.0192</w:t>
            </w:r>
          </w:p>
        </w:tc>
        <w:tc>
          <w:tcPr>
            <w:tcW w:w="0" w:type="auto"/>
            <w:vAlign w:val="center"/>
            <w:hideMark/>
          </w:tcPr>
          <w:p w14:paraId="41F7D8D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5C471FB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0.991</w:t>
            </w:r>
          </w:p>
        </w:tc>
      </w:tr>
      <w:tr w:rsidR="00BF04E8" w:rsidRPr="00924CA7" w14:paraId="7D0D57A0" w14:textId="77777777" w:rsidTr="00924CA7">
        <w:trPr>
          <w:tblCellSpacing w:w="15" w:type="dxa"/>
        </w:trPr>
        <w:tc>
          <w:tcPr>
            <w:tcW w:w="0" w:type="auto"/>
            <w:vAlign w:val="center"/>
            <w:hideMark/>
          </w:tcPr>
          <w:p w14:paraId="1A71615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0AAF42A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009D05E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22F7D40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188D95A4"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0AB2810C"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0.292</w:t>
            </w:r>
          </w:p>
        </w:tc>
      </w:tr>
      <w:tr w:rsidR="00BF04E8" w:rsidRPr="00924CA7" w14:paraId="3886C73D" w14:textId="77777777" w:rsidTr="00924CA7">
        <w:trPr>
          <w:tblCellSpacing w:w="15" w:type="dxa"/>
        </w:trPr>
        <w:tc>
          <w:tcPr>
            <w:tcW w:w="0" w:type="auto"/>
            <w:vAlign w:val="center"/>
            <w:hideMark/>
          </w:tcPr>
          <w:p w14:paraId="03E7886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6468AF9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vAlign w:val="center"/>
            <w:hideMark/>
          </w:tcPr>
          <w:p w14:paraId="1F25C57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0.00272</w:t>
            </w:r>
          </w:p>
        </w:tc>
        <w:tc>
          <w:tcPr>
            <w:tcW w:w="0" w:type="auto"/>
            <w:vAlign w:val="center"/>
            <w:hideMark/>
          </w:tcPr>
          <w:p w14:paraId="07165A1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0.0174</w:t>
            </w:r>
          </w:p>
        </w:tc>
        <w:tc>
          <w:tcPr>
            <w:tcW w:w="0" w:type="auto"/>
            <w:vAlign w:val="center"/>
            <w:hideMark/>
          </w:tcPr>
          <w:p w14:paraId="7F8B5D6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0.156</w:t>
            </w:r>
          </w:p>
        </w:tc>
        <w:tc>
          <w:tcPr>
            <w:tcW w:w="0" w:type="auto"/>
            <w:vAlign w:val="center"/>
            <w:hideMark/>
          </w:tcPr>
          <w:p w14:paraId="208C117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1.33</w:t>
            </w:r>
          </w:p>
        </w:tc>
      </w:tr>
    </w:tbl>
    <w:p w14:paraId="78A25AC7" w14:textId="77777777" w:rsidR="00BF04E8" w:rsidRPr="00BF04E8" w:rsidRDefault="00BF04E8" w:rsidP="00BF04E8">
      <w:pPr>
        <w:jc w:val="both"/>
        <w:rPr>
          <w:rFonts w:ascii="Times New Roman" w:hAnsi="Times New Roman" w:cs="Times New Roman"/>
          <w:sz w:val="24"/>
          <w:szCs w:val="24"/>
        </w:rPr>
      </w:pPr>
    </w:p>
    <w:p w14:paraId="2156823C" w14:textId="1568E2AB"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lastRenderedPageBreak/>
        <w:t>Nota. Lo Sharpe ratio è calcolato assumendo risk-free rate giornaliero pari a zero.</w:t>
      </w:r>
      <w:r w:rsidR="005F2160">
        <w:rPr>
          <w:rFonts w:ascii="Times New Roman" w:hAnsi="Times New Roman" w:cs="Times New Roman"/>
          <w:i/>
          <w:iCs/>
          <w:sz w:val="24"/>
          <w:szCs w:val="24"/>
        </w:rPr>
        <w:t xml:space="preserve"> </w:t>
      </w:r>
      <w:r w:rsidR="005F2160" w:rsidRPr="005F2160">
        <w:rPr>
          <w:rFonts w:ascii="Times New Roman" w:hAnsi="Times New Roman" w:cs="Times New Roman"/>
          <w:i/>
          <w:iCs/>
          <w:sz w:val="24"/>
          <w:szCs w:val="24"/>
        </w:rPr>
        <w:t>Gli Sharpe ratio riportati sono calcolati su base giornaliera e non annualizzati.</w:t>
      </w:r>
      <w:r w:rsidR="00A9380F">
        <w:rPr>
          <w:rFonts w:ascii="Times New Roman" w:hAnsi="Times New Roman" w:cs="Times New Roman"/>
          <w:i/>
          <w:iCs/>
          <w:sz w:val="24"/>
          <w:szCs w:val="24"/>
        </w:rPr>
        <w:t xml:space="preserve"> </w:t>
      </w:r>
      <w:r w:rsidR="00A9380F" w:rsidRPr="00A9380F">
        <w:rPr>
          <w:rFonts w:ascii="Times New Roman" w:hAnsi="Times New Roman" w:cs="Times New Roman"/>
          <w:i/>
          <w:iCs/>
          <w:sz w:val="24"/>
          <w:szCs w:val="24"/>
        </w:rPr>
        <w:t>Le statistiche associate devono pertanto essere interpretate esclusivamente come misura comparativa relativa tra le differenti strategie considerate.</w:t>
      </w:r>
    </w:p>
    <w:p w14:paraId="7F00B754"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I risultati mostrano come le performance corrette per il rischio risultino complessivamente moderate lungo tutte le configurazioni considerate. Sebbene alcuni portafogli evidenzino Sharpe ratio positivi, nessuna strategia mostra livelli particolarmente elevati o statisticamente robusti rispetto ai benchmark tradizionalmente osservati nella letteratura finanziaria.</w:t>
      </w:r>
    </w:p>
    <w:p w14:paraId="59861F5B" w14:textId="77777777" w:rsid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Le migliori performance risk-adjusted emergono nei portafogli equally weighted di Gemini Pro (G) e ChatGPT versione non loggata (CGP), che registrano Sharpe ratio rispettivamente pari a 0.195 e 0.172. Risultati relativamente simili si osservano anche nello schema signal weighted, mentre i portafogli value weighted mostrano performance più eterogenee e generalmente inferiori, in particolare nel caso di CGP.</w:t>
      </w:r>
    </w:p>
    <w:p w14:paraId="17C7C983" w14:textId="7AF5232E"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Dal punto di vista economico, tali evidenze suggeriscono che gli eventuali rendimenti positivi osservati siano accompagnati da livelli di volatilità tali da ridimensionare significativamente la qualità risk-adjusted delle strategie implementate. In altri termini, la capacità dei modelli linguistici di produrre output finanziariamente plausibili non si traduce automaticamente in performance corrette per il rischio particolarmente elevate o sistematicamente persistenti.</w:t>
      </w:r>
    </w:p>
    <w:p w14:paraId="26E69D08" w14:textId="77777777" w:rsidR="00924CA7" w:rsidRDefault="00924CA7" w:rsidP="005A7812">
      <w:pPr>
        <w:jc w:val="both"/>
        <w:rPr>
          <w:rFonts w:ascii="Times New Roman" w:hAnsi="Times New Roman" w:cs="Times New Roman"/>
          <w:sz w:val="24"/>
          <w:szCs w:val="24"/>
        </w:rPr>
      </w:pPr>
      <w:r w:rsidRPr="00924CA7">
        <w:rPr>
          <w:rFonts w:ascii="Times New Roman" w:hAnsi="Times New Roman" w:cs="Times New Roman"/>
          <w:sz w:val="24"/>
          <w:szCs w:val="24"/>
        </w:rPr>
        <w:t>I risultati ottenuti indicano pertanto che le strategie basate sui segnali generati dagli LLMs presentino performance risk-adjusted complessivamente moderate e non sufficientemente robuste da evidenziare una persistente capacità di generazione di excess returns corretti per il rischio.</w:t>
      </w:r>
    </w:p>
    <w:p w14:paraId="2270F837" w14:textId="44B67656" w:rsidR="005A7812" w:rsidRPr="005A7812" w:rsidRDefault="005A7812" w:rsidP="005A7812">
      <w:pPr>
        <w:jc w:val="both"/>
        <w:rPr>
          <w:rFonts w:ascii="Times New Roman" w:hAnsi="Times New Roman" w:cs="Times New Roman"/>
          <w:b/>
          <w:bCs/>
          <w:sz w:val="24"/>
          <w:szCs w:val="24"/>
        </w:rPr>
      </w:pPr>
      <w:r w:rsidRPr="005A7812">
        <w:rPr>
          <w:rFonts w:ascii="Times New Roman" w:hAnsi="Times New Roman" w:cs="Times New Roman"/>
          <w:b/>
          <w:bCs/>
          <w:sz w:val="24"/>
          <w:szCs w:val="24"/>
        </w:rPr>
        <w:t>4.3.4 Asset Pricing Tests</w:t>
      </w:r>
    </w:p>
    <w:p w14:paraId="77619F9E" w14:textId="77777777"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Al fine di verificare se le performance osservate riflettano una reale capacità di generare abnormal returns oppure semplici esposizioni sistematiche ai fattori di rischio tradizionali, i rendimenti dei portafogli sono stati successivamente analizzati mediante regressioni CAPM e modelli multifattoriali Fama-French-Carhart.</w:t>
      </w:r>
    </w:p>
    <w:p w14:paraId="77355B8B" w14:textId="77777777"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L’utilizzo di modelli di asset pricing rappresenta un passaggio fondamentale nella valutazione delle strategie quantitative. Rendimenti medi positivi e Sharpe ratio moderatamente elevati non implicano infatti necessariamente l’esistenza di capacità predittiva economicamente significativa, poiché tali performance possono riflettere semplicemente una maggiore esposizione a fattori sistematici già ampiamente documentati nella letteratura finanziaria.</w:t>
      </w:r>
    </w:p>
    <w:p w14:paraId="5C8D2C54" w14:textId="363203FB"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In una prima fase, i portafogli sono stati valutati mediante regressioni CAPM utilizzando come benchmark il market excess return intraday dell’indice S&amp;P 500.</w:t>
      </w:r>
      <w:r>
        <w:rPr>
          <w:rFonts w:ascii="Times New Roman" w:hAnsi="Times New Roman" w:cs="Times New Roman"/>
          <w:sz w:val="24"/>
          <w:szCs w:val="24"/>
        </w:rPr>
        <w:t xml:space="preserve"> </w:t>
      </w:r>
      <w:r w:rsidRPr="00924CA7">
        <w:rPr>
          <w:rFonts w:ascii="Times New Roman" w:hAnsi="Times New Roman" w:cs="Times New Roman"/>
          <w:sz w:val="24"/>
          <w:szCs w:val="24"/>
        </w:rPr>
        <w:t>La Tabella 5 riporta i risultati delle regressioni CAPM.</w:t>
      </w:r>
    </w:p>
    <w:p w14:paraId="3FD5266C" w14:textId="16371CBD" w:rsidR="00924CA7" w:rsidRDefault="00924CA7" w:rsidP="00924CA7">
      <w:pPr>
        <w:pStyle w:val="Didascalia"/>
        <w:keepNext/>
        <w:rPr>
          <w:color w:val="auto"/>
        </w:rPr>
      </w:pPr>
      <w:r w:rsidRPr="00924CA7">
        <w:rPr>
          <w:color w:val="auto"/>
        </w:rPr>
        <w:t xml:space="preserve">Tabella </w:t>
      </w:r>
      <w:r w:rsidRPr="00924CA7">
        <w:rPr>
          <w:color w:val="auto"/>
        </w:rPr>
        <w:fldChar w:fldCharType="begin"/>
      </w:r>
      <w:r w:rsidRPr="00924CA7">
        <w:rPr>
          <w:color w:val="auto"/>
        </w:rPr>
        <w:instrText xml:space="preserve"> SEQ Tabella \* ARABIC </w:instrText>
      </w:r>
      <w:r w:rsidRPr="00924CA7">
        <w:rPr>
          <w:color w:val="auto"/>
        </w:rPr>
        <w:fldChar w:fldCharType="separate"/>
      </w:r>
      <w:r w:rsidR="00212089">
        <w:rPr>
          <w:noProof/>
          <w:color w:val="auto"/>
        </w:rPr>
        <w:t>5</w:t>
      </w:r>
      <w:r w:rsidRPr="00924CA7">
        <w:rPr>
          <w:color w:val="auto"/>
        </w:rPr>
        <w:fldChar w:fldCharType="end"/>
      </w:r>
    </w:p>
    <w:p w14:paraId="1FCA624D" w14:textId="772379B2" w:rsidR="0092194D" w:rsidRPr="0092194D" w:rsidRDefault="0092194D" w:rsidP="0092194D">
      <w:pPr>
        <w:rPr>
          <w:rFonts w:ascii="Times New Roman" w:hAnsi="Times New Roman" w:cs="Times New Roman"/>
          <w:sz w:val="24"/>
          <w:szCs w:val="24"/>
        </w:rPr>
      </w:pPr>
      <w:r w:rsidRPr="0092194D">
        <w:rPr>
          <w:rFonts w:ascii="Times New Roman" w:hAnsi="Times New Roman" w:cs="Times New Roman"/>
          <w:sz w:val="24"/>
          <w:szCs w:val="24"/>
        </w:rPr>
        <w:t>Risultati delle regressioni CAPM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40"/>
        <w:gridCol w:w="2015"/>
      </w:tblGrid>
      <w:tr w:rsidR="00924CA7" w:rsidRPr="00924CA7" w14:paraId="5341FA9E" w14:textId="77777777" w:rsidTr="00924CA7">
        <w:trPr>
          <w:tblHeader/>
          <w:tblCellSpacing w:w="15" w:type="dxa"/>
        </w:trPr>
        <w:tc>
          <w:tcPr>
            <w:tcW w:w="0" w:type="auto"/>
            <w:tcBorders>
              <w:top w:val="single" w:sz="4" w:space="0" w:color="auto"/>
              <w:bottom w:val="single" w:sz="4" w:space="0" w:color="auto"/>
            </w:tcBorders>
            <w:vAlign w:val="center"/>
            <w:hideMark/>
          </w:tcPr>
          <w:p w14:paraId="512A7337"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6492E257"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Alpha</w:t>
            </w:r>
          </w:p>
        </w:tc>
        <w:tc>
          <w:tcPr>
            <w:tcW w:w="0" w:type="auto"/>
            <w:tcBorders>
              <w:top w:val="single" w:sz="4" w:space="0" w:color="auto"/>
              <w:bottom w:val="single" w:sz="4" w:space="0" w:color="auto"/>
            </w:tcBorders>
            <w:vAlign w:val="center"/>
            <w:hideMark/>
          </w:tcPr>
          <w:p w14:paraId="720209E1"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MKT-RF Intraday</w:t>
            </w:r>
          </w:p>
        </w:tc>
      </w:tr>
      <w:tr w:rsidR="00924CA7" w:rsidRPr="00924CA7" w14:paraId="071EB217" w14:textId="77777777">
        <w:trPr>
          <w:tblCellSpacing w:w="15" w:type="dxa"/>
        </w:trPr>
        <w:tc>
          <w:tcPr>
            <w:tcW w:w="0" w:type="auto"/>
            <w:vAlign w:val="center"/>
            <w:hideMark/>
          </w:tcPr>
          <w:p w14:paraId="25385F3C"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79690E93" w14:textId="77777777" w:rsidR="0092194D" w:rsidRDefault="0092194D" w:rsidP="00924CA7">
            <w:pPr>
              <w:spacing w:after="0" w:line="240" w:lineRule="auto"/>
              <w:rPr>
                <w:rFonts w:ascii="Times New Roman" w:hAnsi="Times New Roman" w:cs="Times New Roman"/>
                <w:sz w:val="24"/>
                <w:szCs w:val="24"/>
              </w:rPr>
            </w:pPr>
            <w:r w:rsidRPr="0092194D">
              <w:rPr>
                <w:rFonts w:ascii="Times New Roman" w:hAnsi="Times New Roman" w:cs="Times New Roman"/>
                <w:sz w:val="24"/>
                <w:szCs w:val="24"/>
              </w:rPr>
              <w:t>-0.00019</w:t>
            </w:r>
          </w:p>
          <w:p w14:paraId="7EAA407C" w14:textId="1DDB195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0724421F"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1.53*** </w:t>
            </w:r>
          </w:p>
          <w:p w14:paraId="6478BE05" w14:textId="4613F82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(6.65)</w:t>
            </w:r>
          </w:p>
        </w:tc>
      </w:tr>
      <w:tr w:rsidR="00924CA7" w:rsidRPr="00924CA7" w14:paraId="2A2033A1" w14:textId="77777777">
        <w:trPr>
          <w:tblCellSpacing w:w="15" w:type="dxa"/>
        </w:trPr>
        <w:tc>
          <w:tcPr>
            <w:tcW w:w="0" w:type="auto"/>
            <w:vAlign w:val="center"/>
            <w:hideMark/>
          </w:tcPr>
          <w:p w14:paraId="3FA2E1E4"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477F3817"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0.00102 </w:t>
            </w:r>
          </w:p>
          <w:p w14:paraId="66C0B0E2" w14:textId="26D1538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(0.640)</w:t>
            </w:r>
          </w:p>
        </w:tc>
        <w:tc>
          <w:tcPr>
            <w:tcW w:w="0" w:type="auto"/>
            <w:vAlign w:val="center"/>
            <w:hideMark/>
          </w:tcPr>
          <w:p w14:paraId="2178B12E"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1.85*** </w:t>
            </w:r>
          </w:p>
          <w:p w14:paraId="094EABC4" w14:textId="1509511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(8.64)</w:t>
            </w:r>
          </w:p>
        </w:tc>
      </w:tr>
      <w:tr w:rsidR="00924CA7" w:rsidRPr="00924CA7" w14:paraId="01AFBF5A" w14:textId="77777777">
        <w:trPr>
          <w:tblCellSpacing w:w="15" w:type="dxa"/>
        </w:trPr>
        <w:tc>
          <w:tcPr>
            <w:tcW w:w="0" w:type="auto"/>
            <w:vAlign w:val="center"/>
            <w:hideMark/>
          </w:tcPr>
          <w:p w14:paraId="30696E86"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EW-G</w:t>
            </w:r>
          </w:p>
        </w:tc>
        <w:tc>
          <w:tcPr>
            <w:tcW w:w="0" w:type="auto"/>
            <w:vAlign w:val="center"/>
            <w:hideMark/>
          </w:tcPr>
          <w:p w14:paraId="3399B74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0.00160 </w:t>
            </w:r>
          </w:p>
          <w:p w14:paraId="57C1C5A6" w14:textId="7697AB7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(0.918)</w:t>
            </w:r>
          </w:p>
        </w:tc>
        <w:tc>
          <w:tcPr>
            <w:tcW w:w="0" w:type="auto"/>
            <w:vAlign w:val="center"/>
            <w:hideMark/>
          </w:tcPr>
          <w:p w14:paraId="4D379CD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1.26*** </w:t>
            </w:r>
          </w:p>
          <w:p w14:paraId="3FC84945" w14:textId="2E31F2A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(5.39)</w:t>
            </w:r>
          </w:p>
        </w:tc>
      </w:tr>
      <w:tr w:rsidR="00924CA7" w:rsidRPr="00924CA7" w14:paraId="6A94A1E4" w14:textId="77777777">
        <w:trPr>
          <w:tblCellSpacing w:w="15" w:type="dxa"/>
        </w:trPr>
        <w:tc>
          <w:tcPr>
            <w:tcW w:w="0" w:type="auto"/>
            <w:vAlign w:val="center"/>
            <w:hideMark/>
          </w:tcPr>
          <w:p w14:paraId="4E4C86A8"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SW-CGL</w:t>
            </w:r>
          </w:p>
        </w:tc>
        <w:tc>
          <w:tcPr>
            <w:tcW w:w="0" w:type="auto"/>
            <w:vAlign w:val="center"/>
            <w:hideMark/>
          </w:tcPr>
          <w:p w14:paraId="0C8DC41F"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-0.000771 </w:t>
            </w:r>
          </w:p>
          <w:p w14:paraId="68D6C641" w14:textId="2B19819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(-0.441)</w:t>
            </w:r>
          </w:p>
        </w:tc>
        <w:tc>
          <w:tcPr>
            <w:tcW w:w="0" w:type="auto"/>
            <w:vAlign w:val="center"/>
            <w:hideMark/>
          </w:tcPr>
          <w:p w14:paraId="306C9A0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1.57*** </w:t>
            </w:r>
          </w:p>
          <w:p w14:paraId="128099B0" w14:textId="698863E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(6.57)</w:t>
            </w:r>
          </w:p>
        </w:tc>
      </w:tr>
      <w:tr w:rsidR="00924CA7" w:rsidRPr="00924CA7" w14:paraId="650B4222" w14:textId="77777777">
        <w:trPr>
          <w:tblCellSpacing w:w="15" w:type="dxa"/>
        </w:trPr>
        <w:tc>
          <w:tcPr>
            <w:tcW w:w="0" w:type="auto"/>
            <w:vAlign w:val="center"/>
            <w:hideMark/>
          </w:tcPr>
          <w:p w14:paraId="6313A76E"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425B596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0.00128 </w:t>
            </w:r>
          </w:p>
          <w:p w14:paraId="040B0D9E" w14:textId="35A97E34"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(0.833)</w:t>
            </w:r>
          </w:p>
        </w:tc>
        <w:tc>
          <w:tcPr>
            <w:tcW w:w="0" w:type="auto"/>
            <w:vAlign w:val="center"/>
            <w:hideMark/>
          </w:tcPr>
          <w:p w14:paraId="24636D9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1.82*** </w:t>
            </w:r>
          </w:p>
          <w:p w14:paraId="37161408" w14:textId="515E294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(8.85)</w:t>
            </w:r>
          </w:p>
        </w:tc>
      </w:tr>
      <w:tr w:rsidR="00924CA7" w:rsidRPr="00924CA7" w14:paraId="7EEFC66B" w14:textId="77777777">
        <w:trPr>
          <w:tblCellSpacing w:w="15" w:type="dxa"/>
        </w:trPr>
        <w:tc>
          <w:tcPr>
            <w:tcW w:w="0" w:type="auto"/>
            <w:vAlign w:val="center"/>
            <w:hideMark/>
          </w:tcPr>
          <w:p w14:paraId="7BF4FA46"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3462DBF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0.000960 </w:t>
            </w:r>
          </w:p>
          <w:p w14:paraId="00324D2A" w14:textId="4582577B"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(0.516)</w:t>
            </w:r>
          </w:p>
        </w:tc>
        <w:tc>
          <w:tcPr>
            <w:tcW w:w="0" w:type="auto"/>
            <w:vAlign w:val="center"/>
            <w:hideMark/>
          </w:tcPr>
          <w:p w14:paraId="18C7608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1.28*** </w:t>
            </w:r>
          </w:p>
          <w:p w14:paraId="24C6EFF1" w14:textId="157085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(5.11)</w:t>
            </w:r>
          </w:p>
        </w:tc>
      </w:tr>
      <w:tr w:rsidR="00924CA7" w:rsidRPr="00924CA7" w14:paraId="233CC09B" w14:textId="77777777">
        <w:trPr>
          <w:tblCellSpacing w:w="15" w:type="dxa"/>
        </w:trPr>
        <w:tc>
          <w:tcPr>
            <w:tcW w:w="0" w:type="auto"/>
            <w:vAlign w:val="center"/>
            <w:hideMark/>
          </w:tcPr>
          <w:p w14:paraId="4F9BE53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56A5582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0.00156 </w:t>
            </w:r>
          </w:p>
          <w:p w14:paraId="2AB6446E" w14:textId="4F9D0A6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(0.847)</w:t>
            </w:r>
          </w:p>
        </w:tc>
        <w:tc>
          <w:tcPr>
            <w:tcW w:w="0" w:type="auto"/>
            <w:vAlign w:val="center"/>
            <w:hideMark/>
          </w:tcPr>
          <w:p w14:paraId="002B82B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1.62*** </w:t>
            </w:r>
          </w:p>
          <w:p w14:paraId="2D6BFFB0" w14:textId="33CDFB3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(6.46)</w:t>
            </w:r>
          </w:p>
        </w:tc>
      </w:tr>
      <w:tr w:rsidR="00924CA7" w:rsidRPr="00924CA7" w14:paraId="49FF2B4A" w14:textId="77777777">
        <w:trPr>
          <w:tblCellSpacing w:w="15" w:type="dxa"/>
        </w:trPr>
        <w:tc>
          <w:tcPr>
            <w:tcW w:w="0" w:type="auto"/>
            <w:vAlign w:val="center"/>
            <w:hideMark/>
          </w:tcPr>
          <w:p w14:paraId="6CB5C097"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54E600D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-0.000586 </w:t>
            </w:r>
          </w:p>
          <w:p w14:paraId="13AA493C" w14:textId="2032B8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(-0.382)</w:t>
            </w:r>
          </w:p>
        </w:tc>
        <w:tc>
          <w:tcPr>
            <w:tcW w:w="0" w:type="auto"/>
            <w:vAlign w:val="center"/>
            <w:hideMark/>
          </w:tcPr>
          <w:p w14:paraId="098AB067"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1.76*** </w:t>
            </w:r>
          </w:p>
          <w:p w14:paraId="06C83753" w14:textId="204170A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(8.54)</w:t>
            </w:r>
          </w:p>
        </w:tc>
      </w:tr>
      <w:tr w:rsidR="00924CA7" w:rsidRPr="00924CA7" w14:paraId="4BBD4480" w14:textId="77777777">
        <w:trPr>
          <w:tblCellSpacing w:w="15" w:type="dxa"/>
        </w:trPr>
        <w:tc>
          <w:tcPr>
            <w:tcW w:w="0" w:type="auto"/>
            <w:vAlign w:val="center"/>
            <w:hideMark/>
          </w:tcPr>
          <w:p w14:paraId="5D2CA24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VW-G</w:t>
            </w:r>
          </w:p>
        </w:tc>
        <w:tc>
          <w:tcPr>
            <w:tcW w:w="0" w:type="auto"/>
            <w:vAlign w:val="center"/>
            <w:hideMark/>
          </w:tcPr>
          <w:p w14:paraId="0FC650B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0.00117 </w:t>
            </w:r>
          </w:p>
          <w:p w14:paraId="145B5DCF" w14:textId="16BA9A83"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(0.654)</w:t>
            </w:r>
          </w:p>
        </w:tc>
        <w:tc>
          <w:tcPr>
            <w:tcW w:w="0" w:type="auto"/>
            <w:vAlign w:val="center"/>
            <w:hideMark/>
          </w:tcPr>
          <w:p w14:paraId="528FB52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1.39*** </w:t>
            </w:r>
          </w:p>
          <w:p w14:paraId="102A8F04" w14:textId="289E0E1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(5.78)</w:t>
            </w:r>
          </w:p>
        </w:tc>
      </w:tr>
    </w:tbl>
    <w:p w14:paraId="31DC376F" w14:textId="1FDC950F" w:rsidR="00077F12" w:rsidRPr="00924CA7" w:rsidRDefault="00077F12" w:rsidP="005A7812">
      <w:pPr>
        <w:jc w:val="both"/>
        <w:rPr>
          <w:rFonts w:ascii="Times New Roman" w:eastAsia="Times New Roman" w:hAnsi="Times New Roman" w:cs="Times New Roman"/>
          <w:i/>
          <w:iCs/>
          <w:kern w:val="0"/>
          <w:sz w:val="24"/>
          <w:szCs w:val="24"/>
          <w:lang w:eastAsia="it-IT"/>
          <w14:ligatures w14:val="none"/>
        </w:rPr>
      </w:pPr>
      <w:r w:rsidRPr="00924CA7">
        <w:rPr>
          <w:rFonts w:ascii="Times New Roman" w:eastAsia="Times New Roman" w:hAnsi="Times New Roman" w:cs="Times New Roman"/>
          <w:i/>
          <w:iCs/>
          <w:kern w:val="0"/>
          <w:sz w:val="24"/>
          <w:szCs w:val="24"/>
          <w:lang w:eastAsia="it-IT"/>
          <w14:ligatures w14:val="none"/>
        </w:rPr>
        <w:t>Nota.</w:t>
      </w:r>
      <w:r w:rsidRPr="00077F12">
        <w:rPr>
          <w:rFonts w:ascii="Times New Roman" w:eastAsia="Times New Roman" w:hAnsi="Times New Roman" w:cs="Times New Roman"/>
          <w:kern w:val="0"/>
          <w:sz w:val="24"/>
          <w:szCs w:val="24"/>
          <w:lang w:eastAsia="it-IT"/>
          <w14:ligatures w14:val="none"/>
        </w:rPr>
        <w:t xml:space="preserve"> </w:t>
      </w:r>
      <w:r w:rsidR="00924CA7" w:rsidRPr="00924CA7">
        <w:rPr>
          <w:rFonts w:ascii="Times New Roman" w:eastAsia="Times New Roman" w:hAnsi="Times New Roman" w:cs="Times New Roman"/>
          <w:i/>
          <w:iCs/>
          <w:kern w:val="0"/>
          <w:sz w:val="24"/>
          <w:szCs w:val="24"/>
          <w:lang w:eastAsia="it-IT"/>
          <w14:ligatures w14:val="none"/>
        </w:rPr>
        <w:t>La tabella riporta i coefficienti stimati delle regressioni CAPM per i portafogli Equally Weighted (EW), Signal Weighted (SW) e Value Weighted (VW) relativi alle tre configurazioni di modello considerate (CGL, CGP e G). Le t-statistics sono riportate tra parentesi sotto ciascun coefficiente. I livelli di significatività statistica sono indicati come segue: * p &lt; 0.10; ** p &lt; 0.05; *** p &lt; 0.01</w:t>
      </w:r>
      <w:r w:rsidRPr="00924CA7">
        <w:rPr>
          <w:rFonts w:ascii="Times New Roman" w:eastAsia="Times New Roman" w:hAnsi="Times New Roman" w:cs="Times New Roman"/>
          <w:i/>
          <w:iCs/>
          <w:kern w:val="0"/>
          <w:sz w:val="24"/>
          <w:szCs w:val="24"/>
          <w:lang w:eastAsia="it-IT"/>
          <w14:ligatures w14:val="none"/>
        </w:rPr>
        <w:t>.</w:t>
      </w:r>
    </w:p>
    <w:p w14:paraId="288C7D59" w14:textId="77777777"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I risultati mostrano come gli intercept (alpha) risultino sistematicamente non significativi in tutte le specificazioni considerate. Tale evidenza suggerisce l’assenza di una robusta capacità dei portafogli costruiti mediante i segnali degli LLMs di generare excess returns indipendenti dal rischio sistematico di mercato.</w:t>
      </w:r>
    </w:p>
    <w:p w14:paraId="30B18BAF" w14:textId="77777777"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Al contrario, i coefficienti associati al fattore di mercato (MKT-RF Intraday) risultano positivi e altamente significativi in tutte le regressioni stimate, indicando una marcata esposizione dei portafogli alle dinamiche aggregate del mercato azionario statunitense. In termini economici, una parte rilevante dei rendimenti osservati appare quindi spiegata dalla semplice partecipazione ai movimenti direzionali del mercato piuttosto che da una superiore capacità di stock selection da parte dei modelli linguistici.</w:t>
      </w:r>
    </w:p>
    <w:p w14:paraId="49ACD81A" w14:textId="687FEEEC" w:rsidR="00924CA7" w:rsidRPr="00924CA7" w:rsidRDefault="00924CA7" w:rsidP="00924CA7">
      <w:pPr>
        <w:spacing w:before="100" w:beforeAutospacing="1" w:after="100" w:afterAutospacing="1" w:line="240" w:lineRule="auto"/>
        <w:rPr>
          <w:rFonts w:ascii="Times New Roman" w:hAnsi="Times New Roman" w:cs="Times New Roman"/>
          <w:sz w:val="24"/>
          <w:szCs w:val="24"/>
        </w:rPr>
      </w:pPr>
      <w:r w:rsidRPr="00924CA7">
        <w:rPr>
          <w:rFonts w:ascii="Times New Roman" w:hAnsi="Times New Roman" w:cs="Times New Roman"/>
          <w:sz w:val="24"/>
          <w:szCs w:val="24"/>
        </w:rPr>
        <w:t>In una seconda fase, al fine di catturare esposizioni aggiuntive ai principali fattori di rischio documentati nella letteratura di asset pricing, i rendimenti sono stati analizzati mediante il modello multifattoriale Fama-French-Carhart a quattro fattori.</w:t>
      </w:r>
      <w:r>
        <w:rPr>
          <w:rFonts w:ascii="Times New Roman" w:hAnsi="Times New Roman" w:cs="Times New Roman"/>
          <w:sz w:val="24"/>
          <w:szCs w:val="24"/>
        </w:rPr>
        <w:t xml:space="preserve"> </w:t>
      </w:r>
      <w:r w:rsidRPr="00924CA7">
        <w:rPr>
          <w:rFonts w:ascii="Times New Roman" w:hAnsi="Times New Roman" w:cs="Times New Roman"/>
          <w:sz w:val="24"/>
          <w:szCs w:val="24"/>
        </w:rPr>
        <w:t>I risultati completi delle regressioni sono sintetizzati nella Tabella 6.</w:t>
      </w:r>
    </w:p>
    <w:p w14:paraId="289F8377" w14:textId="720D8635" w:rsidR="00924CA7" w:rsidRPr="00E049A9" w:rsidRDefault="00924CA7" w:rsidP="00924CA7">
      <w:pPr>
        <w:pStyle w:val="Didascalia"/>
        <w:keepNext/>
        <w:rPr>
          <w:color w:val="auto"/>
        </w:rPr>
      </w:pPr>
      <w:r w:rsidRPr="00E049A9">
        <w:rPr>
          <w:color w:val="auto"/>
        </w:rPr>
        <w:t xml:space="preserve">Tabella </w:t>
      </w:r>
      <w:r w:rsidRPr="00E049A9">
        <w:rPr>
          <w:color w:val="auto"/>
        </w:rPr>
        <w:fldChar w:fldCharType="begin"/>
      </w:r>
      <w:r w:rsidRPr="00E049A9">
        <w:rPr>
          <w:color w:val="auto"/>
        </w:rPr>
        <w:instrText xml:space="preserve"> SEQ Tabella \* ARABIC </w:instrText>
      </w:r>
      <w:r w:rsidRPr="00E049A9">
        <w:rPr>
          <w:color w:val="auto"/>
        </w:rPr>
        <w:fldChar w:fldCharType="separate"/>
      </w:r>
      <w:r w:rsidR="00212089">
        <w:rPr>
          <w:noProof/>
          <w:color w:val="auto"/>
        </w:rPr>
        <w:t>6</w:t>
      </w:r>
      <w:r w:rsidRPr="00E049A9">
        <w:rPr>
          <w:color w:val="auto"/>
        </w:rPr>
        <w:fldChar w:fldCharType="end"/>
      </w:r>
    </w:p>
    <w:p w14:paraId="79A29FF3" w14:textId="01E3A4D1" w:rsidR="00924CA7" w:rsidRPr="00924CA7" w:rsidRDefault="00924CA7" w:rsidP="00924CA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Risultati delle regressioni multifattoriali Fama-French-Carhart (4 fattori)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427"/>
        <w:gridCol w:w="1034"/>
        <w:gridCol w:w="960"/>
        <w:gridCol w:w="920"/>
        <w:gridCol w:w="975"/>
      </w:tblGrid>
      <w:tr w:rsidR="00924CA7" w:rsidRPr="00924CA7" w14:paraId="4FF2E028" w14:textId="77777777" w:rsidTr="00924CA7">
        <w:trPr>
          <w:tblHeader/>
          <w:tblCellSpacing w:w="15" w:type="dxa"/>
        </w:trPr>
        <w:tc>
          <w:tcPr>
            <w:tcW w:w="0" w:type="auto"/>
            <w:tcBorders>
              <w:top w:val="single" w:sz="4" w:space="0" w:color="auto"/>
              <w:bottom w:val="single" w:sz="4" w:space="0" w:color="auto"/>
            </w:tcBorders>
            <w:vAlign w:val="center"/>
            <w:hideMark/>
          </w:tcPr>
          <w:p w14:paraId="7F637B79"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2684C061"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Intercetta (α)</w:t>
            </w:r>
          </w:p>
        </w:tc>
        <w:tc>
          <w:tcPr>
            <w:tcW w:w="0" w:type="auto"/>
            <w:tcBorders>
              <w:top w:val="single" w:sz="4" w:space="0" w:color="auto"/>
              <w:bottom w:val="single" w:sz="4" w:space="0" w:color="auto"/>
            </w:tcBorders>
            <w:vAlign w:val="center"/>
            <w:hideMark/>
          </w:tcPr>
          <w:p w14:paraId="4DD5009C"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MKT-RF</w:t>
            </w:r>
          </w:p>
        </w:tc>
        <w:tc>
          <w:tcPr>
            <w:tcW w:w="0" w:type="auto"/>
            <w:tcBorders>
              <w:top w:val="single" w:sz="4" w:space="0" w:color="auto"/>
              <w:bottom w:val="single" w:sz="4" w:space="0" w:color="auto"/>
            </w:tcBorders>
            <w:vAlign w:val="center"/>
            <w:hideMark/>
          </w:tcPr>
          <w:p w14:paraId="7F85436C"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SMB</w:t>
            </w:r>
          </w:p>
        </w:tc>
        <w:tc>
          <w:tcPr>
            <w:tcW w:w="0" w:type="auto"/>
            <w:tcBorders>
              <w:top w:val="single" w:sz="4" w:space="0" w:color="auto"/>
              <w:bottom w:val="single" w:sz="4" w:space="0" w:color="auto"/>
            </w:tcBorders>
            <w:vAlign w:val="center"/>
            <w:hideMark/>
          </w:tcPr>
          <w:p w14:paraId="367895DF"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HML</w:t>
            </w:r>
          </w:p>
        </w:tc>
        <w:tc>
          <w:tcPr>
            <w:tcW w:w="0" w:type="auto"/>
            <w:tcBorders>
              <w:top w:val="single" w:sz="4" w:space="0" w:color="auto"/>
              <w:bottom w:val="single" w:sz="4" w:space="0" w:color="auto"/>
            </w:tcBorders>
            <w:vAlign w:val="center"/>
            <w:hideMark/>
          </w:tcPr>
          <w:p w14:paraId="4B1A6DCB"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MOM</w:t>
            </w:r>
          </w:p>
        </w:tc>
      </w:tr>
      <w:tr w:rsidR="00924CA7" w:rsidRPr="00924CA7" w14:paraId="5822394C" w14:textId="77777777">
        <w:trPr>
          <w:tblCellSpacing w:w="15" w:type="dxa"/>
        </w:trPr>
        <w:tc>
          <w:tcPr>
            <w:tcW w:w="0" w:type="auto"/>
            <w:vAlign w:val="center"/>
            <w:hideMark/>
          </w:tcPr>
          <w:p w14:paraId="338E4F73"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2C639D9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-0.000335 </w:t>
            </w:r>
          </w:p>
          <w:p w14:paraId="758ABE59" w14:textId="37CF726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(-0.147)</w:t>
            </w:r>
          </w:p>
        </w:tc>
        <w:tc>
          <w:tcPr>
            <w:tcW w:w="0" w:type="auto"/>
            <w:vAlign w:val="center"/>
            <w:hideMark/>
          </w:tcPr>
          <w:p w14:paraId="23DA07F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0.740** </w:t>
            </w:r>
          </w:p>
          <w:p w14:paraId="66B558C9" w14:textId="176F4C9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(2.31)</w:t>
            </w:r>
          </w:p>
        </w:tc>
        <w:tc>
          <w:tcPr>
            <w:tcW w:w="0" w:type="auto"/>
            <w:vAlign w:val="center"/>
            <w:hideMark/>
          </w:tcPr>
          <w:p w14:paraId="329A977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-0.048 </w:t>
            </w:r>
          </w:p>
          <w:p w14:paraId="561C0BFB" w14:textId="4E611F0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(-0.092</w:t>
            </w:r>
            <w:r w:rsidR="0092194D">
              <w:rPr>
                <w:rFonts w:ascii="Times New Roman" w:eastAsia="Times New Roman" w:hAnsi="Times New Roman" w:cs="Times New Roman"/>
                <w:kern w:val="0"/>
                <w:sz w:val="24"/>
                <w:szCs w:val="24"/>
                <w:lang w:eastAsia="it-IT"/>
                <w14:ligatures w14:val="none"/>
              </w:rPr>
              <w:t>2</w:t>
            </w:r>
            <w:r w:rsidRPr="00924CA7">
              <w:rPr>
                <w:rFonts w:ascii="Times New Roman" w:eastAsia="Times New Roman" w:hAnsi="Times New Roman" w:cs="Times New Roman"/>
                <w:kern w:val="0"/>
                <w:sz w:val="24"/>
                <w:szCs w:val="24"/>
                <w:lang w:eastAsia="it-IT"/>
                <w14:ligatures w14:val="none"/>
              </w:rPr>
              <w:t>)</w:t>
            </w:r>
          </w:p>
        </w:tc>
        <w:tc>
          <w:tcPr>
            <w:tcW w:w="0" w:type="auto"/>
            <w:vAlign w:val="center"/>
            <w:hideMark/>
          </w:tcPr>
          <w:p w14:paraId="6F3D0F6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-0.429 </w:t>
            </w:r>
          </w:p>
          <w:p w14:paraId="0D048AC8" w14:textId="6FB0DDE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(-1.28)</w:t>
            </w:r>
          </w:p>
        </w:tc>
        <w:tc>
          <w:tcPr>
            <w:tcW w:w="0" w:type="auto"/>
            <w:vAlign w:val="center"/>
            <w:hideMark/>
          </w:tcPr>
          <w:p w14:paraId="41848B9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0.501** </w:t>
            </w:r>
          </w:p>
          <w:p w14:paraId="024CD208" w14:textId="65FD4D1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(2.50)</w:t>
            </w:r>
          </w:p>
        </w:tc>
      </w:tr>
      <w:tr w:rsidR="00924CA7" w:rsidRPr="00924CA7" w14:paraId="3B9801A6" w14:textId="77777777">
        <w:trPr>
          <w:tblCellSpacing w:w="15" w:type="dxa"/>
        </w:trPr>
        <w:tc>
          <w:tcPr>
            <w:tcW w:w="0" w:type="auto"/>
            <w:vAlign w:val="center"/>
            <w:hideMark/>
          </w:tcPr>
          <w:p w14:paraId="33FD01E3"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2A2216E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-0.00128 </w:t>
            </w:r>
          </w:p>
          <w:p w14:paraId="0C3E33D1" w14:textId="04A0DBE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(-0.620)</w:t>
            </w:r>
          </w:p>
        </w:tc>
        <w:tc>
          <w:tcPr>
            <w:tcW w:w="0" w:type="auto"/>
            <w:vAlign w:val="center"/>
            <w:hideMark/>
          </w:tcPr>
          <w:p w14:paraId="0B704C2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0.471 </w:t>
            </w:r>
          </w:p>
          <w:p w14:paraId="49567DF1" w14:textId="7E6F35C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(1.68)</w:t>
            </w:r>
          </w:p>
        </w:tc>
        <w:tc>
          <w:tcPr>
            <w:tcW w:w="0" w:type="auto"/>
            <w:vAlign w:val="center"/>
            <w:hideMark/>
          </w:tcPr>
          <w:p w14:paraId="3657049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0.257 </w:t>
            </w:r>
          </w:p>
          <w:p w14:paraId="162A560D" w14:textId="0C51B9F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(0.544)</w:t>
            </w:r>
          </w:p>
        </w:tc>
        <w:tc>
          <w:tcPr>
            <w:tcW w:w="0" w:type="auto"/>
            <w:vAlign w:val="center"/>
            <w:hideMark/>
          </w:tcPr>
          <w:p w14:paraId="12B9914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-0.550 </w:t>
            </w:r>
          </w:p>
          <w:p w14:paraId="7133FFD8" w14:textId="18ABD29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(-1.67)</w:t>
            </w:r>
          </w:p>
        </w:tc>
        <w:tc>
          <w:tcPr>
            <w:tcW w:w="0" w:type="auto"/>
            <w:vAlign w:val="center"/>
            <w:hideMark/>
          </w:tcPr>
          <w:p w14:paraId="255FC46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0.696*** </w:t>
            </w:r>
          </w:p>
          <w:p w14:paraId="72EAFA7A" w14:textId="3D454473"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(3.67)</w:t>
            </w:r>
          </w:p>
        </w:tc>
      </w:tr>
      <w:tr w:rsidR="00924CA7" w:rsidRPr="00924CA7" w14:paraId="095A323C" w14:textId="77777777">
        <w:trPr>
          <w:tblCellSpacing w:w="15" w:type="dxa"/>
        </w:trPr>
        <w:tc>
          <w:tcPr>
            <w:tcW w:w="0" w:type="auto"/>
            <w:vAlign w:val="center"/>
            <w:hideMark/>
          </w:tcPr>
          <w:p w14:paraId="5184035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277C681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0.00111 </w:t>
            </w:r>
          </w:p>
          <w:p w14:paraId="5081DA41" w14:textId="78D53C6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(0.475)</w:t>
            </w:r>
          </w:p>
        </w:tc>
        <w:tc>
          <w:tcPr>
            <w:tcW w:w="0" w:type="auto"/>
            <w:vAlign w:val="center"/>
            <w:hideMark/>
          </w:tcPr>
          <w:p w14:paraId="69FCB85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 xml:space="preserve">0.590* </w:t>
            </w:r>
          </w:p>
          <w:p w14:paraId="209ED6CB" w14:textId="6E27052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(1.86)</w:t>
            </w:r>
          </w:p>
        </w:tc>
        <w:tc>
          <w:tcPr>
            <w:tcW w:w="0" w:type="auto"/>
            <w:vAlign w:val="center"/>
            <w:hideMark/>
          </w:tcPr>
          <w:p w14:paraId="4A17C0F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 xml:space="preserve">-0.681 </w:t>
            </w:r>
          </w:p>
          <w:p w14:paraId="08A2E1CC" w14:textId="1F38336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(-1.26)</w:t>
            </w:r>
          </w:p>
        </w:tc>
        <w:tc>
          <w:tcPr>
            <w:tcW w:w="0" w:type="auto"/>
            <w:vAlign w:val="center"/>
            <w:hideMark/>
          </w:tcPr>
          <w:p w14:paraId="3DF3413E"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 xml:space="preserve">-0.657* </w:t>
            </w:r>
          </w:p>
          <w:p w14:paraId="6BBCFD7D" w14:textId="7406A4F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(-1.76)</w:t>
            </w:r>
          </w:p>
        </w:tc>
        <w:tc>
          <w:tcPr>
            <w:tcW w:w="0" w:type="auto"/>
            <w:vAlign w:val="center"/>
            <w:hideMark/>
          </w:tcPr>
          <w:p w14:paraId="735C76C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 xml:space="preserve">0.244 </w:t>
            </w:r>
          </w:p>
          <w:p w14:paraId="4C558EF5" w14:textId="381AB34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(1.14)</w:t>
            </w:r>
          </w:p>
        </w:tc>
      </w:tr>
      <w:tr w:rsidR="00924CA7" w:rsidRPr="00924CA7" w14:paraId="05A67142" w14:textId="77777777">
        <w:trPr>
          <w:tblCellSpacing w:w="15" w:type="dxa"/>
        </w:trPr>
        <w:tc>
          <w:tcPr>
            <w:tcW w:w="0" w:type="auto"/>
            <w:vAlign w:val="center"/>
            <w:hideMark/>
          </w:tcPr>
          <w:p w14:paraId="6445EA7B"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lastRenderedPageBreak/>
              <w:t>SW-CGL</w:t>
            </w:r>
          </w:p>
        </w:tc>
        <w:tc>
          <w:tcPr>
            <w:tcW w:w="0" w:type="auto"/>
            <w:vAlign w:val="center"/>
            <w:hideMark/>
          </w:tcPr>
          <w:p w14:paraId="42354D2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-0.000989 </w:t>
            </w:r>
          </w:p>
          <w:p w14:paraId="694163D9" w14:textId="6AB1CDE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(-0.426)</w:t>
            </w:r>
          </w:p>
        </w:tc>
        <w:tc>
          <w:tcPr>
            <w:tcW w:w="0" w:type="auto"/>
            <w:vAlign w:val="center"/>
            <w:hideMark/>
          </w:tcPr>
          <w:p w14:paraId="143888F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0.747** </w:t>
            </w:r>
          </w:p>
          <w:p w14:paraId="0CA05CA5" w14:textId="75107A8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(2.29)</w:t>
            </w:r>
          </w:p>
        </w:tc>
        <w:tc>
          <w:tcPr>
            <w:tcW w:w="0" w:type="auto"/>
            <w:vAlign w:val="center"/>
            <w:hideMark/>
          </w:tcPr>
          <w:p w14:paraId="0C026F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-0.240 </w:t>
            </w:r>
          </w:p>
          <w:p w14:paraId="7F0ECD20" w14:textId="58B7534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(-0.452)</w:t>
            </w:r>
          </w:p>
        </w:tc>
        <w:tc>
          <w:tcPr>
            <w:tcW w:w="0" w:type="auto"/>
            <w:vAlign w:val="center"/>
            <w:hideMark/>
          </w:tcPr>
          <w:p w14:paraId="4D1E84C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-0.392 </w:t>
            </w:r>
          </w:p>
          <w:p w14:paraId="75E044C0" w14:textId="164E18E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(-1.15)</w:t>
            </w:r>
          </w:p>
        </w:tc>
        <w:tc>
          <w:tcPr>
            <w:tcW w:w="0" w:type="auto"/>
            <w:vAlign w:val="center"/>
            <w:hideMark/>
          </w:tcPr>
          <w:p w14:paraId="01B7C01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0.560*** </w:t>
            </w:r>
          </w:p>
          <w:p w14:paraId="37BA6AF8" w14:textId="26D9845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(2.74)</w:t>
            </w:r>
          </w:p>
        </w:tc>
      </w:tr>
      <w:tr w:rsidR="00924CA7" w:rsidRPr="00924CA7" w14:paraId="05877C3D" w14:textId="77777777">
        <w:trPr>
          <w:tblCellSpacing w:w="15" w:type="dxa"/>
        </w:trPr>
        <w:tc>
          <w:tcPr>
            <w:tcW w:w="0" w:type="auto"/>
            <w:vAlign w:val="center"/>
            <w:hideMark/>
          </w:tcPr>
          <w:p w14:paraId="5D539730"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7306D26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-0.00188 </w:t>
            </w:r>
          </w:p>
          <w:p w14:paraId="6ADBFEB3" w14:textId="11DD54B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(-0.944)</w:t>
            </w:r>
          </w:p>
        </w:tc>
        <w:tc>
          <w:tcPr>
            <w:tcW w:w="0" w:type="auto"/>
            <w:vAlign w:val="center"/>
            <w:hideMark/>
          </w:tcPr>
          <w:p w14:paraId="59C6DE0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0.260 </w:t>
            </w:r>
          </w:p>
          <w:p w14:paraId="14C7194F" w14:textId="57EA7CE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(0.956)</w:t>
            </w:r>
          </w:p>
        </w:tc>
        <w:tc>
          <w:tcPr>
            <w:tcW w:w="0" w:type="auto"/>
            <w:vAlign w:val="center"/>
            <w:hideMark/>
          </w:tcPr>
          <w:p w14:paraId="0667CD28"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0.340 </w:t>
            </w:r>
          </w:p>
          <w:p w14:paraId="35229DFA" w14:textId="548827B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(0.745)</w:t>
            </w:r>
          </w:p>
        </w:tc>
        <w:tc>
          <w:tcPr>
            <w:tcW w:w="0" w:type="auto"/>
            <w:vAlign w:val="center"/>
            <w:hideMark/>
          </w:tcPr>
          <w:p w14:paraId="45C0F39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-0.782** </w:t>
            </w:r>
          </w:p>
          <w:p w14:paraId="0C135518" w14:textId="15E6791C"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(-2.45)</w:t>
            </w:r>
          </w:p>
        </w:tc>
        <w:tc>
          <w:tcPr>
            <w:tcW w:w="0" w:type="auto"/>
            <w:vAlign w:val="center"/>
            <w:hideMark/>
          </w:tcPr>
          <w:p w14:paraId="278B35E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0.749*** </w:t>
            </w:r>
          </w:p>
          <w:p w14:paraId="5CB421F4" w14:textId="0151508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(4.08)</w:t>
            </w:r>
          </w:p>
        </w:tc>
      </w:tr>
      <w:tr w:rsidR="00924CA7" w:rsidRPr="00924CA7" w14:paraId="3F739B11" w14:textId="77777777">
        <w:trPr>
          <w:tblCellSpacing w:w="15" w:type="dxa"/>
        </w:trPr>
        <w:tc>
          <w:tcPr>
            <w:tcW w:w="0" w:type="auto"/>
            <w:vAlign w:val="center"/>
            <w:hideMark/>
          </w:tcPr>
          <w:p w14:paraId="39B5E788"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1058392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0.000046 </w:t>
            </w:r>
          </w:p>
          <w:p w14:paraId="12802F2A" w14:textId="67C1C96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(0.021)</w:t>
            </w:r>
          </w:p>
        </w:tc>
        <w:tc>
          <w:tcPr>
            <w:tcW w:w="0" w:type="auto"/>
            <w:vAlign w:val="center"/>
            <w:hideMark/>
          </w:tcPr>
          <w:p w14:paraId="0B26A872"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0.505* </w:t>
            </w:r>
          </w:p>
          <w:p w14:paraId="5A9E212B" w14:textId="3D413F5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(1.70)</w:t>
            </w:r>
          </w:p>
        </w:tc>
        <w:tc>
          <w:tcPr>
            <w:tcW w:w="0" w:type="auto"/>
            <w:vAlign w:val="center"/>
            <w:hideMark/>
          </w:tcPr>
          <w:p w14:paraId="5308C9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-0.577</w:t>
            </w:r>
          </w:p>
          <w:p w14:paraId="7F6B5053" w14:textId="7B50CC9C"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(-1.14)</w:t>
            </w:r>
          </w:p>
        </w:tc>
        <w:tc>
          <w:tcPr>
            <w:tcW w:w="0" w:type="auto"/>
            <w:vAlign w:val="center"/>
            <w:hideMark/>
          </w:tcPr>
          <w:p w14:paraId="2DF11CB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-0.743** </w:t>
            </w:r>
          </w:p>
          <w:p w14:paraId="52F57AF6" w14:textId="2702B54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(-2.13)</w:t>
            </w:r>
          </w:p>
        </w:tc>
        <w:tc>
          <w:tcPr>
            <w:tcW w:w="0" w:type="auto"/>
            <w:vAlign w:val="center"/>
            <w:hideMark/>
          </w:tcPr>
          <w:p w14:paraId="56CF804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0.305 </w:t>
            </w:r>
          </w:p>
          <w:p w14:paraId="2E7AFE1E" w14:textId="229F5D6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(1.52)</w:t>
            </w:r>
          </w:p>
        </w:tc>
      </w:tr>
      <w:tr w:rsidR="00924CA7" w:rsidRPr="00924CA7" w14:paraId="5E754075" w14:textId="77777777">
        <w:trPr>
          <w:tblCellSpacing w:w="15" w:type="dxa"/>
        </w:trPr>
        <w:tc>
          <w:tcPr>
            <w:tcW w:w="0" w:type="auto"/>
            <w:vAlign w:val="center"/>
            <w:hideMark/>
          </w:tcPr>
          <w:p w14:paraId="5110B0AB"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109E1388"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-0.000714 </w:t>
            </w:r>
          </w:p>
          <w:p w14:paraId="085673A1" w14:textId="2394701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(-0.351)</w:t>
            </w:r>
          </w:p>
        </w:tc>
        <w:tc>
          <w:tcPr>
            <w:tcW w:w="0" w:type="auto"/>
            <w:vAlign w:val="center"/>
            <w:hideMark/>
          </w:tcPr>
          <w:p w14:paraId="06BEADB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0.884*** </w:t>
            </w:r>
          </w:p>
          <w:p w14:paraId="779EA35A" w14:textId="6518E2B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(3.09)</w:t>
            </w:r>
          </w:p>
        </w:tc>
        <w:tc>
          <w:tcPr>
            <w:tcW w:w="0" w:type="auto"/>
            <w:vAlign w:val="center"/>
            <w:hideMark/>
          </w:tcPr>
          <w:p w14:paraId="29DD8F2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-0.349 </w:t>
            </w:r>
          </w:p>
          <w:p w14:paraId="1BEDB8EC" w14:textId="133315F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(-0.751)</w:t>
            </w:r>
          </w:p>
        </w:tc>
        <w:tc>
          <w:tcPr>
            <w:tcW w:w="0" w:type="auto"/>
            <w:vAlign w:val="center"/>
            <w:hideMark/>
          </w:tcPr>
          <w:p w14:paraId="1DCEF11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-0.418 </w:t>
            </w:r>
          </w:p>
          <w:p w14:paraId="09DBE7B7" w14:textId="33A3610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(-1.40)</w:t>
            </w:r>
          </w:p>
        </w:tc>
        <w:tc>
          <w:tcPr>
            <w:tcW w:w="0" w:type="auto"/>
            <w:vAlign w:val="center"/>
            <w:hideMark/>
          </w:tcPr>
          <w:p w14:paraId="5B0D092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0.429** </w:t>
            </w:r>
          </w:p>
          <w:p w14:paraId="545510E0" w14:textId="717971BB"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(2.39)</w:t>
            </w:r>
          </w:p>
        </w:tc>
      </w:tr>
      <w:tr w:rsidR="00924CA7" w:rsidRPr="00924CA7" w14:paraId="3E35EAF1" w14:textId="77777777">
        <w:trPr>
          <w:tblCellSpacing w:w="15" w:type="dxa"/>
        </w:trPr>
        <w:tc>
          <w:tcPr>
            <w:tcW w:w="0" w:type="auto"/>
            <w:vAlign w:val="center"/>
            <w:hideMark/>
          </w:tcPr>
          <w:p w14:paraId="5336B599"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4BFB828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-0.00302 </w:t>
            </w:r>
          </w:p>
          <w:p w14:paraId="74E19A67" w14:textId="1B5FF9B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(-1.50)</w:t>
            </w:r>
          </w:p>
        </w:tc>
        <w:tc>
          <w:tcPr>
            <w:tcW w:w="0" w:type="auto"/>
            <w:vAlign w:val="center"/>
            <w:hideMark/>
          </w:tcPr>
          <w:p w14:paraId="1FBA005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0.595** </w:t>
            </w:r>
          </w:p>
          <w:p w14:paraId="0DED49DF" w14:textId="5C1B55D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(2.17)</w:t>
            </w:r>
          </w:p>
        </w:tc>
        <w:tc>
          <w:tcPr>
            <w:tcW w:w="0" w:type="auto"/>
            <w:vAlign w:val="center"/>
            <w:hideMark/>
          </w:tcPr>
          <w:p w14:paraId="791A26D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-0.135 </w:t>
            </w:r>
          </w:p>
          <w:p w14:paraId="6337AB94" w14:textId="33CA75E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(-0.292)</w:t>
            </w:r>
          </w:p>
        </w:tc>
        <w:tc>
          <w:tcPr>
            <w:tcW w:w="0" w:type="auto"/>
            <w:vAlign w:val="center"/>
            <w:hideMark/>
          </w:tcPr>
          <w:p w14:paraId="6187D92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-0.373 </w:t>
            </w:r>
          </w:p>
          <w:p w14:paraId="69BE361D" w14:textId="270AB9D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(-1.16)</w:t>
            </w:r>
          </w:p>
        </w:tc>
        <w:tc>
          <w:tcPr>
            <w:tcW w:w="0" w:type="auto"/>
            <w:vAlign w:val="center"/>
            <w:hideMark/>
          </w:tcPr>
          <w:p w14:paraId="25C726A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0.673*** </w:t>
            </w:r>
          </w:p>
          <w:p w14:paraId="412EDF36" w14:textId="1E25A8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(3.63)</w:t>
            </w:r>
          </w:p>
        </w:tc>
      </w:tr>
      <w:tr w:rsidR="00924CA7" w:rsidRPr="00924CA7" w14:paraId="58D2DCF9" w14:textId="77777777">
        <w:trPr>
          <w:tblCellSpacing w:w="15" w:type="dxa"/>
        </w:trPr>
        <w:tc>
          <w:tcPr>
            <w:tcW w:w="0" w:type="auto"/>
            <w:vAlign w:val="center"/>
            <w:hideMark/>
          </w:tcPr>
          <w:p w14:paraId="3582EE9A"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VW-G</w:t>
            </w:r>
          </w:p>
        </w:tc>
        <w:tc>
          <w:tcPr>
            <w:tcW w:w="0" w:type="auto"/>
            <w:vAlign w:val="center"/>
            <w:hideMark/>
          </w:tcPr>
          <w:p w14:paraId="2F76A12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0.00163 </w:t>
            </w:r>
          </w:p>
          <w:p w14:paraId="7B08559F" w14:textId="0ACB2C7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(0.570)</w:t>
            </w:r>
          </w:p>
        </w:tc>
        <w:tc>
          <w:tcPr>
            <w:tcW w:w="0" w:type="auto"/>
            <w:vAlign w:val="center"/>
            <w:hideMark/>
          </w:tcPr>
          <w:p w14:paraId="5CC6FB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0.637 </w:t>
            </w:r>
          </w:p>
          <w:p w14:paraId="09C9A023" w14:textId="3DAACEA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(1.65)</w:t>
            </w:r>
          </w:p>
        </w:tc>
        <w:tc>
          <w:tcPr>
            <w:tcW w:w="0" w:type="auto"/>
            <w:vAlign w:val="center"/>
            <w:hideMark/>
          </w:tcPr>
          <w:p w14:paraId="0A44340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-0.502 </w:t>
            </w:r>
          </w:p>
          <w:p w14:paraId="17111D6F" w14:textId="65C67A0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(-0.761)</w:t>
            </w:r>
          </w:p>
        </w:tc>
        <w:tc>
          <w:tcPr>
            <w:tcW w:w="0" w:type="auto"/>
            <w:vAlign w:val="center"/>
            <w:hideMark/>
          </w:tcPr>
          <w:p w14:paraId="422F2E2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-0.703 </w:t>
            </w:r>
          </w:p>
          <w:p w14:paraId="06A2E014" w14:textId="758D20C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(-1.55)</w:t>
            </w:r>
          </w:p>
        </w:tc>
        <w:tc>
          <w:tcPr>
            <w:tcW w:w="0" w:type="auto"/>
            <w:vAlign w:val="center"/>
            <w:hideMark/>
          </w:tcPr>
          <w:p w14:paraId="0B9CBF9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0.239 </w:t>
            </w:r>
          </w:p>
          <w:p w14:paraId="317B0DF2" w14:textId="64221C1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(0.918)</w:t>
            </w:r>
          </w:p>
        </w:tc>
      </w:tr>
    </w:tbl>
    <w:p w14:paraId="59F6DB9A" w14:textId="7D389052" w:rsidR="00B01CFF" w:rsidRPr="008A0FA0" w:rsidRDefault="008A0FA0" w:rsidP="008A0FA0">
      <w:pPr>
        <w:spacing w:before="100" w:beforeAutospacing="1" w:after="100" w:afterAutospacing="1" w:line="240" w:lineRule="auto"/>
        <w:jc w:val="both"/>
        <w:rPr>
          <w:rFonts w:ascii="Times New Roman" w:eastAsia="Times New Roman" w:hAnsi="Times New Roman" w:cs="Times New Roman"/>
          <w:kern w:val="0"/>
          <w:sz w:val="24"/>
          <w:szCs w:val="24"/>
          <w:lang w:eastAsia="it-IT"/>
          <w14:ligatures w14:val="none"/>
        </w:rPr>
      </w:pPr>
      <w:r w:rsidRPr="008A0FA0">
        <w:rPr>
          <w:rFonts w:ascii="Times New Roman" w:eastAsia="Times New Roman" w:hAnsi="Times New Roman" w:cs="Times New Roman"/>
          <w:i/>
          <w:iCs/>
          <w:kern w:val="0"/>
          <w:sz w:val="24"/>
          <w:szCs w:val="24"/>
          <w:lang w:eastAsia="it-IT"/>
          <w14:ligatures w14:val="none"/>
        </w:rPr>
        <w:t xml:space="preserve">Nota. </w:t>
      </w:r>
      <w:r w:rsidR="00924CA7" w:rsidRPr="00924CA7">
        <w:rPr>
          <w:rFonts w:ascii="Times New Roman" w:eastAsia="Times New Roman" w:hAnsi="Times New Roman" w:cs="Times New Roman"/>
          <w:i/>
          <w:iCs/>
          <w:kern w:val="0"/>
          <w:sz w:val="24"/>
          <w:szCs w:val="24"/>
          <w:lang w:eastAsia="it-IT"/>
          <w14:ligatures w14:val="none"/>
        </w:rPr>
        <w:t>La tabella riporta i coefficienti stimati delle regressioni OLS multifattoriali Fama-French-Carhart a quattro fattori. Le t-statistics sono riportate tra parentesi sotto ciascun coefficiente. I risultati si riferiscono ai portafogli Equally Weighted (EW), Signal Weighted (SW) e Value Weighted (VW) per le tre configurazioni di modello considerate (CGL, CGP e G). I livelli di significatività statistica sono indicati come segue: * p &lt; 0.10; ** p &lt; 0.05; *** p &lt; 0.01.</w:t>
      </w:r>
    </w:p>
    <w:p w14:paraId="11A19ADB"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Anche nell’ambito delle regressioni multifattoriali, gli intercept risultano generalmente non significativi, confermando l’assenza di evidenza robusta di alpha economicamente significativo una volta corretto per le principali fonti di rischio sistematico.</w:t>
      </w:r>
    </w:p>
    <w:p w14:paraId="7FBE7814"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L’evidenza più rilevante emerge invece con riferimento al fattore momentum (MOM). In particolare, i portafogli costruiti mediante le configurazioni ChatGPT evidenziano coefficienti generalmente positivi e in diversi casi statisticamente significativi, soprattutto nei portafogli equally weighted e value weighted. Tale risultato suggerisce che una parte della performance osservata possa riflettere una maggiore esposizione a dinamiche di momentum già incorporate nel mercato.</w:t>
      </w:r>
    </w:p>
    <w:p w14:paraId="4911A421"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Gemini Pro mostra invece una minore e meno sistematica esposizione al fattore momentum, con coefficienti generalmente non significativi nelle diverse configurazioni considerate. Questa evidenza suggerisce una dinamica inferenziale parzialmente differente rispetto ai modelli ChatGPT, pur senza tradursi in una superiore capacità di generazione di alpha risk-adjusted.</w:t>
      </w:r>
    </w:p>
    <w:p w14:paraId="44D27269"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Dal punto di vista economico, i risultati ottenuti indicano che i modelli linguistici analizzati sembrano comportarsi prevalentemente come sofisticati aggregatori di informazioni e sentiment già riflessi nei prezzi di mercato, piuttosto che come strumenti in grado di identificare inefficienze informative sistematicamente sfruttabili.</w:t>
      </w:r>
    </w:p>
    <w:p w14:paraId="587BF99D"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L’evidenza empirica fornita dai test di asset pricing conferma pertanto che le performance osservate tendono a ridimensionarsi significativamente una volta corrette per il rischio sistematico, non supportando l’esistenza di una robusta capacità predittiva economicamente sfruttabile nel contesto intraday considerato.</w:t>
      </w:r>
    </w:p>
    <w:p w14:paraId="49DD8870" w14:textId="77777777" w:rsid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4.4 Magnitude Forecasting</w:t>
      </w:r>
    </w:p>
    <w:p w14:paraId="3A10459D" w14:textId="77777777" w:rsidR="00C73779" w:rsidRPr="00C73779" w:rsidRDefault="00C73779" w:rsidP="00C73779">
      <w:pPr>
        <w:pStyle w:val="Didascalia"/>
        <w:keepNext/>
        <w:jc w:val="both"/>
        <w:rPr>
          <w:rFonts w:ascii="Times New Roman" w:hAnsi="Times New Roman" w:cs="Times New Roman"/>
          <w:i w:val="0"/>
          <w:iCs w:val="0"/>
          <w:color w:val="auto"/>
          <w:sz w:val="24"/>
          <w:szCs w:val="24"/>
        </w:rPr>
      </w:pPr>
      <w:r w:rsidRPr="00C73779">
        <w:rPr>
          <w:rFonts w:ascii="Times New Roman" w:hAnsi="Times New Roman" w:cs="Times New Roman"/>
          <w:i w:val="0"/>
          <w:iCs w:val="0"/>
          <w:color w:val="auto"/>
          <w:sz w:val="24"/>
          <w:szCs w:val="24"/>
        </w:rPr>
        <w:t xml:space="preserve">Oltre alla previsione direzionale dei rendimenti, ai modelli linguistici è stato richiesto di formulare stime puntuali relative al prezzo di chiusura successivo di specifici titoli azionari. Questa componente </w:t>
      </w:r>
      <w:r w:rsidRPr="00C73779">
        <w:rPr>
          <w:rFonts w:ascii="Times New Roman" w:hAnsi="Times New Roman" w:cs="Times New Roman"/>
          <w:i w:val="0"/>
          <w:iCs w:val="0"/>
          <w:color w:val="auto"/>
          <w:sz w:val="24"/>
          <w:szCs w:val="24"/>
        </w:rPr>
        <w:lastRenderedPageBreak/>
        <w:t>dell’esperimento risulta particolarmente rilevante poiché consente di valutare non soltanto la capacità dei modelli di anticipare il segno dei rendimenti, ma anche la loro abilità nel prevederne la magnitudine.</w:t>
      </w:r>
    </w:p>
    <w:p w14:paraId="1D4B5B06" w14:textId="77777777" w:rsidR="00C73779" w:rsidRPr="00C73779" w:rsidRDefault="00C73779" w:rsidP="00C73779">
      <w:pPr>
        <w:pStyle w:val="Didascalia"/>
        <w:keepNext/>
        <w:jc w:val="both"/>
        <w:rPr>
          <w:rFonts w:ascii="Times New Roman" w:hAnsi="Times New Roman" w:cs="Times New Roman"/>
          <w:i w:val="0"/>
          <w:iCs w:val="0"/>
          <w:color w:val="auto"/>
          <w:sz w:val="24"/>
          <w:szCs w:val="24"/>
        </w:rPr>
      </w:pPr>
      <w:r w:rsidRPr="00C73779">
        <w:rPr>
          <w:rFonts w:ascii="Times New Roman" w:hAnsi="Times New Roman" w:cs="Times New Roman"/>
          <w:i w:val="0"/>
          <w:iCs w:val="0"/>
          <w:color w:val="auto"/>
          <w:sz w:val="24"/>
          <w:szCs w:val="24"/>
        </w:rPr>
        <w:t>Per valutare la relazione tra rendimenti previsti e rendimenti effettivamente realizzati, è stata stimata una regressione lineare cross-sectional tra le previsioni generate dagli LLMs e i successivi rendimenti osservati sul mercato. La Tabella 7 riporta i risultati principali delle regressioni aggregate.</w:t>
      </w:r>
    </w:p>
    <w:p w14:paraId="74BB37CE" w14:textId="257B3619" w:rsidR="00C73779" w:rsidRPr="00C73779" w:rsidRDefault="00C73779" w:rsidP="00C73779">
      <w:pPr>
        <w:pStyle w:val="Didascalia"/>
        <w:keepNext/>
        <w:rPr>
          <w:color w:val="auto"/>
        </w:rPr>
      </w:pPr>
      <w:r w:rsidRPr="00C73779">
        <w:rPr>
          <w:color w:val="auto"/>
        </w:rPr>
        <w:t xml:space="preserve">Tabella </w:t>
      </w:r>
      <w:r w:rsidRPr="00C73779">
        <w:rPr>
          <w:color w:val="auto"/>
        </w:rPr>
        <w:fldChar w:fldCharType="begin"/>
      </w:r>
      <w:r w:rsidRPr="00C73779">
        <w:rPr>
          <w:color w:val="auto"/>
        </w:rPr>
        <w:instrText xml:space="preserve"> SEQ Tabella \* ARABIC </w:instrText>
      </w:r>
      <w:r w:rsidRPr="00C73779">
        <w:rPr>
          <w:color w:val="auto"/>
        </w:rPr>
        <w:fldChar w:fldCharType="separate"/>
      </w:r>
      <w:r w:rsidR="00212089">
        <w:rPr>
          <w:noProof/>
          <w:color w:val="auto"/>
        </w:rPr>
        <w:t>7</w:t>
      </w:r>
      <w:r w:rsidRPr="00C73779">
        <w:rPr>
          <w:color w:val="auto"/>
        </w:rPr>
        <w:fldChar w:fldCharType="end"/>
      </w:r>
    </w:p>
    <w:p w14:paraId="418901A3" w14:textId="5A9D714E" w:rsidR="00C73779" w:rsidRPr="00C73779" w:rsidRDefault="00C73779" w:rsidP="00C73779">
      <w:pPr>
        <w:jc w:val="both"/>
        <w:rPr>
          <w:rFonts w:ascii="Times New Roman" w:hAnsi="Times New Roman" w:cs="Times New Roman"/>
          <w:sz w:val="24"/>
          <w:szCs w:val="24"/>
        </w:rPr>
      </w:pPr>
      <w:r w:rsidRPr="006E079F">
        <w:rPr>
          <w:rFonts w:ascii="Times New Roman" w:hAnsi="Times New Roman" w:cs="Times New Roman"/>
          <w:sz w:val="24"/>
          <w:szCs w:val="24"/>
        </w:rPr>
        <w:t>Relazione tra rendimenti previsti e rendimenti realizzati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320"/>
        <w:gridCol w:w="680"/>
        <w:gridCol w:w="855"/>
      </w:tblGrid>
      <w:tr w:rsidR="00C73779" w:rsidRPr="00C73779" w14:paraId="280B5F2A" w14:textId="77777777" w:rsidTr="00C73779">
        <w:trPr>
          <w:tblHeader/>
          <w:tblCellSpacing w:w="15" w:type="dxa"/>
        </w:trPr>
        <w:tc>
          <w:tcPr>
            <w:tcW w:w="0" w:type="auto"/>
            <w:tcBorders>
              <w:top w:val="single" w:sz="4" w:space="0" w:color="auto"/>
              <w:bottom w:val="single" w:sz="4" w:space="0" w:color="auto"/>
            </w:tcBorders>
            <w:vAlign w:val="center"/>
            <w:hideMark/>
          </w:tcPr>
          <w:p w14:paraId="4C92921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Variabile</w:t>
            </w:r>
          </w:p>
        </w:tc>
        <w:tc>
          <w:tcPr>
            <w:tcW w:w="0" w:type="auto"/>
            <w:tcBorders>
              <w:top w:val="single" w:sz="4" w:space="0" w:color="auto"/>
              <w:bottom w:val="single" w:sz="4" w:space="0" w:color="auto"/>
            </w:tcBorders>
            <w:vAlign w:val="center"/>
            <w:hideMark/>
          </w:tcPr>
          <w:p w14:paraId="2DFA7D2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Coefficiente</w:t>
            </w:r>
          </w:p>
        </w:tc>
        <w:tc>
          <w:tcPr>
            <w:tcW w:w="0" w:type="auto"/>
            <w:tcBorders>
              <w:top w:val="single" w:sz="4" w:space="0" w:color="auto"/>
              <w:bottom w:val="single" w:sz="4" w:space="0" w:color="auto"/>
            </w:tcBorders>
            <w:vAlign w:val="center"/>
            <w:hideMark/>
          </w:tcPr>
          <w:p w14:paraId="7D9F247D"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t-stat</w:t>
            </w:r>
          </w:p>
        </w:tc>
        <w:tc>
          <w:tcPr>
            <w:tcW w:w="0" w:type="auto"/>
            <w:tcBorders>
              <w:top w:val="single" w:sz="4" w:space="0" w:color="auto"/>
              <w:bottom w:val="single" w:sz="4" w:space="0" w:color="auto"/>
            </w:tcBorders>
            <w:vAlign w:val="center"/>
            <w:hideMark/>
          </w:tcPr>
          <w:p w14:paraId="5D47D6E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p-value</w:t>
            </w:r>
          </w:p>
        </w:tc>
      </w:tr>
      <w:tr w:rsidR="00C73779" w:rsidRPr="00C73779" w14:paraId="3BF3AD8F" w14:textId="77777777">
        <w:trPr>
          <w:tblCellSpacing w:w="15" w:type="dxa"/>
        </w:trPr>
        <w:tc>
          <w:tcPr>
            <w:tcW w:w="0" w:type="auto"/>
            <w:vAlign w:val="center"/>
            <w:hideMark/>
          </w:tcPr>
          <w:p w14:paraId="574E978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7D18555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-0.000696</w:t>
            </w:r>
          </w:p>
        </w:tc>
        <w:tc>
          <w:tcPr>
            <w:tcW w:w="0" w:type="auto"/>
            <w:vAlign w:val="center"/>
            <w:hideMark/>
          </w:tcPr>
          <w:p w14:paraId="298E93A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-0.939</w:t>
            </w:r>
          </w:p>
        </w:tc>
        <w:tc>
          <w:tcPr>
            <w:tcW w:w="0" w:type="auto"/>
            <w:vAlign w:val="center"/>
            <w:hideMark/>
          </w:tcPr>
          <w:p w14:paraId="5DC3CF4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0.348</w:t>
            </w:r>
          </w:p>
        </w:tc>
      </w:tr>
      <w:tr w:rsidR="00C73779" w:rsidRPr="00C73779" w14:paraId="6B68BBD1" w14:textId="77777777">
        <w:trPr>
          <w:tblCellSpacing w:w="15" w:type="dxa"/>
        </w:trPr>
        <w:tc>
          <w:tcPr>
            <w:tcW w:w="0" w:type="auto"/>
            <w:vAlign w:val="center"/>
            <w:hideMark/>
          </w:tcPr>
          <w:p w14:paraId="0E562DD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1B28E08E" w14:textId="6291EA9C"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0.0031</w:t>
            </w:r>
            <w:r w:rsidR="00212089">
              <w:rPr>
                <w:rFonts w:ascii="Times New Roman" w:eastAsia="Times New Roman" w:hAnsi="Times New Roman" w:cs="Times New Roman"/>
                <w:kern w:val="0"/>
                <w:sz w:val="24"/>
                <w:szCs w:val="24"/>
                <w:lang w:eastAsia="it-IT"/>
                <w14:ligatures w14:val="none"/>
              </w:rPr>
              <w:t>794</w:t>
            </w:r>
          </w:p>
        </w:tc>
        <w:tc>
          <w:tcPr>
            <w:tcW w:w="0" w:type="auto"/>
            <w:vAlign w:val="center"/>
            <w:hideMark/>
          </w:tcPr>
          <w:p w14:paraId="0A3B667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2.792</w:t>
            </w:r>
          </w:p>
        </w:tc>
        <w:tc>
          <w:tcPr>
            <w:tcW w:w="0" w:type="auto"/>
            <w:vAlign w:val="center"/>
            <w:hideMark/>
          </w:tcPr>
          <w:p w14:paraId="23D632D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0.005**</w:t>
            </w:r>
          </w:p>
        </w:tc>
      </w:tr>
      <w:tr w:rsidR="00C73779" w:rsidRPr="00C73779" w14:paraId="2B374208" w14:textId="77777777">
        <w:trPr>
          <w:tblCellSpacing w:w="15" w:type="dxa"/>
        </w:trPr>
        <w:tc>
          <w:tcPr>
            <w:tcW w:w="0" w:type="auto"/>
            <w:vAlign w:val="center"/>
            <w:hideMark/>
          </w:tcPr>
          <w:p w14:paraId="2BFA21B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R²</w:t>
            </w:r>
          </w:p>
        </w:tc>
        <w:tc>
          <w:tcPr>
            <w:tcW w:w="0" w:type="auto"/>
            <w:vAlign w:val="center"/>
            <w:hideMark/>
          </w:tcPr>
          <w:p w14:paraId="35ECF6D9" w14:textId="5BDE5F65" w:rsidR="00C73779" w:rsidRPr="00C73779" w:rsidRDefault="00212089" w:rsidP="00C73779">
            <w:pPr>
              <w:spacing w:after="0" w:line="240" w:lineRule="auto"/>
              <w:rPr>
                <w:rFonts w:ascii="Times New Roman" w:eastAsia="Times New Roman" w:hAnsi="Times New Roman" w:cs="Times New Roman"/>
                <w:kern w:val="0"/>
                <w:sz w:val="24"/>
                <w:szCs w:val="24"/>
                <w:lang w:eastAsia="it-IT"/>
                <w14:ligatures w14:val="none"/>
              </w:rPr>
            </w:pPr>
            <w:r w:rsidRPr="00534580">
              <w:rPr>
                <w:rFonts w:ascii="Times New Roman" w:hAnsi="Times New Roman" w:cs="Times New Roman"/>
                <w:sz w:val="24"/>
                <w:szCs w:val="24"/>
                <w:lang w:val="en-GB"/>
              </w:rPr>
              <w:t xml:space="preserve">0.001295852 </w:t>
            </w:r>
          </w:p>
        </w:tc>
        <w:tc>
          <w:tcPr>
            <w:tcW w:w="0" w:type="auto"/>
            <w:vAlign w:val="center"/>
            <w:hideMark/>
          </w:tcPr>
          <w:p w14:paraId="5EC6BC98"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p>
        </w:tc>
        <w:tc>
          <w:tcPr>
            <w:tcW w:w="0" w:type="auto"/>
            <w:vAlign w:val="center"/>
            <w:hideMark/>
          </w:tcPr>
          <w:p w14:paraId="093E044A" w14:textId="77777777" w:rsidR="00C73779" w:rsidRPr="00C73779" w:rsidRDefault="00C73779" w:rsidP="00C73779">
            <w:pPr>
              <w:spacing w:after="0" w:line="240" w:lineRule="auto"/>
              <w:rPr>
                <w:rFonts w:ascii="Times New Roman" w:eastAsia="Times New Roman" w:hAnsi="Times New Roman" w:cs="Times New Roman"/>
                <w:kern w:val="0"/>
                <w:sz w:val="20"/>
                <w:szCs w:val="20"/>
                <w:lang w:eastAsia="it-IT"/>
                <w14:ligatures w14:val="none"/>
              </w:rPr>
            </w:pPr>
          </w:p>
        </w:tc>
      </w:tr>
    </w:tbl>
    <w:p w14:paraId="58F8D557" w14:textId="77777777" w:rsidR="00C73779" w:rsidRDefault="00C73779" w:rsidP="006E079F">
      <w:pPr>
        <w:jc w:val="both"/>
        <w:rPr>
          <w:rFonts w:ascii="Times New Roman" w:hAnsi="Times New Roman" w:cs="Times New Roman"/>
          <w:i/>
          <w:iCs/>
          <w:sz w:val="24"/>
          <w:szCs w:val="24"/>
        </w:rPr>
      </w:pPr>
    </w:p>
    <w:p w14:paraId="637584E2" w14:textId="77777777" w:rsidR="00C73779" w:rsidRDefault="006E079F" w:rsidP="006E079F">
      <w:pPr>
        <w:jc w:val="both"/>
        <w:rPr>
          <w:rFonts w:ascii="Times New Roman" w:hAnsi="Times New Roman" w:cs="Times New Roman"/>
          <w:i/>
          <w:iCs/>
          <w:sz w:val="24"/>
          <w:szCs w:val="24"/>
        </w:rPr>
      </w:pPr>
      <w:r w:rsidRPr="006E079F">
        <w:rPr>
          <w:rFonts w:ascii="Times New Roman" w:hAnsi="Times New Roman" w:cs="Times New Roman"/>
          <w:i/>
          <w:iCs/>
          <w:sz w:val="24"/>
          <w:szCs w:val="24"/>
        </w:rPr>
        <w:t xml:space="preserve">Nota. </w:t>
      </w:r>
      <w:r w:rsidR="00C73779" w:rsidRPr="00C73779">
        <w:rPr>
          <w:rFonts w:ascii="Times New Roman" w:hAnsi="Times New Roman" w:cs="Times New Roman"/>
          <w:i/>
          <w:iCs/>
          <w:sz w:val="24"/>
          <w:szCs w:val="24"/>
        </w:rPr>
        <w:t xml:space="preserve">La variabile dipendente è rappresentata dal rendimento giornaliero realizzato, mentre la variabile indipendente corrisponde al rendimento previsto dal modello linguistico. Significatività: ** p &lt; 0.01. </w:t>
      </w:r>
    </w:p>
    <w:p w14:paraId="1F6F6847"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I risultati non evidenziano una relazione statisticamente significativa tra le previsioni generate dagli LLMs e i successivi rendimenti realizzati sul mercato. Il coefficiente associato al rendimento previsto (Predicted Return) assume infatti un valore negativo pari a -0.00069, ma risulta statisticamente non significativo, con un p-value pari a 0.348. Tale evidenza suggerisce l’assenza di una relazione lineare stabile tra l’intensità numerica delle previsioni formulate dai modelli linguistici e i movimenti di prezzo effettivamente osservati nel giorno successivo.</w:t>
      </w:r>
    </w:p>
    <w:p w14:paraId="100030F4"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Dal punto di vista economico, questo risultato indica che le stime puntuali generate dagli LLMs non sembrano incorporare contenuto informativo quantitativamente sfruttabile nel brevissimo termine. Sebbene i modelli siano spesso in grado di produrre output coerenti dal punto di vista narrativo e semanticamente plausibili rispetto al contesto di mercato prevalente, tale capacità non si traduce in una robusta abilità di previsione della magnitudine dei rendimenti futuri.</w:t>
      </w:r>
    </w:p>
    <w:p w14:paraId="7262CD37"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Un elemento di particolare interesse emerge dall’analisi dell’intercetta della regressione, che risulta positiva e statisticamente significativa. In termini finanziari, questo risultato suggerisce la presenza di una moderata componente positiva media dei rendimenti nel periodo campionario, che i modelli linguistici non sembrano incorporare pienamente nelle proprie stime numeriche. In altre parole, mentre il mercato ha mostrato nel complesso una lieve tendenza positiva durante il periodo osservato, le previsioni formulate dagli LLMs non appaiono in grado di riflettere accuratamente tale dinamica all’interno delle proprie valutazioni puntuali.</w:t>
      </w:r>
    </w:p>
    <w:p w14:paraId="5367A93F"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Particolarmente rilevante risulta inoltre il valore estremamente contenuto dell’R², pari a 0.0013. Tale evidenza implica che meno dello 0.2% della variabilità dei rendimenti realizzati venga spiegata dalle previsioni generate dai modelli linguistici. Questo risultato conferma ulteriormente la limitata capacità esplicativa delle stime numeriche prodotte dagli LLMs e suggerisce che la componente quantitativa delle previsioni risulti sostanzialmente assimilabile a rumore statistico rispetto ai successivi movimenti di mercato.</w:t>
      </w:r>
    </w:p>
    <w:p w14:paraId="4AD4AFE0"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 xml:space="preserve">Al fine di evitare possibili distorsioni derivanti dall’aggregazione delle differenti architetture considerate e verificare l’esistenza di comportamenti eterogenei tra i modelli, la regressione lineare </w:t>
      </w:r>
      <w:r w:rsidRPr="00C73779">
        <w:rPr>
          <w:rFonts w:ascii="Times New Roman" w:hAnsi="Times New Roman" w:cs="Times New Roman"/>
          <w:sz w:val="24"/>
          <w:szCs w:val="24"/>
        </w:rPr>
        <w:lastRenderedPageBreak/>
        <w:t>cross-sectional è stata successivamente disaggregata a livello di singola configurazione. I risultati, sintetizzati nella Tabella 7-bis, mostrano una moderata eterogeneità tra le diverse architetture linguistiche analizzate.</w:t>
      </w:r>
    </w:p>
    <w:p w14:paraId="7ED87FC7" w14:textId="779F4111" w:rsidR="008A0FA0" w:rsidRDefault="008A0FA0" w:rsidP="00C73779">
      <w:pPr>
        <w:tabs>
          <w:tab w:val="left" w:pos="8925"/>
        </w:tabs>
        <w:jc w:val="both"/>
        <w:rPr>
          <w:rFonts w:ascii="Times New Roman" w:hAnsi="Times New Roman" w:cs="Times New Roman"/>
          <w:sz w:val="24"/>
          <w:szCs w:val="24"/>
        </w:rPr>
      </w:pPr>
      <w:r w:rsidRPr="00C73779">
        <w:rPr>
          <w:rFonts w:ascii="Times New Roman" w:hAnsi="Times New Roman" w:cs="Times New Roman"/>
          <w:sz w:val="24"/>
          <w:szCs w:val="24"/>
        </w:rPr>
        <w:t>Tabella 7-bis</w:t>
      </w:r>
      <w:r w:rsidR="00C73779">
        <w:rPr>
          <w:rFonts w:ascii="Times New Roman" w:hAnsi="Times New Roman" w:cs="Times New Roman"/>
          <w:sz w:val="24"/>
          <w:szCs w:val="24"/>
        </w:rPr>
        <w:t>.</w:t>
      </w:r>
      <w:r w:rsidRPr="008A0FA0">
        <w:rPr>
          <w:rFonts w:ascii="Times New Roman" w:hAnsi="Times New Roman" w:cs="Times New Roman"/>
          <w:sz w:val="24"/>
          <w:szCs w:val="24"/>
        </w:rPr>
        <w:t xml:space="preserve"> Risultati delle regressioni lineari cross-sectional disaggregate per modello</w:t>
      </w:r>
      <w:r w:rsidR="00C73779">
        <w:rPr>
          <w:rFonts w:ascii="Times New Roman" w:hAnsi="Times New Roman" w:cs="Times New Roman"/>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66"/>
        <w:gridCol w:w="1680"/>
        <w:gridCol w:w="1200"/>
        <w:gridCol w:w="1680"/>
        <w:gridCol w:w="966"/>
        <w:gridCol w:w="1695"/>
      </w:tblGrid>
      <w:tr w:rsidR="00C73779" w:rsidRPr="00C73779" w14:paraId="00B960F8" w14:textId="77777777" w:rsidTr="00C73779">
        <w:trPr>
          <w:tblHeader/>
          <w:tblCellSpacing w:w="15" w:type="dxa"/>
        </w:trPr>
        <w:tc>
          <w:tcPr>
            <w:tcW w:w="0" w:type="auto"/>
            <w:tcBorders>
              <w:top w:val="single" w:sz="4" w:space="0" w:color="auto"/>
              <w:bottom w:val="single" w:sz="4" w:space="0" w:color="auto"/>
            </w:tcBorders>
            <w:vAlign w:val="center"/>
            <w:hideMark/>
          </w:tcPr>
          <w:p w14:paraId="6F3E4D2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p>
        </w:tc>
        <w:tc>
          <w:tcPr>
            <w:tcW w:w="0" w:type="auto"/>
            <w:tcBorders>
              <w:top w:val="single" w:sz="4" w:space="0" w:color="auto"/>
              <w:bottom w:val="single" w:sz="4" w:space="0" w:color="auto"/>
            </w:tcBorders>
            <w:vAlign w:val="center"/>
            <w:hideMark/>
          </w:tcPr>
          <w:p w14:paraId="4423096B"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CGL</w:t>
            </w:r>
          </w:p>
        </w:tc>
        <w:tc>
          <w:tcPr>
            <w:tcW w:w="0" w:type="auto"/>
            <w:tcBorders>
              <w:top w:val="single" w:sz="4" w:space="0" w:color="auto"/>
              <w:bottom w:val="single" w:sz="4" w:space="0" w:color="auto"/>
            </w:tcBorders>
            <w:vAlign w:val="center"/>
            <w:hideMark/>
          </w:tcPr>
          <w:p w14:paraId="0F2D1A87"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CGL</w:t>
            </w:r>
          </w:p>
        </w:tc>
        <w:tc>
          <w:tcPr>
            <w:tcW w:w="0" w:type="auto"/>
            <w:tcBorders>
              <w:top w:val="single" w:sz="4" w:space="0" w:color="auto"/>
              <w:bottom w:val="single" w:sz="4" w:space="0" w:color="auto"/>
            </w:tcBorders>
            <w:vAlign w:val="center"/>
            <w:hideMark/>
          </w:tcPr>
          <w:p w14:paraId="505F598D"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CGP</w:t>
            </w:r>
          </w:p>
        </w:tc>
        <w:tc>
          <w:tcPr>
            <w:tcW w:w="0" w:type="auto"/>
            <w:tcBorders>
              <w:top w:val="single" w:sz="4" w:space="0" w:color="auto"/>
              <w:bottom w:val="single" w:sz="4" w:space="0" w:color="auto"/>
            </w:tcBorders>
            <w:vAlign w:val="center"/>
            <w:hideMark/>
          </w:tcPr>
          <w:p w14:paraId="74FB4C03"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CGP</w:t>
            </w:r>
          </w:p>
        </w:tc>
        <w:tc>
          <w:tcPr>
            <w:tcW w:w="0" w:type="auto"/>
            <w:tcBorders>
              <w:top w:val="single" w:sz="4" w:space="0" w:color="auto"/>
              <w:bottom w:val="single" w:sz="4" w:space="0" w:color="auto"/>
            </w:tcBorders>
            <w:vAlign w:val="center"/>
            <w:hideMark/>
          </w:tcPr>
          <w:p w14:paraId="67A00E77"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G</w:t>
            </w:r>
          </w:p>
        </w:tc>
        <w:tc>
          <w:tcPr>
            <w:tcW w:w="0" w:type="auto"/>
            <w:tcBorders>
              <w:top w:val="single" w:sz="4" w:space="0" w:color="auto"/>
              <w:bottom w:val="single" w:sz="4" w:space="0" w:color="auto"/>
            </w:tcBorders>
            <w:vAlign w:val="center"/>
            <w:hideMark/>
          </w:tcPr>
          <w:p w14:paraId="0257E358"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G</w:t>
            </w:r>
          </w:p>
        </w:tc>
      </w:tr>
      <w:tr w:rsidR="00C73779" w:rsidRPr="00C73779" w14:paraId="60CE93DC" w14:textId="77777777">
        <w:trPr>
          <w:tblCellSpacing w:w="15" w:type="dxa"/>
        </w:trPr>
        <w:tc>
          <w:tcPr>
            <w:tcW w:w="0" w:type="auto"/>
            <w:vAlign w:val="center"/>
            <w:hideMark/>
          </w:tcPr>
          <w:p w14:paraId="62C9ADD6"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p>
        </w:tc>
        <w:tc>
          <w:tcPr>
            <w:tcW w:w="0" w:type="auto"/>
            <w:vAlign w:val="center"/>
            <w:hideMark/>
          </w:tcPr>
          <w:p w14:paraId="6E1ECDDD"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2ECC904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78C8749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3D2CF16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00352F9F"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1370934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r>
      <w:tr w:rsidR="00C73779" w:rsidRPr="00C73779" w14:paraId="629A419B" w14:textId="77777777">
        <w:trPr>
          <w:tblCellSpacing w:w="15" w:type="dxa"/>
        </w:trPr>
        <w:tc>
          <w:tcPr>
            <w:tcW w:w="0" w:type="auto"/>
            <w:vAlign w:val="center"/>
            <w:hideMark/>
          </w:tcPr>
          <w:p w14:paraId="700B464D"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Estimate</w:t>
            </w:r>
          </w:p>
        </w:tc>
        <w:tc>
          <w:tcPr>
            <w:tcW w:w="0" w:type="auto"/>
            <w:vAlign w:val="center"/>
            <w:hideMark/>
          </w:tcPr>
          <w:p w14:paraId="7B94F32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0.00182</w:t>
            </w:r>
          </w:p>
        </w:tc>
        <w:tc>
          <w:tcPr>
            <w:tcW w:w="0" w:type="auto"/>
            <w:vAlign w:val="center"/>
            <w:hideMark/>
          </w:tcPr>
          <w:p w14:paraId="1C4110B0"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-0.00212</w:t>
            </w:r>
          </w:p>
        </w:tc>
        <w:tc>
          <w:tcPr>
            <w:tcW w:w="0" w:type="auto"/>
            <w:vAlign w:val="center"/>
            <w:hideMark/>
          </w:tcPr>
          <w:p w14:paraId="0729EA9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0.00634***</w:t>
            </w:r>
          </w:p>
        </w:tc>
        <w:tc>
          <w:tcPr>
            <w:tcW w:w="0" w:type="auto"/>
            <w:vAlign w:val="center"/>
            <w:hideMark/>
          </w:tcPr>
          <w:p w14:paraId="6E1A1EC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-0.00612*</w:t>
            </w:r>
          </w:p>
        </w:tc>
        <w:tc>
          <w:tcPr>
            <w:tcW w:w="0" w:type="auto"/>
            <w:vAlign w:val="center"/>
            <w:hideMark/>
          </w:tcPr>
          <w:p w14:paraId="7B1B129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0.00179</w:t>
            </w:r>
          </w:p>
        </w:tc>
        <w:tc>
          <w:tcPr>
            <w:tcW w:w="0" w:type="auto"/>
            <w:vAlign w:val="center"/>
            <w:hideMark/>
          </w:tcPr>
          <w:p w14:paraId="58A5903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-0.000213</w:t>
            </w:r>
          </w:p>
        </w:tc>
      </w:tr>
      <w:tr w:rsidR="00C73779" w:rsidRPr="00C73779" w14:paraId="35AF729A" w14:textId="77777777">
        <w:trPr>
          <w:tblCellSpacing w:w="15" w:type="dxa"/>
        </w:trPr>
        <w:tc>
          <w:tcPr>
            <w:tcW w:w="0" w:type="auto"/>
            <w:vAlign w:val="center"/>
            <w:hideMark/>
          </w:tcPr>
          <w:p w14:paraId="52D3B6E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Std. Error</w:t>
            </w:r>
          </w:p>
        </w:tc>
        <w:tc>
          <w:tcPr>
            <w:tcW w:w="0" w:type="auto"/>
            <w:vAlign w:val="center"/>
            <w:hideMark/>
          </w:tcPr>
          <w:p w14:paraId="1F1D268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0.00207</w:t>
            </w:r>
          </w:p>
        </w:tc>
        <w:tc>
          <w:tcPr>
            <w:tcW w:w="0" w:type="auto"/>
            <w:vAlign w:val="center"/>
            <w:hideMark/>
          </w:tcPr>
          <w:p w14:paraId="3C5B8B4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0.00261</w:t>
            </w:r>
          </w:p>
        </w:tc>
        <w:tc>
          <w:tcPr>
            <w:tcW w:w="0" w:type="auto"/>
            <w:vAlign w:val="center"/>
            <w:hideMark/>
          </w:tcPr>
          <w:p w14:paraId="1EFB80F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0.00207</w:t>
            </w:r>
          </w:p>
        </w:tc>
        <w:tc>
          <w:tcPr>
            <w:tcW w:w="0" w:type="auto"/>
            <w:vAlign w:val="center"/>
            <w:hideMark/>
          </w:tcPr>
          <w:p w14:paraId="318F002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0.00360</w:t>
            </w:r>
          </w:p>
        </w:tc>
        <w:tc>
          <w:tcPr>
            <w:tcW w:w="0" w:type="auto"/>
            <w:vAlign w:val="center"/>
            <w:hideMark/>
          </w:tcPr>
          <w:p w14:paraId="5604FCF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0.00178</w:t>
            </w:r>
          </w:p>
        </w:tc>
        <w:tc>
          <w:tcPr>
            <w:tcW w:w="0" w:type="auto"/>
            <w:vAlign w:val="center"/>
            <w:hideMark/>
          </w:tcPr>
          <w:p w14:paraId="186A00D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0.000714</w:t>
            </w:r>
          </w:p>
        </w:tc>
      </w:tr>
      <w:tr w:rsidR="00C73779" w:rsidRPr="00C73779" w14:paraId="378934D2" w14:textId="77777777">
        <w:trPr>
          <w:tblCellSpacing w:w="15" w:type="dxa"/>
        </w:trPr>
        <w:tc>
          <w:tcPr>
            <w:tcW w:w="0" w:type="auto"/>
            <w:vAlign w:val="center"/>
            <w:hideMark/>
          </w:tcPr>
          <w:p w14:paraId="26CC5BC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t-stat</w:t>
            </w:r>
          </w:p>
        </w:tc>
        <w:tc>
          <w:tcPr>
            <w:tcW w:w="0" w:type="auto"/>
            <w:vAlign w:val="center"/>
            <w:hideMark/>
          </w:tcPr>
          <w:p w14:paraId="08E8E4D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0.883</w:t>
            </w:r>
          </w:p>
        </w:tc>
        <w:tc>
          <w:tcPr>
            <w:tcW w:w="0" w:type="auto"/>
            <w:vAlign w:val="center"/>
            <w:hideMark/>
          </w:tcPr>
          <w:p w14:paraId="699FCAE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-0.812</w:t>
            </w:r>
          </w:p>
        </w:tc>
        <w:tc>
          <w:tcPr>
            <w:tcW w:w="0" w:type="auto"/>
            <w:vAlign w:val="center"/>
            <w:hideMark/>
          </w:tcPr>
          <w:p w14:paraId="3237954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3.06</w:t>
            </w:r>
          </w:p>
        </w:tc>
        <w:tc>
          <w:tcPr>
            <w:tcW w:w="0" w:type="auto"/>
            <w:vAlign w:val="center"/>
            <w:hideMark/>
          </w:tcPr>
          <w:p w14:paraId="19666F5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-1.70</w:t>
            </w:r>
          </w:p>
        </w:tc>
        <w:tc>
          <w:tcPr>
            <w:tcW w:w="0" w:type="auto"/>
            <w:vAlign w:val="center"/>
            <w:hideMark/>
          </w:tcPr>
          <w:p w14:paraId="09CAB02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1.01</w:t>
            </w:r>
          </w:p>
        </w:tc>
        <w:tc>
          <w:tcPr>
            <w:tcW w:w="0" w:type="auto"/>
            <w:vAlign w:val="center"/>
            <w:hideMark/>
          </w:tcPr>
          <w:p w14:paraId="3FD3B310"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-0.299</w:t>
            </w:r>
          </w:p>
        </w:tc>
      </w:tr>
      <w:tr w:rsidR="00C73779" w:rsidRPr="00C73779" w14:paraId="51AE77B8" w14:textId="77777777">
        <w:trPr>
          <w:tblCellSpacing w:w="15" w:type="dxa"/>
        </w:trPr>
        <w:tc>
          <w:tcPr>
            <w:tcW w:w="0" w:type="auto"/>
            <w:vAlign w:val="center"/>
            <w:hideMark/>
          </w:tcPr>
          <w:p w14:paraId="25BC251F"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p-value</w:t>
            </w:r>
          </w:p>
        </w:tc>
        <w:tc>
          <w:tcPr>
            <w:tcW w:w="0" w:type="auto"/>
            <w:vAlign w:val="center"/>
            <w:hideMark/>
          </w:tcPr>
          <w:p w14:paraId="3DE8DF0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0.378</w:t>
            </w:r>
          </w:p>
        </w:tc>
        <w:tc>
          <w:tcPr>
            <w:tcW w:w="0" w:type="auto"/>
            <w:vAlign w:val="center"/>
            <w:hideMark/>
          </w:tcPr>
          <w:p w14:paraId="29C0849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0.418</w:t>
            </w:r>
          </w:p>
        </w:tc>
        <w:tc>
          <w:tcPr>
            <w:tcW w:w="0" w:type="auto"/>
            <w:vAlign w:val="center"/>
            <w:hideMark/>
          </w:tcPr>
          <w:p w14:paraId="59ABF43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0.00250</w:t>
            </w:r>
          </w:p>
        </w:tc>
        <w:tc>
          <w:tcPr>
            <w:tcW w:w="0" w:type="auto"/>
            <w:vAlign w:val="center"/>
            <w:hideMark/>
          </w:tcPr>
          <w:p w14:paraId="34C4CDE1"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0.0906</w:t>
            </w:r>
          </w:p>
        </w:tc>
        <w:tc>
          <w:tcPr>
            <w:tcW w:w="0" w:type="auto"/>
            <w:vAlign w:val="center"/>
            <w:hideMark/>
          </w:tcPr>
          <w:p w14:paraId="7D1AF9C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0.314</w:t>
            </w:r>
          </w:p>
        </w:tc>
        <w:tc>
          <w:tcPr>
            <w:tcW w:w="0" w:type="auto"/>
            <w:vAlign w:val="center"/>
            <w:hideMark/>
          </w:tcPr>
          <w:p w14:paraId="0EEDBE6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0.766</w:t>
            </w:r>
          </w:p>
        </w:tc>
      </w:tr>
    </w:tbl>
    <w:p w14:paraId="3977F5F4" w14:textId="723E4A14" w:rsidR="008A0FA0" w:rsidRPr="006E079F" w:rsidRDefault="008A0FA0" w:rsidP="006E079F">
      <w:pPr>
        <w:jc w:val="both"/>
        <w:rPr>
          <w:rFonts w:ascii="Times New Roman" w:hAnsi="Times New Roman" w:cs="Times New Roman"/>
          <w:sz w:val="24"/>
          <w:szCs w:val="24"/>
        </w:rPr>
      </w:pPr>
      <w:r w:rsidRPr="008A0FA0">
        <w:rPr>
          <w:rFonts w:ascii="Times New Roman" w:hAnsi="Times New Roman" w:cs="Times New Roman"/>
          <w:i/>
          <w:iCs/>
          <w:sz w:val="24"/>
          <w:szCs w:val="24"/>
        </w:rPr>
        <w:t>Nota.</w:t>
      </w:r>
      <w:r w:rsidRPr="008A0FA0">
        <w:rPr>
          <w:rFonts w:ascii="Times New Roman" w:hAnsi="Times New Roman" w:cs="Times New Roman"/>
          <w:sz w:val="24"/>
          <w:szCs w:val="24"/>
        </w:rPr>
        <w:t xml:space="preserve"> </w:t>
      </w:r>
      <w:r w:rsidR="00C73779" w:rsidRPr="00C73779">
        <w:rPr>
          <w:rFonts w:ascii="Times New Roman" w:hAnsi="Times New Roman" w:cs="Times New Roman"/>
          <w:sz w:val="24"/>
          <w:szCs w:val="24"/>
        </w:rPr>
        <w:t>La variabile dipendente è rappresentata dal rendimento giornaliero realizzato, mentre la variabile indipendente corrisponde al rendimento previsto dal rispettivo modello linguistico. Le t-statistics sono riportate in forma esplicita. I livelli di significatività statistica sono indicati come segue: * p &lt; 0.10; *** p &lt; 0.01.</w:t>
      </w:r>
    </w:p>
    <w:p w14:paraId="35BDE959"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In particolare, ChatGPT versione non loggata (CGP) evidenzia un coefficiente negativo marginalmente significativo, suggerendo una debole tendenza delle previsioni numericamente più aggressive ad associarsi a rendimenti successivamente inferiori rispetto alle attese. Tale evidenza potrebbe riflettere una forma di sovrastima implicita dei movimenti attesi o una tendenza del modello a enfatizzare dinamiche di mercato recenti senza tuttavia riuscire a tradurle in accurate previsioni quantitative.</w:t>
      </w:r>
    </w:p>
    <w:p w14:paraId="51ADD339"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Diversamente, ChatGPT versione loggata (CGL) e Gemini Pro (G) non mostrano alcuna relazione statisticamente significativa tra rendimenti previsti e rendimenti realizzati. Nel caso specifico di Gemini Pro, il coefficiente associato al Predicted Return risulta prossimo allo zero, suggerendo l’assenza di una relazione sistematica tra output numerici prodotti dal modello e successivi movimenti osservati sul mercato.</w:t>
      </w:r>
    </w:p>
    <w:p w14:paraId="148D0E06"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Dal punto di vista interpretativo, tali risultati appaiono coerenti con la natura stessa dei modelli linguistici di grandi dimensioni. Essendo addestrati prevalentemente su compiti di inferenza linguistica e generazione testuale, gli LLMs risultano naturalmente orientati verso la produzione di contenuti semanticamente coerenti e finanziariamente plausibili piuttosto che verso la stima quantitativa precisa di variabili finanziarie caratterizzate da elevata volatilità e forte componente stocastica.</w:t>
      </w:r>
    </w:p>
    <w:p w14:paraId="025FA744"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Nel complesso, l’evidenza empirica presentata in questa sezione suggerisce che i modelli linguistici analizzati non mostrino una robusta capacità di forecasting quantitativo della magnitudine dei rendimenti azionari nel brevissimo termine. Sebbene gli output generati appaiano frequentemente convincenti dal punto di vista narrativo, le stime numeriche prodotte risultano prive di una sistematica capacità predittiva economicamente sfruttabile.</w:t>
      </w:r>
    </w:p>
    <w:p w14:paraId="70BA0178" w14:textId="77777777" w:rsidR="008A240A" w:rsidRPr="00353B5D" w:rsidRDefault="008A240A" w:rsidP="008A240A">
      <w:pPr>
        <w:jc w:val="both"/>
        <w:rPr>
          <w:rFonts w:ascii="Times New Roman" w:hAnsi="Times New Roman" w:cs="Times New Roman"/>
          <w:b/>
          <w:bCs/>
          <w:sz w:val="24"/>
          <w:szCs w:val="24"/>
        </w:rPr>
      </w:pPr>
      <w:r w:rsidRPr="00353B5D">
        <w:rPr>
          <w:rFonts w:ascii="Times New Roman" w:hAnsi="Times New Roman" w:cs="Times New Roman"/>
          <w:b/>
          <w:bCs/>
          <w:sz w:val="24"/>
          <w:szCs w:val="24"/>
        </w:rPr>
        <w:t>4.5 Operational Instability and Qualitative Evidence</w:t>
      </w:r>
    </w:p>
    <w:p w14:paraId="2AD756D9"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Oltre ai risultati quantitativi precedentemente discussi, l’esperimento ha consentito di documentare una serie di problematiche operative ricorrenti emerse durante l’interazione quotidiana con i modelli linguistici. Sebbene tali evidenze non costituiscano direttamente un test statistico di performance, esse assumono rilevanza metodologica significativa poiché influenzano concretamente la replicabilità, la stabilità e l’affidabilità operativa delle strategie implementabili in ambiente real-time.</w:t>
      </w:r>
    </w:p>
    <w:p w14:paraId="222B9F39" w14:textId="56E8CAA9"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lastRenderedPageBreak/>
        <w:t>Nel corso del periodo campionario sono stati infatti osservati numerosi episodi di comportamento non deterministico, incoerenza inferenziale e instabilità cross-session.</w:t>
      </w:r>
      <w:r>
        <w:rPr>
          <w:rStyle w:val="Rimandonotaapidipagina"/>
          <w:rFonts w:ascii="Times New Roman" w:hAnsi="Times New Roman" w:cs="Times New Roman"/>
          <w:sz w:val="24"/>
          <w:szCs w:val="24"/>
        </w:rPr>
        <w:footnoteReference w:id="4"/>
      </w:r>
      <w:r w:rsidRPr="008A240A">
        <w:rPr>
          <w:rFonts w:ascii="Times New Roman" w:hAnsi="Times New Roman" w:cs="Times New Roman"/>
          <w:sz w:val="24"/>
          <w:szCs w:val="24"/>
        </w:rPr>
        <w:t xml:space="preserve"> Tali problematiche risultano particolarmente rilevanti in ambito finanziario, dove la consistenza operativa dei segnali rappresenta un requisito fondamentale per l’implementazione di strategie sistematiche.</w:t>
      </w:r>
    </w:p>
    <w:p w14:paraId="7E87FFC1" w14:textId="77777777" w:rsid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4.5.1 Prompt non-compliance e incoerenza strutturale</w:t>
      </w:r>
    </w:p>
    <w:p w14:paraId="5510F815" w14:textId="77777777" w:rsidR="00C73779" w:rsidRDefault="00C73779" w:rsidP="00C73779">
      <w:pPr>
        <w:pStyle w:val="NormaleWeb"/>
      </w:pPr>
      <w:r w:rsidRPr="00C73779">
        <w:t>Uno dei fenomeni più frequentemente osservati durante la raccolta dati riguarda la mancata conformità dei modelli rispetto ai vincoli esplicitamente definiti nei prompt operativi. In diverse occasioni, infatti, i modelli hanno:</w:t>
      </w:r>
    </w:p>
    <w:p w14:paraId="10FF5B34" w14:textId="4100C1A0" w:rsidR="00C73779" w:rsidRDefault="00C73779" w:rsidP="00C73779">
      <w:pPr>
        <w:pStyle w:val="NormaleWeb"/>
      </w:pPr>
      <w:r>
        <w:t>• restituito un numero errato di titoli;</w:t>
      </w:r>
      <w:r>
        <w:br/>
        <w:t>• ignorato vincoli relativi all’universo investibile;</w:t>
      </w:r>
      <w:r>
        <w:br/>
        <w:t>• prodotto ticker non richiesti;</w:t>
      </w:r>
      <w:r>
        <w:br/>
        <w:t>• modificato autonomamente il formato dell’output.</w:t>
      </w:r>
    </w:p>
    <w:p w14:paraId="78D03792" w14:textId="77777777" w:rsidR="00C73779" w:rsidRPr="00C73779" w:rsidRDefault="00C73779" w:rsidP="00C73779">
      <w:pPr>
        <w:jc w:val="both"/>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Tali episodi risultano particolarmente rilevanti in un framework quantitativo, poiché introducono elementi di discrezionalità operativa e riducono la replicabilità dell’esperimento. In alcune circostanze è stato necessario intervenire manualmente per escludere ticker invalidi o non appartenenti all’universo investibile definito ex-ante, al fine di preservare la coerenza metodologica del dataset.</w:t>
      </w:r>
    </w:p>
    <w:p w14:paraId="66F0D100" w14:textId="77777777" w:rsidR="00C73779" w:rsidRPr="00C73779" w:rsidRDefault="00C73779" w:rsidP="00C73779">
      <w:pPr>
        <w:jc w:val="both"/>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Dal punto di vista operativo, questi risultati suggeriscono che gli LLMs mostrino ancora limiti significativi nell’esecuzione rigorosa e sistematica di istruzioni altamente strutturate e ripetitive, soprattutto quando applicate a task quantitativi giornalieri caratterizzati da elevata standardizzazione procedurale.</w:t>
      </w:r>
    </w:p>
    <w:p w14:paraId="3F8EDBAB" w14:textId="77777777" w:rsidR="00C73779" w:rsidRPr="00C73779" w:rsidRDefault="00C73779" w:rsidP="00C73779">
      <w:pPr>
        <w:jc w:val="both"/>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 particolare, l’instabilità osservata non sembra derivare esclusivamente da errori casuali di generazione testuale, ma appare talvolta associata a variazioni implicite nel processo inferenziale del modello tra sessioni differenti. Tale comportamento risulta metodologicamente rilevante poiché implica che output ottenuti mediante prompt identici possano non essere perfettamente replicabili nel tempo, anche in presenza delle medesime condizioni informative di input.</w:t>
      </w:r>
    </w:p>
    <w:p w14:paraId="668E13D3" w14:textId="77777777" w:rsidR="00C73779" w:rsidRPr="00C73779" w:rsidRDefault="00C73779" w:rsidP="00C73779">
      <w:pPr>
        <w:jc w:val="both"/>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Questo elemento assume particolare importanza nel contesto finanziario, dove la consistenza operativa e la riproducibilità delle strategie rappresentano requisiti fondamentali per l’implementazione di sistemi quantitativi utilizzabili in ambiente reale.</w:t>
      </w:r>
    </w:p>
    <w:p w14:paraId="0C662D43"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4.5.2 Hallucinations e ticker inconsistenti</w:t>
      </w:r>
    </w:p>
    <w:p w14:paraId="46E307D4"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Durante l’esperimento sono inoltre emersi diversi casi di hallucination finanziaria. In particolare, alcuni modelli hanno:</w:t>
      </w:r>
    </w:p>
    <w:p w14:paraId="0EB03B77" w14:textId="77777777" w:rsidR="008A240A" w:rsidRPr="008A240A" w:rsidRDefault="008A240A" w:rsidP="008A240A">
      <w:pPr>
        <w:numPr>
          <w:ilvl w:val="0"/>
          <w:numId w:val="4"/>
        </w:numPr>
        <w:jc w:val="both"/>
        <w:rPr>
          <w:rFonts w:ascii="Times New Roman" w:hAnsi="Times New Roman" w:cs="Times New Roman"/>
          <w:sz w:val="24"/>
          <w:szCs w:val="24"/>
        </w:rPr>
      </w:pPr>
      <w:r w:rsidRPr="008A240A">
        <w:rPr>
          <w:rFonts w:ascii="Times New Roman" w:hAnsi="Times New Roman" w:cs="Times New Roman"/>
          <w:sz w:val="24"/>
          <w:szCs w:val="24"/>
        </w:rPr>
        <w:t>generato ticker inesistenti;</w:t>
      </w:r>
    </w:p>
    <w:p w14:paraId="19E609D7" w14:textId="77777777" w:rsidR="008A240A" w:rsidRPr="008A240A" w:rsidRDefault="008A240A" w:rsidP="008A240A">
      <w:pPr>
        <w:numPr>
          <w:ilvl w:val="0"/>
          <w:numId w:val="4"/>
        </w:numPr>
        <w:jc w:val="both"/>
        <w:rPr>
          <w:rFonts w:ascii="Times New Roman" w:hAnsi="Times New Roman" w:cs="Times New Roman"/>
          <w:sz w:val="24"/>
          <w:szCs w:val="24"/>
        </w:rPr>
      </w:pPr>
      <w:r w:rsidRPr="008A240A">
        <w:rPr>
          <w:rFonts w:ascii="Times New Roman" w:hAnsi="Times New Roman" w:cs="Times New Roman"/>
          <w:sz w:val="24"/>
          <w:szCs w:val="24"/>
        </w:rPr>
        <w:t>attribuito denominazioni errate alle società;</w:t>
      </w:r>
    </w:p>
    <w:p w14:paraId="29144D21" w14:textId="77777777" w:rsidR="008A240A" w:rsidRPr="008A240A" w:rsidRDefault="008A240A" w:rsidP="008A240A">
      <w:pPr>
        <w:numPr>
          <w:ilvl w:val="0"/>
          <w:numId w:val="4"/>
        </w:numPr>
        <w:jc w:val="both"/>
        <w:rPr>
          <w:rFonts w:ascii="Times New Roman" w:hAnsi="Times New Roman" w:cs="Times New Roman"/>
          <w:sz w:val="24"/>
          <w:szCs w:val="24"/>
        </w:rPr>
      </w:pPr>
      <w:r w:rsidRPr="008A240A">
        <w:rPr>
          <w:rFonts w:ascii="Times New Roman" w:hAnsi="Times New Roman" w:cs="Times New Roman"/>
          <w:sz w:val="24"/>
          <w:szCs w:val="24"/>
        </w:rPr>
        <w:t>selezionato titoli delistati o non più appartenenti all’indice S&amp;P 500;</w:t>
      </w:r>
    </w:p>
    <w:p w14:paraId="0ADFC488" w14:textId="77777777" w:rsidR="008A240A" w:rsidRPr="008A240A" w:rsidRDefault="008A240A" w:rsidP="008A240A">
      <w:pPr>
        <w:numPr>
          <w:ilvl w:val="0"/>
          <w:numId w:val="4"/>
        </w:numPr>
        <w:jc w:val="both"/>
        <w:rPr>
          <w:rFonts w:ascii="Times New Roman" w:hAnsi="Times New Roman" w:cs="Times New Roman"/>
          <w:sz w:val="24"/>
          <w:szCs w:val="24"/>
        </w:rPr>
      </w:pPr>
      <w:r w:rsidRPr="008A240A">
        <w:rPr>
          <w:rFonts w:ascii="Times New Roman" w:hAnsi="Times New Roman" w:cs="Times New Roman"/>
          <w:sz w:val="24"/>
          <w:szCs w:val="24"/>
        </w:rPr>
        <w:lastRenderedPageBreak/>
        <w:t>prodotto prezzi incompatibili con i dati di mercato effettivi.</w:t>
      </w:r>
    </w:p>
    <w:p w14:paraId="45834B34"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Questi fenomeni risultano particolarmente critici nel contesto finanziario poiché possono compromettere direttamente l’implementabilità reale delle strategie. A differenza di altri domini applicativi, infatti, anche piccoli errori di identificazione degli asset possono generare conseguenze operative rilevanti.</w:t>
      </w:r>
    </w:p>
    <w:p w14:paraId="58E8F3C3"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Un aspetto particolarmente interessante riguarda la persistenza di alcuni “zombie constituents”, ossia titoli rimossi dall’indice ma continuativamente riproposti dai modelli come componenti attive dell’universo investibile. Tale comportamento suggerisce possibili rigidità o latenze nell’aggiornamento implicito delle informazioni incorporate nei modelli linguistici.</w:t>
      </w:r>
    </w:p>
    <w:p w14:paraId="7BDC72ED"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4.5.3 Instabilità cross-session e cross-platform</w:t>
      </w:r>
    </w:p>
    <w:p w14:paraId="5331EE4D"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Tra le evidenze qualitative più rilevanti emerge la significativa instabilità dei risultati tra differenti sessioni operative. Nel corso della raccolta dati sono stati osservati numerosi casi in cui:</w:t>
      </w:r>
    </w:p>
    <w:p w14:paraId="3D8FD1B8" w14:textId="77777777" w:rsidR="008A240A" w:rsidRPr="008A240A" w:rsidRDefault="008A240A" w:rsidP="008A240A">
      <w:pPr>
        <w:numPr>
          <w:ilvl w:val="0"/>
          <w:numId w:val="5"/>
        </w:numPr>
        <w:jc w:val="both"/>
        <w:rPr>
          <w:rFonts w:ascii="Times New Roman" w:hAnsi="Times New Roman" w:cs="Times New Roman"/>
          <w:sz w:val="24"/>
          <w:szCs w:val="24"/>
        </w:rPr>
      </w:pPr>
      <w:r w:rsidRPr="008A240A">
        <w:rPr>
          <w:rFonts w:ascii="Times New Roman" w:hAnsi="Times New Roman" w:cs="Times New Roman"/>
          <w:sz w:val="24"/>
          <w:szCs w:val="24"/>
        </w:rPr>
        <w:t>prompt identici producevano output differenti;</w:t>
      </w:r>
    </w:p>
    <w:p w14:paraId="516D6033" w14:textId="77777777" w:rsidR="008A240A" w:rsidRPr="008A240A" w:rsidRDefault="008A240A" w:rsidP="008A240A">
      <w:pPr>
        <w:numPr>
          <w:ilvl w:val="0"/>
          <w:numId w:val="5"/>
        </w:numPr>
        <w:jc w:val="both"/>
        <w:rPr>
          <w:rFonts w:ascii="Times New Roman" w:hAnsi="Times New Roman" w:cs="Times New Roman"/>
          <w:sz w:val="24"/>
          <w:szCs w:val="24"/>
        </w:rPr>
      </w:pPr>
      <w:r w:rsidRPr="008A240A">
        <w:rPr>
          <w:rFonts w:ascii="Times New Roman" w:hAnsi="Times New Roman" w:cs="Times New Roman"/>
          <w:sz w:val="24"/>
          <w:szCs w:val="24"/>
        </w:rPr>
        <w:t>la stessa richiesta generava ranking differenti tra sessioni consecutive;</w:t>
      </w:r>
    </w:p>
    <w:p w14:paraId="6C1074FE" w14:textId="77777777" w:rsidR="008A240A" w:rsidRPr="008A240A" w:rsidRDefault="008A240A" w:rsidP="008A240A">
      <w:pPr>
        <w:numPr>
          <w:ilvl w:val="0"/>
          <w:numId w:val="5"/>
        </w:numPr>
        <w:jc w:val="both"/>
        <w:rPr>
          <w:rFonts w:ascii="Times New Roman" w:hAnsi="Times New Roman" w:cs="Times New Roman"/>
          <w:sz w:val="24"/>
          <w:szCs w:val="24"/>
        </w:rPr>
      </w:pPr>
      <w:r w:rsidRPr="008A240A">
        <w:rPr>
          <w:rFonts w:ascii="Times New Roman" w:hAnsi="Times New Roman" w:cs="Times New Roman"/>
          <w:sz w:val="24"/>
          <w:szCs w:val="24"/>
        </w:rPr>
        <w:t>differenti dispositivi producevano risultati non coincidenti;</w:t>
      </w:r>
    </w:p>
    <w:p w14:paraId="4E6526C3" w14:textId="77777777" w:rsidR="008A240A" w:rsidRPr="008A240A" w:rsidRDefault="008A240A" w:rsidP="008A240A">
      <w:pPr>
        <w:numPr>
          <w:ilvl w:val="0"/>
          <w:numId w:val="5"/>
        </w:numPr>
        <w:jc w:val="both"/>
        <w:rPr>
          <w:rFonts w:ascii="Times New Roman" w:hAnsi="Times New Roman" w:cs="Times New Roman"/>
          <w:sz w:val="24"/>
          <w:szCs w:val="24"/>
        </w:rPr>
      </w:pPr>
      <w:r w:rsidRPr="008A240A">
        <w:rPr>
          <w:rFonts w:ascii="Times New Roman" w:hAnsi="Times New Roman" w:cs="Times New Roman"/>
          <w:sz w:val="24"/>
          <w:szCs w:val="24"/>
        </w:rPr>
        <w:t>versione loggata e non loggata dello stesso modello restituivano previsioni divergenti.</w:t>
      </w:r>
    </w:p>
    <w:p w14:paraId="198CF5A9"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Questa instabilità appare particolarmente problematica per l’utilizzo sistematico degli LLMs in ambito quantitativo. In una strategia finanziaria automatizzata, infatti, la replicabilità del segnale rappresenta una caratteristica essenziale per garantire robustezza statistica e implementabilità operativa.</w:t>
      </w:r>
    </w:p>
    <w:p w14:paraId="4FB920AC" w14:textId="41DCA709"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In alcuni casi estremi, il medesimo modello ha generato simultaneamente aspettative rialziste e ribassiste sullo stesso titolo all’interno della medesima giornata operativa, evidenziando significativi problemi di coerenza inferenziale interna.</w:t>
      </w:r>
      <w:r>
        <w:rPr>
          <w:rStyle w:val="Rimandonotaapidipagina"/>
          <w:rFonts w:ascii="Times New Roman" w:hAnsi="Times New Roman" w:cs="Times New Roman"/>
          <w:sz w:val="24"/>
          <w:szCs w:val="24"/>
        </w:rPr>
        <w:footnoteReference w:id="5"/>
      </w:r>
    </w:p>
    <w:p w14:paraId="0C273CE1"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Dal punto di vista metodologico, tali evidenze suggeriscono che le performance osservate nei test retrospettivi presenti nella letteratura potrebbero sovrastimare la reale stabilità operativa degli LLMs in ambiente real-time.</w:t>
      </w:r>
    </w:p>
    <w:p w14:paraId="585747C6"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4.5.4 Guardrails e interferenze comportamentali</w:t>
      </w:r>
    </w:p>
    <w:p w14:paraId="27694E13"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Un’ulteriore criticità osservata riguarda l’interferenza dei meccanismi di sicurezza e moderazione integrati nei modelli linguistici. In diverse occasioni, infatti, gli LLMs:</w:t>
      </w:r>
    </w:p>
    <w:p w14:paraId="0DE4EBE6" w14:textId="77777777" w:rsidR="008A240A" w:rsidRPr="008A240A" w:rsidRDefault="008A240A" w:rsidP="008A240A">
      <w:pPr>
        <w:numPr>
          <w:ilvl w:val="0"/>
          <w:numId w:val="6"/>
        </w:numPr>
        <w:jc w:val="both"/>
        <w:rPr>
          <w:rFonts w:ascii="Times New Roman" w:hAnsi="Times New Roman" w:cs="Times New Roman"/>
          <w:sz w:val="24"/>
          <w:szCs w:val="24"/>
        </w:rPr>
      </w:pPr>
      <w:r w:rsidRPr="008A240A">
        <w:rPr>
          <w:rFonts w:ascii="Times New Roman" w:hAnsi="Times New Roman" w:cs="Times New Roman"/>
          <w:sz w:val="24"/>
          <w:szCs w:val="24"/>
        </w:rPr>
        <w:t>hanno rifiutato di formulare previsioni finanziarie esplicite;</w:t>
      </w:r>
    </w:p>
    <w:p w14:paraId="223A847D" w14:textId="77777777" w:rsidR="008A240A" w:rsidRPr="008A240A" w:rsidRDefault="008A240A" w:rsidP="008A240A">
      <w:pPr>
        <w:numPr>
          <w:ilvl w:val="0"/>
          <w:numId w:val="6"/>
        </w:numPr>
        <w:jc w:val="both"/>
        <w:rPr>
          <w:rFonts w:ascii="Times New Roman" w:hAnsi="Times New Roman" w:cs="Times New Roman"/>
          <w:sz w:val="24"/>
          <w:szCs w:val="24"/>
        </w:rPr>
      </w:pPr>
      <w:r w:rsidRPr="008A240A">
        <w:rPr>
          <w:rFonts w:ascii="Times New Roman" w:hAnsi="Times New Roman" w:cs="Times New Roman"/>
          <w:sz w:val="24"/>
          <w:szCs w:val="24"/>
        </w:rPr>
        <w:t>hanno introdotto disclaimer non richiesti;</w:t>
      </w:r>
    </w:p>
    <w:p w14:paraId="39F97026" w14:textId="77777777" w:rsidR="008A240A" w:rsidRPr="008A240A" w:rsidRDefault="008A240A" w:rsidP="008A240A">
      <w:pPr>
        <w:numPr>
          <w:ilvl w:val="0"/>
          <w:numId w:val="6"/>
        </w:numPr>
        <w:jc w:val="both"/>
        <w:rPr>
          <w:rFonts w:ascii="Times New Roman" w:hAnsi="Times New Roman" w:cs="Times New Roman"/>
          <w:sz w:val="24"/>
          <w:szCs w:val="24"/>
        </w:rPr>
      </w:pPr>
      <w:r w:rsidRPr="008A240A">
        <w:rPr>
          <w:rFonts w:ascii="Times New Roman" w:hAnsi="Times New Roman" w:cs="Times New Roman"/>
          <w:sz w:val="24"/>
          <w:szCs w:val="24"/>
        </w:rPr>
        <w:t>hanno modificato autonomamente il tono delle risposte;</w:t>
      </w:r>
    </w:p>
    <w:p w14:paraId="3150393F" w14:textId="77777777" w:rsidR="008A240A" w:rsidRPr="008A240A" w:rsidRDefault="008A240A" w:rsidP="008A240A">
      <w:pPr>
        <w:numPr>
          <w:ilvl w:val="0"/>
          <w:numId w:val="6"/>
        </w:numPr>
        <w:jc w:val="both"/>
        <w:rPr>
          <w:rFonts w:ascii="Times New Roman" w:hAnsi="Times New Roman" w:cs="Times New Roman"/>
          <w:sz w:val="24"/>
          <w:szCs w:val="24"/>
        </w:rPr>
      </w:pPr>
      <w:r w:rsidRPr="008A240A">
        <w:rPr>
          <w:rFonts w:ascii="Times New Roman" w:hAnsi="Times New Roman" w:cs="Times New Roman"/>
          <w:sz w:val="24"/>
          <w:szCs w:val="24"/>
        </w:rPr>
        <w:t>hanno evitato indicazioni operative dirette.</w:t>
      </w:r>
    </w:p>
    <w:p w14:paraId="6DB0FEC0"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 xml:space="preserve">Sebbene tali meccanismi siano comprensibili dal punto di vista della sicurezza applicativa, essi introducono ulteriore instabilità nel contesto di strategie quantitative sistematiche. In particolare, </w:t>
      </w:r>
      <w:r w:rsidRPr="008A240A">
        <w:rPr>
          <w:rFonts w:ascii="Times New Roman" w:hAnsi="Times New Roman" w:cs="Times New Roman"/>
          <w:sz w:val="24"/>
          <w:szCs w:val="24"/>
        </w:rPr>
        <w:lastRenderedPageBreak/>
        <w:t>l’attivazione non prevedibile dei guardrails rende più complessa la standardizzazione del processo di raccolta dati.</w:t>
      </w:r>
    </w:p>
    <w:p w14:paraId="3A29F5ED" w14:textId="2CC645EE" w:rsidR="008A240A" w:rsidRPr="008A240A" w:rsidRDefault="006E079F" w:rsidP="008A240A">
      <w:pPr>
        <w:jc w:val="both"/>
        <w:rPr>
          <w:rFonts w:ascii="Times New Roman" w:hAnsi="Times New Roman" w:cs="Times New Roman"/>
          <w:sz w:val="24"/>
          <w:szCs w:val="24"/>
        </w:rPr>
      </w:pPr>
      <w:r>
        <w:rPr>
          <w:rFonts w:ascii="Times New Roman" w:hAnsi="Times New Roman" w:cs="Times New Roman"/>
          <w:sz w:val="24"/>
          <w:szCs w:val="24"/>
        </w:rPr>
        <w:t>L</w:t>
      </w:r>
      <w:r w:rsidR="008A240A" w:rsidRPr="008A240A">
        <w:rPr>
          <w:rFonts w:ascii="Times New Roman" w:hAnsi="Times New Roman" w:cs="Times New Roman"/>
          <w:sz w:val="24"/>
          <w:szCs w:val="24"/>
        </w:rPr>
        <w:t>’evidenza qualitativa raccolta nel corso dell’esperimento suggerisce che l’utilizzo operativo degli LLMs in contesti finanziari real-time presenti ancora significative limitazioni sotto il profilo della stabilità, della coerenza e della replicabilità. Tali problematiche non emergono necessariamente nei tradizionali framework retrospettivi utilizzati in parte della letteratura recente, ma assumono rilevanza cruciale quando i modelli vengono testati in ambiente operativo reale e rigorosamente out-of-sample.</w:t>
      </w:r>
    </w:p>
    <w:p w14:paraId="74C3D8B5"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4.6 Robustness Checks</w:t>
      </w:r>
    </w:p>
    <w:p w14:paraId="75AFE3F8" w14:textId="77777777" w:rsidR="005B1500" w:rsidRPr="005B1500" w:rsidRDefault="005B1500" w:rsidP="005B1500">
      <w:pPr>
        <w:jc w:val="both"/>
        <w:rPr>
          <w:rFonts w:ascii="Times New Roman" w:hAnsi="Times New Roman" w:cs="Times New Roman"/>
          <w:sz w:val="24"/>
          <w:szCs w:val="24"/>
        </w:rPr>
      </w:pPr>
      <w:r w:rsidRPr="005B1500">
        <w:rPr>
          <w:rFonts w:ascii="Times New Roman" w:hAnsi="Times New Roman" w:cs="Times New Roman"/>
          <w:sz w:val="24"/>
          <w:szCs w:val="24"/>
        </w:rPr>
        <w:t>Al fine di verificare la robustezza delle evidenze empiriche ottenute, sono state implementate ulteriori analisi di controllo finalizzate a valutare la stabilità dei risultati rispetto a differenti configurazioni operative, specificazioni di portafoglio e distribuzioni dei rendimenti. L’obiettivo dei robustness checks consiste nel ridurre il rischio che le performance osservate riflettano esclusivamente specifiche condizioni campionarie, episodi isolati di performance estrema o particolari criteri di allocazione del capitale.</w:t>
      </w:r>
    </w:p>
    <w:p w14:paraId="77C98F29" w14:textId="1509358F" w:rsidR="005B1500" w:rsidRDefault="005B1500" w:rsidP="005B1500">
      <w:pPr>
        <w:jc w:val="both"/>
        <w:rPr>
          <w:rFonts w:ascii="Times New Roman" w:hAnsi="Times New Roman" w:cs="Times New Roman"/>
          <w:sz w:val="24"/>
          <w:szCs w:val="24"/>
        </w:rPr>
      </w:pPr>
      <w:r>
        <w:rPr>
          <w:rFonts w:ascii="Times New Roman" w:hAnsi="Times New Roman" w:cs="Times New Roman"/>
          <w:sz w:val="24"/>
          <w:szCs w:val="24"/>
        </w:rPr>
        <w:t>Le</w:t>
      </w:r>
      <w:r w:rsidRPr="005B1500">
        <w:rPr>
          <w:rFonts w:ascii="Times New Roman" w:hAnsi="Times New Roman" w:cs="Times New Roman"/>
          <w:sz w:val="24"/>
          <w:szCs w:val="24"/>
        </w:rPr>
        <w:t xml:space="preserve"> analisi di robustezza confermano la generale fragilità econometrica dei risultati ottenuti. Sebbene alcune configurazioni continuino a mostrare performance cumulative positive e Sharpe ratio moderatamente superiori ai benchmark alternativi, tali evidenze rimangono fortemente dipendenti dalla struttura del portafoglio e dall’esposizione ai fattori sistematici di rischio.</w:t>
      </w:r>
    </w:p>
    <w:p w14:paraId="0722F115" w14:textId="77777777" w:rsidR="005B1500" w:rsidRPr="005B1500" w:rsidRDefault="005B1500" w:rsidP="005B1500">
      <w:pPr>
        <w:jc w:val="both"/>
        <w:rPr>
          <w:rFonts w:ascii="Times New Roman" w:hAnsi="Times New Roman" w:cs="Times New Roman"/>
          <w:b/>
          <w:bCs/>
          <w:sz w:val="24"/>
          <w:szCs w:val="24"/>
        </w:rPr>
      </w:pPr>
      <w:r w:rsidRPr="005B1500">
        <w:rPr>
          <w:rFonts w:ascii="Times New Roman" w:hAnsi="Times New Roman" w:cs="Times New Roman"/>
          <w:b/>
          <w:bCs/>
          <w:sz w:val="24"/>
          <w:szCs w:val="24"/>
        </w:rPr>
        <w:t>4.6.1 Alternative Weighting Schemes</w:t>
      </w:r>
    </w:p>
    <w:p w14:paraId="398A9C7E"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Una prima analisi di robustezza è stata condotta confrontando le performance ottenute mediante differenti schemi di ponderazione del portafoglio: equally weighted (EW), signal weighted (SW) e value weighted (VW).</w:t>
      </w:r>
    </w:p>
    <w:p w14:paraId="15A24E71"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L’obiettivo di tale verifica consiste nel valutare se i risultati osservati dipendano esclusivamente dalla modalità di allocazione del capitale oppure riflettano una componente informativa più stabile associata ai segnali generati dagli LLMs.</w:t>
      </w:r>
    </w:p>
    <w:p w14:paraId="0EA7EF2A"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I risultati mostrano come le performance positive risultino distribuite in maniera eterogenea tra i differenti schemi di ponderazione, senza evidenziare una configurazione sistematicamente dominante. In particolare, i portafogli equally weighted e signal weighted associati a ChatGPT versione non loggata (CGP) e Gemini Pro (G) mostrano Sharpe ratio moderatamente superiori rispetto alle altre configurazioni considerate, mentre le strategie value weighted evidenziano risultati più variabili tra i differenti modelli.</w:t>
      </w:r>
    </w:p>
    <w:p w14:paraId="5B8ED4E1"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Questa evidenza suggerisce che le performance osservate dipendano almeno parzialmente dalla specifica metodologia di allocazione del capitale adottata e non riflettano una generalizzata capacità di stock selection stabile e indipendente dalla costruzione del portafoglio.</w:t>
      </w:r>
    </w:p>
    <w:p w14:paraId="3FB78A93" w14:textId="4D124E01" w:rsidR="00D157D3" w:rsidRPr="00E049A9" w:rsidRDefault="00D157D3" w:rsidP="00D157D3">
      <w:pPr>
        <w:pStyle w:val="Didascalia"/>
        <w:keepNext/>
        <w:rPr>
          <w:color w:val="auto"/>
          <w:lang w:val="en-GB"/>
        </w:rPr>
      </w:pPr>
      <w:r w:rsidRPr="00E049A9">
        <w:rPr>
          <w:color w:val="auto"/>
          <w:lang w:val="en-GB"/>
        </w:rPr>
        <w:t xml:space="preserve">Tabella </w:t>
      </w:r>
      <w:r w:rsidRPr="00D157D3">
        <w:rPr>
          <w:color w:val="auto"/>
        </w:rPr>
        <w:fldChar w:fldCharType="begin"/>
      </w:r>
      <w:r w:rsidRPr="00E049A9">
        <w:rPr>
          <w:color w:val="auto"/>
          <w:lang w:val="en-GB"/>
        </w:rPr>
        <w:instrText xml:space="preserve"> SEQ Tabella \* ARABIC </w:instrText>
      </w:r>
      <w:r w:rsidRPr="00D157D3">
        <w:rPr>
          <w:color w:val="auto"/>
        </w:rPr>
        <w:fldChar w:fldCharType="separate"/>
      </w:r>
      <w:r w:rsidR="00212089">
        <w:rPr>
          <w:noProof/>
          <w:color w:val="auto"/>
          <w:lang w:val="en-GB"/>
        </w:rPr>
        <w:t>8</w:t>
      </w:r>
      <w:r w:rsidRPr="00D157D3">
        <w:rPr>
          <w:color w:val="auto"/>
        </w:rPr>
        <w:fldChar w:fldCharType="end"/>
      </w:r>
    </w:p>
    <w:p w14:paraId="06C038E2" w14:textId="1752E396" w:rsidR="00D157D3" w:rsidRPr="00D157D3" w:rsidRDefault="00D157D3" w:rsidP="00D157D3">
      <w:pPr>
        <w:rPr>
          <w:lang w:val="en-GB"/>
        </w:rPr>
      </w:pPr>
      <w:r w:rsidRPr="005B1500">
        <w:rPr>
          <w:rFonts w:ascii="Times New Roman" w:hAnsi="Times New Roman" w:cs="Times New Roman"/>
          <w:sz w:val="24"/>
          <w:szCs w:val="24"/>
          <w:lang w:val="en-GB"/>
        </w:rPr>
        <w:t>Alternative Weighting Schemes – Risk-Adjusted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40"/>
        <w:gridCol w:w="1020"/>
        <w:gridCol w:w="1429"/>
      </w:tblGrid>
      <w:tr w:rsidR="00D157D3" w:rsidRPr="00D157D3" w14:paraId="3A0732BD" w14:textId="77777777" w:rsidTr="00D157D3">
        <w:trPr>
          <w:tblHeader/>
          <w:tblCellSpacing w:w="15" w:type="dxa"/>
        </w:trPr>
        <w:tc>
          <w:tcPr>
            <w:tcW w:w="0" w:type="auto"/>
            <w:tcBorders>
              <w:top w:val="single" w:sz="4" w:space="0" w:color="auto"/>
              <w:bottom w:val="single" w:sz="4" w:space="0" w:color="auto"/>
            </w:tcBorders>
            <w:vAlign w:val="center"/>
            <w:hideMark/>
          </w:tcPr>
          <w:p w14:paraId="1A79B210"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Portfolio</w:t>
            </w:r>
          </w:p>
        </w:tc>
        <w:tc>
          <w:tcPr>
            <w:tcW w:w="0" w:type="auto"/>
            <w:tcBorders>
              <w:top w:val="single" w:sz="4" w:space="0" w:color="auto"/>
              <w:bottom w:val="single" w:sz="4" w:space="0" w:color="auto"/>
            </w:tcBorders>
            <w:vAlign w:val="center"/>
            <w:hideMark/>
          </w:tcPr>
          <w:p w14:paraId="49B0C5C3"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1D9F9B4A"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Volatility</w:t>
            </w:r>
          </w:p>
        </w:tc>
        <w:tc>
          <w:tcPr>
            <w:tcW w:w="0" w:type="auto"/>
            <w:tcBorders>
              <w:top w:val="single" w:sz="4" w:space="0" w:color="auto"/>
              <w:bottom w:val="single" w:sz="4" w:space="0" w:color="auto"/>
            </w:tcBorders>
            <w:vAlign w:val="center"/>
            <w:hideMark/>
          </w:tcPr>
          <w:p w14:paraId="0F152A5F"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Sharpe Ratio</w:t>
            </w:r>
          </w:p>
        </w:tc>
      </w:tr>
      <w:tr w:rsidR="00D157D3" w:rsidRPr="00D157D3" w14:paraId="69AFA54A" w14:textId="77777777">
        <w:trPr>
          <w:tblCellSpacing w:w="15" w:type="dxa"/>
        </w:trPr>
        <w:tc>
          <w:tcPr>
            <w:tcW w:w="0" w:type="auto"/>
            <w:vAlign w:val="center"/>
            <w:hideMark/>
          </w:tcPr>
          <w:p w14:paraId="4132474A"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40E5B86D"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47E0FF92"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0.0177</w:t>
            </w:r>
          </w:p>
        </w:tc>
        <w:tc>
          <w:tcPr>
            <w:tcW w:w="0" w:type="auto"/>
            <w:vAlign w:val="center"/>
            <w:hideMark/>
          </w:tcPr>
          <w:p w14:paraId="1DB952F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0.0571</w:t>
            </w:r>
          </w:p>
        </w:tc>
      </w:tr>
      <w:tr w:rsidR="00D157D3" w:rsidRPr="00D157D3" w14:paraId="0F436CAC" w14:textId="77777777">
        <w:trPr>
          <w:tblCellSpacing w:w="15" w:type="dxa"/>
        </w:trPr>
        <w:tc>
          <w:tcPr>
            <w:tcW w:w="0" w:type="auto"/>
            <w:vAlign w:val="center"/>
            <w:hideMark/>
          </w:tcPr>
          <w:p w14:paraId="1264FB80"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47111B64"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7654A68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0.0189</w:t>
            </w:r>
          </w:p>
        </w:tc>
        <w:tc>
          <w:tcPr>
            <w:tcW w:w="0" w:type="auto"/>
            <w:vAlign w:val="center"/>
            <w:hideMark/>
          </w:tcPr>
          <w:p w14:paraId="2884F1F8"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0.172</w:t>
            </w:r>
          </w:p>
        </w:tc>
      </w:tr>
      <w:tr w:rsidR="00D157D3" w:rsidRPr="00D157D3" w14:paraId="6D74278C" w14:textId="77777777">
        <w:trPr>
          <w:tblCellSpacing w:w="15" w:type="dxa"/>
        </w:trPr>
        <w:tc>
          <w:tcPr>
            <w:tcW w:w="0" w:type="auto"/>
            <w:vAlign w:val="center"/>
            <w:hideMark/>
          </w:tcPr>
          <w:p w14:paraId="28ACB117"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0412987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586F262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0.0164</w:t>
            </w:r>
          </w:p>
        </w:tc>
        <w:tc>
          <w:tcPr>
            <w:tcW w:w="0" w:type="auto"/>
            <w:vAlign w:val="center"/>
            <w:hideMark/>
          </w:tcPr>
          <w:p w14:paraId="3B169C3A"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0.195</w:t>
            </w:r>
          </w:p>
        </w:tc>
      </w:tr>
      <w:tr w:rsidR="00D157D3" w:rsidRPr="00D157D3" w14:paraId="0F0CA319" w14:textId="77777777">
        <w:trPr>
          <w:tblCellSpacing w:w="15" w:type="dxa"/>
        </w:trPr>
        <w:tc>
          <w:tcPr>
            <w:tcW w:w="0" w:type="auto"/>
            <w:vAlign w:val="center"/>
            <w:hideMark/>
          </w:tcPr>
          <w:p w14:paraId="1C1E14D5"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lastRenderedPageBreak/>
              <w:t>SW-CGL</w:t>
            </w:r>
          </w:p>
        </w:tc>
        <w:tc>
          <w:tcPr>
            <w:tcW w:w="0" w:type="auto"/>
            <w:vAlign w:val="center"/>
            <w:hideMark/>
          </w:tcPr>
          <w:p w14:paraId="4911E34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4E49FC74"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0766D52C"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0.0160</w:t>
            </w:r>
          </w:p>
        </w:tc>
      </w:tr>
      <w:tr w:rsidR="00D157D3" w:rsidRPr="00D157D3" w14:paraId="6F039AF0" w14:textId="77777777">
        <w:trPr>
          <w:tblCellSpacing w:w="15" w:type="dxa"/>
        </w:trPr>
        <w:tc>
          <w:tcPr>
            <w:tcW w:w="0" w:type="auto"/>
            <w:vAlign w:val="center"/>
            <w:hideMark/>
          </w:tcPr>
          <w:p w14:paraId="72D9ACB4"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23C35F3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1927A090"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20476BE9"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0.172</w:t>
            </w:r>
          </w:p>
        </w:tc>
      </w:tr>
      <w:tr w:rsidR="00D157D3" w:rsidRPr="00D157D3" w14:paraId="1AD0DD4E" w14:textId="77777777">
        <w:trPr>
          <w:tblCellSpacing w:w="15" w:type="dxa"/>
        </w:trPr>
        <w:tc>
          <w:tcPr>
            <w:tcW w:w="0" w:type="auto"/>
            <w:vAlign w:val="center"/>
            <w:hideMark/>
          </w:tcPr>
          <w:p w14:paraId="785BEC75"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798B4DB2"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703095FB"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12F6A2D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0.143</w:t>
            </w:r>
          </w:p>
        </w:tc>
      </w:tr>
      <w:tr w:rsidR="00D157D3" w:rsidRPr="00D157D3" w14:paraId="289D19FB" w14:textId="77777777">
        <w:trPr>
          <w:tblCellSpacing w:w="15" w:type="dxa"/>
        </w:trPr>
        <w:tc>
          <w:tcPr>
            <w:tcW w:w="0" w:type="auto"/>
            <w:vAlign w:val="center"/>
            <w:hideMark/>
          </w:tcPr>
          <w:p w14:paraId="59C6C7B6"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39E86ACF"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24564AF0"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0.0192</w:t>
            </w:r>
          </w:p>
        </w:tc>
        <w:tc>
          <w:tcPr>
            <w:tcW w:w="0" w:type="auto"/>
            <w:vAlign w:val="center"/>
            <w:hideMark/>
          </w:tcPr>
          <w:p w14:paraId="1D859475"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0.114</w:t>
            </w:r>
          </w:p>
        </w:tc>
      </w:tr>
      <w:tr w:rsidR="00D157D3" w:rsidRPr="00D157D3" w14:paraId="1CEAD4C9" w14:textId="77777777">
        <w:trPr>
          <w:tblCellSpacing w:w="15" w:type="dxa"/>
        </w:trPr>
        <w:tc>
          <w:tcPr>
            <w:tcW w:w="0" w:type="auto"/>
            <w:vAlign w:val="center"/>
            <w:hideMark/>
          </w:tcPr>
          <w:p w14:paraId="2DFA84FB"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7ECC600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018C09D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746334BB"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0.0339</w:t>
            </w:r>
          </w:p>
        </w:tc>
      </w:tr>
      <w:tr w:rsidR="00D157D3" w:rsidRPr="00D157D3" w14:paraId="6D0851AD" w14:textId="77777777">
        <w:trPr>
          <w:tblCellSpacing w:w="15" w:type="dxa"/>
        </w:trPr>
        <w:tc>
          <w:tcPr>
            <w:tcW w:w="0" w:type="auto"/>
            <w:vAlign w:val="center"/>
            <w:hideMark/>
          </w:tcPr>
          <w:p w14:paraId="77F1E2C8"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VW-G</w:t>
            </w:r>
          </w:p>
        </w:tc>
        <w:tc>
          <w:tcPr>
            <w:tcW w:w="0" w:type="auto"/>
            <w:vAlign w:val="center"/>
            <w:hideMark/>
          </w:tcPr>
          <w:p w14:paraId="1596029A"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0.00272</w:t>
            </w:r>
          </w:p>
        </w:tc>
        <w:tc>
          <w:tcPr>
            <w:tcW w:w="0" w:type="auto"/>
            <w:vAlign w:val="center"/>
            <w:hideMark/>
          </w:tcPr>
          <w:p w14:paraId="36EE8FCF"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0.0174</w:t>
            </w:r>
          </w:p>
        </w:tc>
        <w:tc>
          <w:tcPr>
            <w:tcW w:w="0" w:type="auto"/>
            <w:vAlign w:val="center"/>
            <w:hideMark/>
          </w:tcPr>
          <w:p w14:paraId="790FC51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0.156</w:t>
            </w:r>
          </w:p>
        </w:tc>
      </w:tr>
    </w:tbl>
    <w:p w14:paraId="66C9D2F8" w14:textId="6AD20C85" w:rsidR="005B1500" w:rsidRPr="005B1500" w:rsidRDefault="005B1500" w:rsidP="005B1500">
      <w:pPr>
        <w:jc w:val="both"/>
        <w:rPr>
          <w:rFonts w:ascii="Times New Roman" w:hAnsi="Times New Roman" w:cs="Times New Roman"/>
          <w:i/>
          <w:iCs/>
          <w:sz w:val="24"/>
          <w:szCs w:val="24"/>
        </w:rPr>
      </w:pPr>
      <w:r w:rsidRPr="005B1500">
        <w:rPr>
          <w:rFonts w:ascii="Times New Roman" w:hAnsi="Times New Roman" w:cs="Times New Roman"/>
          <w:i/>
          <w:iCs/>
          <w:sz w:val="24"/>
          <w:szCs w:val="24"/>
        </w:rPr>
        <w:t>Nota. Gli Sharpe ratio sono calcolati su base giornaliera assumendo risk-free rate pari a zero.</w:t>
      </w:r>
    </w:p>
    <w:p w14:paraId="49A0A374" w14:textId="04B3773D"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4.6. Fixed Universe</w:t>
      </w:r>
      <w:r w:rsidR="005B1500">
        <w:rPr>
          <w:rFonts w:ascii="Times New Roman" w:hAnsi="Times New Roman" w:cs="Times New Roman"/>
          <w:b/>
          <w:bCs/>
          <w:sz w:val="24"/>
          <w:szCs w:val="24"/>
        </w:rPr>
        <w:t xml:space="preserve"> Portfolio</w:t>
      </w:r>
      <w:r w:rsidRPr="008A240A">
        <w:rPr>
          <w:rFonts w:ascii="Times New Roman" w:hAnsi="Times New Roman" w:cs="Times New Roman"/>
          <w:b/>
          <w:bCs/>
          <w:sz w:val="24"/>
          <w:szCs w:val="24"/>
        </w:rPr>
        <w:t xml:space="preserve"> Robustness</w:t>
      </w:r>
    </w:p>
    <w:p w14:paraId="67E3E7F4"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Al fine di verificare se le evidenze osservate dipendessero esclusivamente dalla capacità degli LLMs di selezionare specifici titoli all’interno dell’universo investibile giornaliero, l’intera metodologia è stata replicata su un portafoglio statico composto da cinque titoli tecnologici a elevata capitalizzazione: NVIDIA, Microsoft, Apple, Amazon e Alphabet (Google).</w:t>
      </w:r>
    </w:p>
    <w:p w14:paraId="2D466D15"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A differenza della strategia principale basata sulla selezione dinamica giornaliera dei titoli suggeriti dai modelli linguistici, il fixed-universe portfolio mantiene invariata la composizione dell’universo investibile per l’intera durata dell’esperimento. Tale impostazione consente di isolare parzialmente il contributo derivante dal processo di stock selection rispetto alla semplice capacità dei modelli di interpretare correttamente le dinamiche direzionali del mercato.</w:t>
      </w:r>
    </w:p>
    <w:p w14:paraId="01D3989F"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L’evidenza empirica mostra come le performance risk-adjusted ottenute nel portafoglio statico risultino complessivamente contenute. In particolare, nessuna delle configurazioni considerate produce Sharpe ratio economicamente elevati o evidenza robusta di performance persistentemente superiori rispetto alle alternative analizzate.</w:t>
      </w:r>
    </w:p>
    <w:p w14:paraId="2D92C502"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Dal punto di vista metodologico, questi risultati rafforzano l’ipotesi secondo cui una parte rilevante delle performance osservate nelle strategie principali possa riflettere esposizioni opportunistiche a specifiche condizioni di mercato o a particolari segmenti dell’universo investibile, piuttosto che una stabile capacità predittiva generalizzabile da parte degli LLMs.</w:t>
      </w:r>
    </w:p>
    <w:p w14:paraId="729CAEE0"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L’analisi del fixed-universe portfolio assume inoltre particolare rilevanza poiché riduce significativamente la discrezionalità implicita nella selezione cross-sectional dei titoli, imponendo ai modelli linguistici di operare continuativamente sul medesimo insieme di asset durante l’intero periodo campionario. In questo senso, tale configurazione rappresenta una verifica di robustezza particolarmente stringente della reale capacità informativa dei segnali generati dagli LLMs.</w:t>
      </w:r>
    </w:p>
    <w:p w14:paraId="72BF6FF7" w14:textId="7641F72F" w:rsidR="00D157D3" w:rsidRPr="00D157D3" w:rsidRDefault="00D157D3" w:rsidP="00D157D3">
      <w:pPr>
        <w:pStyle w:val="Didascalia"/>
        <w:keepNext/>
        <w:rPr>
          <w:color w:val="auto"/>
        </w:rPr>
      </w:pPr>
      <w:r w:rsidRPr="00D157D3">
        <w:rPr>
          <w:color w:val="auto"/>
        </w:rPr>
        <w:t xml:space="preserve">Tabella </w:t>
      </w:r>
      <w:r w:rsidRPr="00D157D3">
        <w:rPr>
          <w:color w:val="auto"/>
        </w:rPr>
        <w:fldChar w:fldCharType="begin"/>
      </w:r>
      <w:r w:rsidRPr="00D157D3">
        <w:rPr>
          <w:color w:val="auto"/>
        </w:rPr>
        <w:instrText xml:space="preserve"> SEQ Tabella \* ARABIC </w:instrText>
      </w:r>
      <w:r w:rsidRPr="00D157D3">
        <w:rPr>
          <w:color w:val="auto"/>
        </w:rPr>
        <w:fldChar w:fldCharType="separate"/>
      </w:r>
      <w:r w:rsidR="00212089">
        <w:rPr>
          <w:noProof/>
          <w:color w:val="auto"/>
        </w:rPr>
        <w:t>9</w:t>
      </w:r>
      <w:r w:rsidRPr="00D157D3">
        <w:rPr>
          <w:color w:val="auto"/>
        </w:rPr>
        <w:fldChar w:fldCharType="end"/>
      </w:r>
    </w:p>
    <w:p w14:paraId="77D5C991" w14:textId="030C5C74" w:rsidR="00D157D3" w:rsidRPr="00D157D3" w:rsidRDefault="00D157D3" w:rsidP="00D157D3">
      <w:pPr>
        <w:jc w:val="both"/>
        <w:rPr>
          <w:rFonts w:ascii="Times New Roman" w:hAnsi="Times New Roman" w:cs="Times New Roman"/>
          <w:sz w:val="24"/>
          <w:szCs w:val="24"/>
          <w:lang w:val="en-GB"/>
        </w:rPr>
      </w:pPr>
      <w:r w:rsidRPr="00D157D3">
        <w:rPr>
          <w:rFonts w:ascii="Times New Roman" w:hAnsi="Times New Roman" w:cs="Times New Roman"/>
          <w:sz w:val="24"/>
          <w:szCs w:val="24"/>
          <w:lang w:val="en-GB"/>
        </w:rPr>
        <w:t>Fixed-Universe Portfolio – Summary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440"/>
        <w:gridCol w:w="1020"/>
        <w:gridCol w:w="1429"/>
      </w:tblGrid>
      <w:tr w:rsidR="00D157D3" w:rsidRPr="00D157D3" w14:paraId="784C718E" w14:textId="77777777" w:rsidTr="00D157D3">
        <w:trPr>
          <w:tblHeader/>
          <w:tblCellSpacing w:w="15" w:type="dxa"/>
        </w:trPr>
        <w:tc>
          <w:tcPr>
            <w:tcW w:w="0" w:type="auto"/>
            <w:tcBorders>
              <w:top w:val="single" w:sz="4" w:space="0" w:color="auto"/>
              <w:bottom w:val="single" w:sz="4" w:space="0" w:color="auto"/>
            </w:tcBorders>
            <w:vAlign w:val="center"/>
            <w:hideMark/>
          </w:tcPr>
          <w:p w14:paraId="36736C05"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0503C77F"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7D091824"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Volatility</w:t>
            </w:r>
          </w:p>
        </w:tc>
        <w:tc>
          <w:tcPr>
            <w:tcW w:w="0" w:type="auto"/>
            <w:tcBorders>
              <w:top w:val="single" w:sz="4" w:space="0" w:color="auto"/>
              <w:bottom w:val="single" w:sz="4" w:space="0" w:color="auto"/>
            </w:tcBorders>
            <w:vAlign w:val="center"/>
            <w:hideMark/>
          </w:tcPr>
          <w:p w14:paraId="60F02871"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Sharpe Ratio</w:t>
            </w:r>
          </w:p>
        </w:tc>
      </w:tr>
      <w:tr w:rsidR="00D157D3" w:rsidRPr="00D157D3" w14:paraId="7B24DBB1" w14:textId="77777777">
        <w:trPr>
          <w:tblCellSpacing w:w="15" w:type="dxa"/>
        </w:trPr>
        <w:tc>
          <w:tcPr>
            <w:tcW w:w="0" w:type="auto"/>
            <w:vAlign w:val="center"/>
            <w:hideMark/>
          </w:tcPr>
          <w:p w14:paraId="27AD541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F80BC5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-0.000318</w:t>
            </w:r>
          </w:p>
        </w:tc>
        <w:tc>
          <w:tcPr>
            <w:tcW w:w="0" w:type="auto"/>
            <w:vAlign w:val="center"/>
            <w:hideMark/>
          </w:tcPr>
          <w:p w14:paraId="48C7483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0.00296</w:t>
            </w:r>
          </w:p>
        </w:tc>
        <w:tc>
          <w:tcPr>
            <w:tcW w:w="0" w:type="auto"/>
            <w:vAlign w:val="center"/>
            <w:hideMark/>
          </w:tcPr>
          <w:p w14:paraId="2029B58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-0.107</w:t>
            </w:r>
          </w:p>
        </w:tc>
      </w:tr>
      <w:tr w:rsidR="00D157D3" w:rsidRPr="00D157D3" w14:paraId="1F9296D5" w14:textId="77777777">
        <w:trPr>
          <w:tblCellSpacing w:w="15" w:type="dxa"/>
        </w:trPr>
        <w:tc>
          <w:tcPr>
            <w:tcW w:w="0" w:type="auto"/>
            <w:vAlign w:val="center"/>
            <w:hideMark/>
          </w:tcPr>
          <w:p w14:paraId="500D2098"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2A83479"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0.000297</w:t>
            </w:r>
          </w:p>
        </w:tc>
        <w:tc>
          <w:tcPr>
            <w:tcW w:w="0" w:type="auto"/>
            <w:vAlign w:val="center"/>
            <w:hideMark/>
          </w:tcPr>
          <w:p w14:paraId="29F1C3D9" w14:textId="2B09C50D"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0.0410</w:t>
            </w:r>
          </w:p>
        </w:tc>
        <w:tc>
          <w:tcPr>
            <w:tcW w:w="0" w:type="auto"/>
            <w:vAlign w:val="center"/>
            <w:hideMark/>
          </w:tcPr>
          <w:p w14:paraId="3AF33705"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0.00724</w:t>
            </w:r>
          </w:p>
        </w:tc>
      </w:tr>
      <w:tr w:rsidR="00D157D3" w:rsidRPr="00D157D3" w14:paraId="230088D3" w14:textId="77777777">
        <w:trPr>
          <w:tblCellSpacing w:w="15" w:type="dxa"/>
        </w:trPr>
        <w:tc>
          <w:tcPr>
            <w:tcW w:w="0" w:type="auto"/>
            <w:vAlign w:val="center"/>
            <w:hideMark/>
          </w:tcPr>
          <w:p w14:paraId="55B11EF4"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06FD4B9D"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0.000437</w:t>
            </w:r>
          </w:p>
        </w:tc>
        <w:tc>
          <w:tcPr>
            <w:tcW w:w="0" w:type="auto"/>
            <w:vAlign w:val="center"/>
            <w:hideMark/>
          </w:tcPr>
          <w:p w14:paraId="3E4A78C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0.00289</w:t>
            </w:r>
          </w:p>
        </w:tc>
        <w:tc>
          <w:tcPr>
            <w:tcW w:w="0" w:type="auto"/>
            <w:vAlign w:val="center"/>
            <w:hideMark/>
          </w:tcPr>
          <w:p w14:paraId="4A07A98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0.151</w:t>
            </w:r>
          </w:p>
        </w:tc>
      </w:tr>
    </w:tbl>
    <w:p w14:paraId="23FEE541" w14:textId="23F7D4AE" w:rsidR="006F6D12" w:rsidRPr="006F6D12" w:rsidRDefault="004D23E9" w:rsidP="006F6D12">
      <w:pPr>
        <w:jc w:val="both"/>
        <w:rPr>
          <w:rFonts w:ascii="Times New Roman" w:hAnsi="Times New Roman" w:cs="Times New Roman"/>
          <w:sz w:val="24"/>
          <w:szCs w:val="24"/>
        </w:rPr>
      </w:pPr>
      <w:r w:rsidRPr="00DF37E2">
        <w:rPr>
          <w:rFonts w:ascii="Times New Roman" w:hAnsi="Times New Roman" w:cs="Times New Roman"/>
          <w:i/>
          <w:iCs/>
          <w:sz w:val="24"/>
          <w:szCs w:val="24"/>
        </w:rPr>
        <w:t>Fonte: elaborazione propria su dati raccolti in tempo reale.</w:t>
      </w:r>
    </w:p>
    <w:p w14:paraId="73FFB487" w14:textId="35E5C1D6"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 xml:space="preserve">La Figura </w:t>
      </w:r>
      <w:r w:rsidR="00D157D3">
        <w:rPr>
          <w:rFonts w:ascii="Times New Roman" w:hAnsi="Times New Roman" w:cs="Times New Roman"/>
          <w:sz w:val="24"/>
          <w:szCs w:val="24"/>
        </w:rPr>
        <w:t>3</w:t>
      </w:r>
      <w:r w:rsidRPr="008A240A">
        <w:rPr>
          <w:rFonts w:ascii="Times New Roman" w:hAnsi="Times New Roman" w:cs="Times New Roman"/>
          <w:sz w:val="24"/>
          <w:szCs w:val="24"/>
        </w:rPr>
        <w:t xml:space="preserve"> riporta le performance cumulative ottenute nell’ambito del fixed universe framework.</w:t>
      </w:r>
    </w:p>
    <w:p w14:paraId="42950934" w14:textId="34E08CEF" w:rsidR="00D157D3" w:rsidRPr="00D157D3" w:rsidRDefault="00D157D3" w:rsidP="00D157D3">
      <w:pPr>
        <w:pStyle w:val="Didascalia"/>
        <w:keepNext/>
        <w:jc w:val="both"/>
        <w:rPr>
          <w:color w:val="auto"/>
          <w:lang w:val="en-GB"/>
        </w:rPr>
      </w:pPr>
      <w:r w:rsidRPr="00D157D3">
        <w:rPr>
          <w:color w:val="auto"/>
          <w:lang w:val="en-GB"/>
        </w:rPr>
        <w:lastRenderedPageBreak/>
        <w:t xml:space="preserve">Figura </w:t>
      </w:r>
      <w:r w:rsidRPr="00D157D3">
        <w:rPr>
          <w:color w:val="auto"/>
        </w:rPr>
        <w:fldChar w:fldCharType="begin"/>
      </w:r>
      <w:r w:rsidRPr="00D157D3">
        <w:rPr>
          <w:color w:val="auto"/>
          <w:lang w:val="en-GB"/>
        </w:rPr>
        <w:instrText xml:space="preserve"> SEQ Figura \* ARABIC </w:instrText>
      </w:r>
      <w:r w:rsidRPr="00D157D3">
        <w:rPr>
          <w:color w:val="auto"/>
        </w:rPr>
        <w:fldChar w:fldCharType="separate"/>
      </w:r>
      <w:r>
        <w:rPr>
          <w:noProof/>
          <w:color w:val="auto"/>
          <w:lang w:val="en-GB"/>
        </w:rPr>
        <w:t>3</w:t>
      </w:r>
      <w:r w:rsidRPr="00D157D3">
        <w:rPr>
          <w:color w:val="auto"/>
        </w:rPr>
        <w:fldChar w:fldCharType="end"/>
      </w:r>
    </w:p>
    <w:p w14:paraId="607AB0D0" w14:textId="2B6090F3" w:rsidR="00D157D3" w:rsidRPr="00D157D3" w:rsidRDefault="00D157D3" w:rsidP="00D157D3">
      <w:pPr>
        <w:jc w:val="both"/>
        <w:rPr>
          <w:rFonts w:ascii="Times New Roman" w:hAnsi="Times New Roman" w:cs="Times New Roman"/>
          <w:sz w:val="24"/>
          <w:szCs w:val="24"/>
          <w:lang w:val="en-GB"/>
        </w:rPr>
      </w:pPr>
      <w:r w:rsidRPr="008A240A">
        <w:rPr>
          <w:rFonts w:ascii="Times New Roman" w:hAnsi="Times New Roman" w:cs="Times New Roman"/>
          <w:sz w:val="24"/>
          <w:szCs w:val="24"/>
          <w:lang w:val="en-GB"/>
        </w:rPr>
        <w:t>Cumulative Returns under Fixed Universe Constraint</w:t>
      </w:r>
    </w:p>
    <w:p w14:paraId="68E1B9FC" w14:textId="76365964" w:rsidR="008A240A" w:rsidRDefault="00D157D3" w:rsidP="008A240A">
      <w:pPr>
        <w:jc w:val="both"/>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4A973347" wp14:editId="1092C9C9">
            <wp:extent cx="3305175" cy="3269184"/>
            <wp:effectExtent l="0" t="0" r="0" b="7620"/>
            <wp:docPr id="705542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576" cy="3274526"/>
                    </a:xfrm>
                    <a:prstGeom prst="rect">
                      <a:avLst/>
                    </a:prstGeom>
                    <a:noFill/>
                    <a:ln>
                      <a:noFill/>
                    </a:ln>
                  </pic:spPr>
                </pic:pic>
              </a:graphicData>
            </a:graphic>
          </wp:inline>
        </w:drawing>
      </w:r>
    </w:p>
    <w:p w14:paraId="53FF0185" w14:textId="3FD8527F"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i/>
          <w:iCs/>
          <w:sz w:val="24"/>
          <w:szCs w:val="24"/>
        </w:rPr>
        <w:t>Nota. La figura mostra l’andamento cumulato dei portafogli costruiti imponendo un universo investibile fisso e costante lungo l’intero periodo campionario.</w:t>
      </w:r>
    </w:p>
    <w:p w14:paraId="58A4411D"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I risultati ottenuti confermano sostanzialmente le evidenze emerse nell’analisi principale. Sebbene alcune configurazioni mantengano performance cumulative moderatamente positive nel corso del periodo campionario, le differenze osservate tra i modelli risultano complessivamente contenute e non sufficienti a modificare le conclusioni generali dell’esperimento.</w:t>
      </w:r>
    </w:p>
    <w:p w14:paraId="3062DD76"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In particolare, ChatGPT versione non loggata (CGP) evidenzia la dinamica cumulata relativamente più stabile e positiva tra le configurazioni considerate, mentre Gemini Pro mostra una performance maggiormente volatile e complessivamente inferiore nel framework a universo fisso. Tuttavia, nessuna delle strategie implementate evidenzia performance risk-adjusted sufficientemente robuste da supportare l’esistenza di una persistente capacità di generazione di alpha economicamente significativo.</w:t>
      </w:r>
    </w:p>
    <w:p w14:paraId="5BD6CF3B" w14:textId="77777777" w:rsidR="00D157D3" w:rsidRP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Dal punto di vista metodologico, tali evidenze suggeriscono che i risultati principali non dipendano esclusivamente da variazioni opportunistiche dell’universo selezionato dai modelli linguistici, ma confermano al tempo stesso la limitata capacità dei modelli di produrre segnali quantitativamente robusti anche in presenza di un insieme di asset costante nel tempo.</w:t>
      </w:r>
    </w:p>
    <w:p w14:paraId="5AD902B1" w14:textId="77777777" w:rsidR="00D157D3" w:rsidRDefault="00D157D3" w:rsidP="00D157D3">
      <w:pPr>
        <w:jc w:val="both"/>
        <w:rPr>
          <w:rFonts w:ascii="Times New Roman" w:hAnsi="Times New Roman" w:cs="Times New Roman"/>
          <w:sz w:val="24"/>
          <w:szCs w:val="24"/>
        </w:rPr>
      </w:pPr>
      <w:r w:rsidRPr="00D157D3">
        <w:rPr>
          <w:rFonts w:ascii="Times New Roman" w:hAnsi="Times New Roman" w:cs="Times New Roman"/>
          <w:sz w:val="24"/>
          <w:szCs w:val="24"/>
        </w:rPr>
        <w:t>A ulteriore conferma, replicando la regressione lineare cross-sectional sulle stime del portafoglio a universo fisso, il coefficiente associato ai rendimenti previsti perde qualsiasi significatività statistica, evidenziando un potere esplicativo sostanzialmente nullo e confermando l’assenza di una robusta capacità di magnitude forecasting da parte dei modelli linguistici analizzati.</w:t>
      </w:r>
    </w:p>
    <w:p w14:paraId="0AEE881B" w14:textId="277696CC" w:rsidR="00212089" w:rsidRDefault="00212089" w:rsidP="00212089">
      <w:pPr>
        <w:pStyle w:val="Didascalia"/>
        <w:keepNext/>
        <w:rPr>
          <w:color w:val="auto"/>
        </w:rPr>
      </w:pPr>
      <w:r w:rsidRPr="00212089">
        <w:rPr>
          <w:color w:val="auto"/>
        </w:rPr>
        <w:t xml:space="preserve">Tabella </w:t>
      </w:r>
      <w:r w:rsidRPr="00212089">
        <w:rPr>
          <w:color w:val="auto"/>
        </w:rPr>
        <w:fldChar w:fldCharType="begin"/>
      </w:r>
      <w:r w:rsidRPr="00212089">
        <w:rPr>
          <w:color w:val="auto"/>
        </w:rPr>
        <w:instrText xml:space="preserve"> SEQ Tabella \* ARABIC </w:instrText>
      </w:r>
      <w:r w:rsidRPr="00212089">
        <w:rPr>
          <w:color w:val="auto"/>
        </w:rPr>
        <w:fldChar w:fldCharType="separate"/>
      </w:r>
      <w:r w:rsidRPr="00212089">
        <w:rPr>
          <w:noProof/>
          <w:color w:val="auto"/>
        </w:rPr>
        <w:t>10</w:t>
      </w:r>
      <w:r w:rsidRPr="00212089">
        <w:rPr>
          <w:color w:val="auto"/>
        </w:rPr>
        <w:fldChar w:fldCharType="end"/>
      </w:r>
    </w:p>
    <w:p w14:paraId="7CBF400F" w14:textId="79AD3257" w:rsidR="00212089" w:rsidRPr="00212089" w:rsidRDefault="00212089" w:rsidP="00212089">
      <w:pPr>
        <w:rPr>
          <w:rFonts w:ascii="Times New Roman" w:hAnsi="Times New Roman" w:cs="Times New Roman"/>
          <w:sz w:val="24"/>
          <w:szCs w:val="24"/>
        </w:rPr>
      </w:pPr>
      <w:r w:rsidRPr="00212089">
        <w:rPr>
          <w:rFonts w:ascii="Times New Roman" w:hAnsi="Times New Roman" w:cs="Times New Roman"/>
          <w:sz w:val="24"/>
          <w:szCs w:val="24"/>
        </w:rPr>
        <w:t>Magnitude forecasting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87"/>
        <w:gridCol w:w="840"/>
        <w:gridCol w:w="680"/>
        <w:gridCol w:w="811"/>
      </w:tblGrid>
      <w:tr w:rsidR="00212089" w:rsidRPr="00212089" w14:paraId="6A0CF5F7" w14:textId="77777777" w:rsidTr="00212089">
        <w:trPr>
          <w:tblHeader/>
          <w:tblCellSpacing w:w="15" w:type="dxa"/>
        </w:trPr>
        <w:tc>
          <w:tcPr>
            <w:tcW w:w="0" w:type="auto"/>
            <w:tcBorders>
              <w:top w:val="single" w:sz="4" w:space="0" w:color="auto"/>
              <w:bottom w:val="single" w:sz="4" w:space="0" w:color="auto"/>
            </w:tcBorders>
            <w:vAlign w:val="center"/>
            <w:hideMark/>
          </w:tcPr>
          <w:p w14:paraId="4D0FD681" w14:textId="77777777" w:rsidR="00212089" w:rsidRPr="00212089" w:rsidRDefault="00212089" w:rsidP="00212089">
            <w:pPr>
              <w:spacing w:after="0" w:line="240" w:lineRule="auto"/>
              <w:jc w:val="center"/>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lastRenderedPageBreak/>
              <w:t>Variabile</w:t>
            </w:r>
          </w:p>
        </w:tc>
        <w:tc>
          <w:tcPr>
            <w:tcW w:w="0" w:type="auto"/>
            <w:tcBorders>
              <w:top w:val="single" w:sz="4" w:space="0" w:color="auto"/>
              <w:bottom w:val="single" w:sz="4" w:space="0" w:color="auto"/>
            </w:tcBorders>
            <w:vAlign w:val="center"/>
            <w:hideMark/>
          </w:tcPr>
          <w:p w14:paraId="73A4E7E7"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Coefficiente</w:t>
            </w:r>
          </w:p>
        </w:tc>
        <w:tc>
          <w:tcPr>
            <w:tcW w:w="0" w:type="auto"/>
            <w:tcBorders>
              <w:top w:val="single" w:sz="4" w:space="0" w:color="auto"/>
              <w:bottom w:val="single" w:sz="4" w:space="0" w:color="auto"/>
            </w:tcBorders>
            <w:vAlign w:val="center"/>
            <w:hideMark/>
          </w:tcPr>
          <w:p w14:paraId="18618F58"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SE</w:t>
            </w:r>
          </w:p>
        </w:tc>
        <w:tc>
          <w:tcPr>
            <w:tcW w:w="0" w:type="auto"/>
            <w:tcBorders>
              <w:top w:val="single" w:sz="4" w:space="0" w:color="auto"/>
              <w:bottom w:val="single" w:sz="4" w:space="0" w:color="auto"/>
            </w:tcBorders>
            <w:vAlign w:val="center"/>
            <w:hideMark/>
          </w:tcPr>
          <w:p w14:paraId="71C4D159"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t</w:t>
            </w:r>
          </w:p>
        </w:tc>
        <w:tc>
          <w:tcPr>
            <w:tcW w:w="0" w:type="auto"/>
            <w:tcBorders>
              <w:top w:val="single" w:sz="4" w:space="0" w:color="auto"/>
              <w:bottom w:val="single" w:sz="4" w:space="0" w:color="auto"/>
            </w:tcBorders>
            <w:vAlign w:val="center"/>
            <w:hideMark/>
          </w:tcPr>
          <w:p w14:paraId="26A02DE2"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p</w:t>
            </w:r>
          </w:p>
        </w:tc>
      </w:tr>
      <w:tr w:rsidR="00212089" w:rsidRPr="00212089" w14:paraId="68E4482D" w14:textId="77777777">
        <w:trPr>
          <w:tblCellSpacing w:w="15" w:type="dxa"/>
        </w:trPr>
        <w:tc>
          <w:tcPr>
            <w:tcW w:w="0" w:type="auto"/>
            <w:vAlign w:val="center"/>
            <w:hideMark/>
          </w:tcPr>
          <w:p w14:paraId="0E44EDC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0562DE76"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0.00163***</w:t>
            </w:r>
          </w:p>
        </w:tc>
        <w:tc>
          <w:tcPr>
            <w:tcW w:w="0" w:type="auto"/>
            <w:vAlign w:val="center"/>
            <w:hideMark/>
          </w:tcPr>
          <w:p w14:paraId="3CFD0F50"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0.00049</w:t>
            </w:r>
          </w:p>
        </w:tc>
        <w:tc>
          <w:tcPr>
            <w:tcW w:w="0" w:type="auto"/>
            <w:vAlign w:val="center"/>
            <w:hideMark/>
          </w:tcPr>
          <w:p w14:paraId="53413D9D"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3.329</w:t>
            </w:r>
          </w:p>
        </w:tc>
        <w:tc>
          <w:tcPr>
            <w:tcW w:w="0" w:type="auto"/>
            <w:vAlign w:val="center"/>
            <w:hideMark/>
          </w:tcPr>
          <w:p w14:paraId="08E589CE" w14:textId="43FCBC0E"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 xml:space="preserve">&lt; </w:t>
            </w:r>
            <w:r w:rsidR="00134E0B">
              <w:rPr>
                <w:rFonts w:ascii="Times New Roman" w:eastAsia="Times New Roman" w:hAnsi="Times New Roman" w:cs="Times New Roman"/>
                <w:kern w:val="0"/>
                <w:sz w:val="24"/>
                <w:szCs w:val="24"/>
                <w:lang w:eastAsia="it-IT"/>
                <w14:ligatures w14:val="none"/>
              </w:rPr>
              <w:t>0</w:t>
            </w:r>
            <w:r w:rsidRPr="00212089">
              <w:rPr>
                <w:rFonts w:ascii="Times New Roman" w:eastAsia="Times New Roman" w:hAnsi="Times New Roman" w:cs="Times New Roman"/>
                <w:kern w:val="0"/>
                <w:sz w:val="24"/>
                <w:szCs w:val="24"/>
                <w:lang w:eastAsia="it-IT"/>
                <w14:ligatures w14:val="none"/>
              </w:rPr>
              <w:t>.001</w:t>
            </w:r>
          </w:p>
        </w:tc>
      </w:tr>
      <w:tr w:rsidR="00212089" w:rsidRPr="00212089" w14:paraId="4BCDC3CA" w14:textId="77777777">
        <w:trPr>
          <w:tblCellSpacing w:w="15" w:type="dxa"/>
        </w:trPr>
        <w:tc>
          <w:tcPr>
            <w:tcW w:w="0" w:type="auto"/>
            <w:vAlign w:val="center"/>
            <w:hideMark/>
          </w:tcPr>
          <w:p w14:paraId="18B1C3D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return_pred</w:t>
            </w:r>
          </w:p>
        </w:tc>
        <w:tc>
          <w:tcPr>
            <w:tcW w:w="0" w:type="auto"/>
            <w:vAlign w:val="center"/>
            <w:hideMark/>
          </w:tcPr>
          <w:p w14:paraId="76B39CC5"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-0.00309**</w:t>
            </w:r>
          </w:p>
        </w:tc>
        <w:tc>
          <w:tcPr>
            <w:tcW w:w="0" w:type="auto"/>
            <w:vAlign w:val="center"/>
            <w:hideMark/>
          </w:tcPr>
          <w:p w14:paraId="63922734"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0.00115</w:t>
            </w:r>
          </w:p>
        </w:tc>
        <w:tc>
          <w:tcPr>
            <w:tcW w:w="0" w:type="auto"/>
            <w:vAlign w:val="center"/>
            <w:hideMark/>
          </w:tcPr>
          <w:p w14:paraId="78F6D69F"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-2.683</w:t>
            </w:r>
          </w:p>
        </w:tc>
        <w:tc>
          <w:tcPr>
            <w:tcW w:w="0" w:type="auto"/>
            <w:vAlign w:val="center"/>
            <w:hideMark/>
          </w:tcPr>
          <w:p w14:paraId="30947EB5" w14:textId="51C72BBE" w:rsidR="00212089" w:rsidRPr="00212089" w:rsidRDefault="00134E0B" w:rsidP="00212089">
            <w:pPr>
              <w:spacing w:after="0" w:line="240" w:lineRule="auto"/>
              <w:jc w:val="right"/>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0</w:t>
            </w:r>
            <w:r w:rsidR="00212089" w:rsidRPr="00212089">
              <w:rPr>
                <w:rFonts w:ascii="Times New Roman" w:eastAsia="Times New Roman" w:hAnsi="Times New Roman" w:cs="Times New Roman"/>
                <w:kern w:val="0"/>
                <w:sz w:val="24"/>
                <w:szCs w:val="24"/>
                <w:lang w:eastAsia="it-IT"/>
                <w14:ligatures w14:val="none"/>
              </w:rPr>
              <w:t>.007</w:t>
            </w:r>
          </w:p>
        </w:tc>
      </w:tr>
    </w:tbl>
    <w:p w14:paraId="1FBB5D6C" w14:textId="516FC97E" w:rsidR="00212089" w:rsidRPr="00212089" w:rsidRDefault="00212089" w:rsidP="00D157D3">
      <w:pPr>
        <w:jc w:val="both"/>
        <w:rPr>
          <w:rFonts w:ascii="Times New Roman" w:hAnsi="Times New Roman" w:cs="Times New Roman"/>
          <w:sz w:val="24"/>
          <w:szCs w:val="24"/>
        </w:rPr>
      </w:pPr>
      <w:r w:rsidRPr="00212089">
        <w:rPr>
          <w:rFonts w:ascii="Times New Roman" w:hAnsi="Times New Roman" w:cs="Times New Roman"/>
          <w:i/>
          <w:iCs/>
          <w:sz w:val="24"/>
          <w:szCs w:val="24"/>
        </w:rPr>
        <w:t xml:space="preserve">Nota: </w:t>
      </w:r>
      <w:r w:rsidRPr="00212089">
        <w:rPr>
          <w:rFonts w:ascii="Times New Roman" w:hAnsi="Times New Roman" w:cs="Times New Roman"/>
          <w:sz w:val="24"/>
          <w:szCs w:val="24"/>
        </w:rPr>
        <w:t xml:space="preserve">Variabile dipendente: </w:t>
      </w:r>
      <w:r w:rsidRPr="00212089">
        <w:rPr>
          <w:rFonts w:ascii="Times New Roman" w:hAnsi="Times New Roman" w:cs="Times New Roman"/>
          <w:i/>
          <w:iCs/>
          <w:sz w:val="24"/>
          <w:szCs w:val="24"/>
        </w:rPr>
        <w:t>return_oc</w:t>
      </w:r>
      <w:r w:rsidRPr="00212089">
        <w:rPr>
          <w:rFonts w:ascii="Times New Roman" w:hAnsi="Times New Roman" w:cs="Times New Roman"/>
          <w:sz w:val="24"/>
          <w:szCs w:val="24"/>
        </w:rPr>
        <w:t xml:space="preserve">. SE = errore standard. ** p &lt; .01, *** p &lt; .001.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=0.006</m:t>
        </m:r>
      </m:oMath>
      <w:r w:rsidRPr="00212089">
        <w:rPr>
          <w:rFonts w:ascii="Times New Roman" w:hAnsi="Times New Roman" w:cs="Times New Roman"/>
          <w:sz w:val="24"/>
          <w:szCs w:val="24"/>
        </w:rPr>
        <w:t xml:space="preserve">, </w:t>
      </w:r>
      <m:oMath>
        <m:r>
          <w:rPr>
            <w:rFonts w:ascii="Cambria Math" w:hAnsi="Cambria Math" w:cs="Times New Roman"/>
            <w:sz w:val="24"/>
            <w:szCs w:val="24"/>
          </w:rPr>
          <m:t>Adj</m:t>
        </m:r>
        <m:r>
          <m:rPr>
            <m:sty m:val="p"/>
          </m:rPr>
          <w:rPr>
            <w:rFonts w:ascii="Cambria Math" w:hAnsi="Cambria Math" w:cs="Times New Roman"/>
            <w:sz w:val="24"/>
            <w:szCs w:val="24"/>
          </w:rPr>
          <m:t>. </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=0.005</m:t>
        </m:r>
      </m:oMath>
      <w:r w:rsidRPr="00212089">
        <w:rPr>
          <w:rFonts w:ascii="Times New Roman" w:hAnsi="Times New Roman" w:cs="Times New Roman"/>
          <w:sz w:val="24"/>
          <w:szCs w:val="24"/>
        </w:rPr>
        <w:t xml:space="preserve">, </w:t>
      </w:r>
      <m:oMath>
        <m:r>
          <w:rPr>
            <w:rFonts w:ascii="Cambria Math" w:hAnsi="Cambria Math" w:cs="Times New Roman"/>
            <w:sz w:val="24"/>
            <w:szCs w:val="24"/>
          </w:rPr>
          <m:t>F(1,1143)=7.199</m:t>
        </m:r>
      </m:oMath>
      <w:r w:rsidRPr="00212089">
        <w:rPr>
          <w:rFonts w:ascii="Times New Roman" w:hAnsi="Times New Roman" w:cs="Times New Roman"/>
          <w:sz w:val="24"/>
          <w:szCs w:val="24"/>
        </w:rPr>
        <w:t xml:space="preserve">, </w:t>
      </w:r>
      <m:oMath>
        <m:r>
          <w:rPr>
            <w:rFonts w:ascii="Cambria Math" w:hAnsi="Cambria Math" w:cs="Times New Roman"/>
            <w:sz w:val="24"/>
            <w:szCs w:val="24"/>
          </w:rPr>
          <m:t>p=.007</m:t>
        </m:r>
      </m:oMath>
      <w:r w:rsidRPr="00212089">
        <w:rPr>
          <w:rFonts w:ascii="Times New Roman" w:hAnsi="Times New Roman" w:cs="Times New Roman"/>
          <w:sz w:val="24"/>
          <w:szCs w:val="24"/>
        </w:rPr>
        <w:t>.</w:t>
      </w:r>
    </w:p>
    <w:p w14:paraId="62825AD2" w14:textId="77777777" w:rsidR="008A240A" w:rsidRPr="00134E0B" w:rsidRDefault="008A240A" w:rsidP="008A240A">
      <w:pPr>
        <w:jc w:val="both"/>
        <w:rPr>
          <w:rFonts w:ascii="Times New Roman" w:hAnsi="Times New Roman" w:cs="Times New Roman"/>
          <w:b/>
          <w:bCs/>
          <w:sz w:val="24"/>
          <w:szCs w:val="24"/>
        </w:rPr>
      </w:pPr>
      <w:r w:rsidRPr="00134E0B">
        <w:rPr>
          <w:rFonts w:ascii="Times New Roman" w:hAnsi="Times New Roman" w:cs="Times New Roman"/>
          <w:b/>
          <w:bCs/>
          <w:sz w:val="24"/>
          <w:szCs w:val="24"/>
        </w:rPr>
        <w:t>4.6.2 Exclusion of Invalid Outputs</w:t>
      </w:r>
    </w:p>
    <w:p w14:paraId="3DE30674"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Un secondo robustness check riguarda l’esclusione delle osservazioni caratterizzate da:</w:t>
      </w:r>
    </w:p>
    <w:p w14:paraId="497B53A7" w14:textId="77777777" w:rsidR="008A240A" w:rsidRPr="008A240A" w:rsidRDefault="008A240A" w:rsidP="008A240A">
      <w:pPr>
        <w:numPr>
          <w:ilvl w:val="0"/>
          <w:numId w:val="7"/>
        </w:numPr>
        <w:jc w:val="both"/>
        <w:rPr>
          <w:rFonts w:ascii="Times New Roman" w:hAnsi="Times New Roman" w:cs="Times New Roman"/>
          <w:sz w:val="24"/>
          <w:szCs w:val="24"/>
        </w:rPr>
      </w:pPr>
      <w:r w:rsidRPr="008A240A">
        <w:rPr>
          <w:rFonts w:ascii="Times New Roman" w:hAnsi="Times New Roman" w:cs="Times New Roman"/>
          <w:sz w:val="24"/>
          <w:szCs w:val="24"/>
        </w:rPr>
        <w:t>ticker inesistenti;</w:t>
      </w:r>
    </w:p>
    <w:p w14:paraId="1B44FA66" w14:textId="77777777" w:rsidR="008A240A" w:rsidRPr="008A240A" w:rsidRDefault="008A240A" w:rsidP="008A240A">
      <w:pPr>
        <w:numPr>
          <w:ilvl w:val="0"/>
          <w:numId w:val="7"/>
        </w:numPr>
        <w:jc w:val="both"/>
        <w:rPr>
          <w:rFonts w:ascii="Times New Roman" w:hAnsi="Times New Roman" w:cs="Times New Roman"/>
          <w:sz w:val="24"/>
          <w:szCs w:val="24"/>
        </w:rPr>
      </w:pPr>
      <w:r w:rsidRPr="008A240A">
        <w:rPr>
          <w:rFonts w:ascii="Times New Roman" w:hAnsi="Times New Roman" w:cs="Times New Roman"/>
          <w:sz w:val="24"/>
          <w:szCs w:val="24"/>
        </w:rPr>
        <w:t>asset non appartenenti all’universo investibile;</w:t>
      </w:r>
    </w:p>
    <w:p w14:paraId="4046CE88" w14:textId="77777777" w:rsidR="008A240A" w:rsidRPr="008A240A" w:rsidRDefault="008A240A" w:rsidP="008A240A">
      <w:pPr>
        <w:numPr>
          <w:ilvl w:val="0"/>
          <w:numId w:val="7"/>
        </w:numPr>
        <w:jc w:val="both"/>
        <w:rPr>
          <w:rFonts w:ascii="Times New Roman" w:hAnsi="Times New Roman" w:cs="Times New Roman"/>
          <w:sz w:val="24"/>
          <w:szCs w:val="24"/>
        </w:rPr>
      </w:pPr>
      <w:r w:rsidRPr="008A240A">
        <w:rPr>
          <w:rFonts w:ascii="Times New Roman" w:hAnsi="Times New Roman" w:cs="Times New Roman"/>
          <w:sz w:val="24"/>
          <w:szCs w:val="24"/>
        </w:rPr>
        <w:t>output incompleti;</w:t>
      </w:r>
    </w:p>
    <w:p w14:paraId="776E0913" w14:textId="77777777" w:rsidR="008A240A" w:rsidRPr="008A240A" w:rsidRDefault="008A240A" w:rsidP="008A240A">
      <w:pPr>
        <w:numPr>
          <w:ilvl w:val="0"/>
          <w:numId w:val="7"/>
        </w:numPr>
        <w:jc w:val="both"/>
        <w:rPr>
          <w:rFonts w:ascii="Times New Roman" w:hAnsi="Times New Roman" w:cs="Times New Roman"/>
          <w:sz w:val="24"/>
          <w:szCs w:val="24"/>
        </w:rPr>
      </w:pPr>
      <w:r w:rsidRPr="008A240A">
        <w:rPr>
          <w:rFonts w:ascii="Times New Roman" w:hAnsi="Times New Roman" w:cs="Times New Roman"/>
          <w:sz w:val="24"/>
          <w:szCs w:val="24"/>
        </w:rPr>
        <w:t>errori operativi evidenti.</w:t>
      </w:r>
    </w:p>
    <w:p w14:paraId="535F1DA7"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Questa procedura è stata implementata per verificare se le problematiche operative discusse nella sezione precedente possano aver influenzato in modo significativo i risultati quantitativi dell’analisi.</w:t>
      </w:r>
    </w:p>
    <w:p w14:paraId="03018456"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L’esclusione delle osservazioni invalide non produce variazioni sostanziali nelle metriche aggregate di performance. Le differenze osservate risultano infatti marginali sia in termini di directional accuracy sia in termini di Sharpe ratio e cumulative returns. Questo risultato suggerisce che le limitazioni predittive osservate non derivino esclusivamente da errori operativi o hallucinations occasionali, ma riflettano caratteristiche più profonde del comportamento inferenziale dei modelli linguistici nel contesto finanziario considerato.</w:t>
      </w:r>
    </w:p>
    <w:p w14:paraId="6C3E8399"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4.6.3 Sensitivity to Weighting Schemes</w:t>
      </w:r>
    </w:p>
    <w:p w14:paraId="354B72CE"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Ulteriori verifiche sono state condotte confrontando i risultati ottenuti mediante differenti schemi di ponderazione del portafoglio. Come discusso nelle sezioni precedenti, i portafogli value-weighted tendono a mostrare performance relativamente superiori rispetto alle configurazioni equally weighted e signal weighted.</w:t>
      </w:r>
    </w:p>
    <w:p w14:paraId="2A801ABC"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Tuttavia, tali differenze appaiono economicamente limitate e scarsamente robuste. In particolare:</w:t>
      </w:r>
    </w:p>
    <w:p w14:paraId="0F8E663B" w14:textId="77777777" w:rsidR="008A240A" w:rsidRPr="008A240A" w:rsidRDefault="008A240A" w:rsidP="008A240A">
      <w:pPr>
        <w:numPr>
          <w:ilvl w:val="0"/>
          <w:numId w:val="8"/>
        </w:numPr>
        <w:jc w:val="both"/>
        <w:rPr>
          <w:rFonts w:ascii="Times New Roman" w:hAnsi="Times New Roman" w:cs="Times New Roman"/>
          <w:sz w:val="24"/>
          <w:szCs w:val="24"/>
        </w:rPr>
      </w:pPr>
      <w:r w:rsidRPr="008A240A">
        <w:rPr>
          <w:rFonts w:ascii="Times New Roman" w:hAnsi="Times New Roman" w:cs="Times New Roman"/>
          <w:sz w:val="24"/>
          <w:szCs w:val="24"/>
        </w:rPr>
        <w:t>i vantaggi osservati risultano concentrati prevalentemente nel caso Gemini Pro;</w:t>
      </w:r>
    </w:p>
    <w:p w14:paraId="64F4A74B" w14:textId="77777777" w:rsidR="008A240A" w:rsidRPr="008A240A" w:rsidRDefault="008A240A" w:rsidP="008A240A">
      <w:pPr>
        <w:numPr>
          <w:ilvl w:val="0"/>
          <w:numId w:val="8"/>
        </w:numPr>
        <w:jc w:val="both"/>
        <w:rPr>
          <w:rFonts w:ascii="Times New Roman" w:hAnsi="Times New Roman" w:cs="Times New Roman"/>
          <w:sz w:val="24"/>
          <w:szCs w:val="24"/>
        </w:rPr>
      </w:pPr>
      <w:r w:rsidRPr="008A240A">
        <w:rPr>
          <w:rFonts w:ascii="Times New Roman" w:hAnsi="Times New Roman" w:cs="Times New Roman"/>
          <w:sz w:val="24"/>
          <w:szCs w:val="24"/>
        </w:rPr>
        <w:t>le performance non sono replicate con continuità across-model;</w:t>
      </w:r>
    </w:p>
    <w:p w14:paraId="18C2DB7D" w14:textId="77777777" w:rsidR="008A240A" w:rsidRPr="008A240A" w:rsidRDefault="008A240A" w:rsidP="008A240A">
      <w:pPr>
        <w:numPr>
          <w:ilvl w:val="0"/>
          <w:numId w:val="8"/>
        </w:numPr>
        <w:jc w:val="both"/>
        <w:rPr>
          <w:rFonts w:ascii="Times New Roman" w:hAnsi="Times New Roman" w:cs="Times New Roman"/>
          <w:sz w:val="24"/>
          <w:szCs w:val="24"/>
        </w:rPr>
      </w:pPr>
      <w:r w:rsidRPr="008A240A">
        <w:rPr>
          <w:rFonts w:ascii="Times New Roman" w:hAnsi="Times New Roman" w:cs="Times New Roman"/>
          <w:sz w:val="24"/>
          <w:szCs w:val="24"/>
        </w:rPr>
        <w:t>gli alpha rimangono non significativi anche nelle configurazioni migliori.</w:t>
      </w:r>
    </w:p>
    <w:p w14:paraId="066B0BD4"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Questo elemento appare particolarmente rilevante poiché suggerisce che eventuali risultati positivi osservati possano riflettere più componenti episodiche o specifiche condizioni di mercato che una reale superiorità strutturale dello schema di ponderazione adottato.</w:t>
      </w:r>
    </w:p>
    <w:p w14:paraId="0A6F5353" w14:textId="3D2BAB69" w:rsidR="00DF37E2" w:rsidRPr="00353B5D" w:rsidRDefault="00DF37E2" w:rsidP="00DF37E2">
      <w:pPr>
        <w:jc w:val="both"/>
        <w:rPr>
          <w:rFonts w:ascii="Times New Roman" w:hAnsi="Times New Roman" w:cs="Times New Roman"/>
          <w:b/>
          <w:bCs/>
          <w:sz w:val="24"/>
          <w:szCs w:val="24"/>
        </w:rPr>
      </w:pPr>
      <w:r w:rsidRPr="00353B5D">
        <w:rPr>
          <w:rFonts w:ascii="Times New Roman" w:hAnsi="Times New Roman" w:cs="Times New Roman"/>
          <w:b/>
          <w:bCs/>
          <w:sz w:val="24"/>
          <w:szCs w:val="24"/>
        </w:rPr>
        <w:t>4.6.</w:t>
      </w:r>
      <w:r w:rsidR="002F5392" w:rsidRPr="00353B5D">
        <w:rPr>
          <w:rFonts w:ascii="Times New Roman" w:hAnsi="Times New Roman" w:cs="Times New Roman"/>
          <w:b/>
          <w:bCs/>
          <w:sz w:val="24"/>
          <w:szCs w:val="24"/>
        </w:rPr>
        <w:t>4</w:t>
      </w:r>
      <w:r w:rsidRPr="00353B5D">
        <w:rPr>
          <w:rFonts w:ascii="Times New Roman" w:hAnsi="Times New Roman" w:cs="Times New Roman"/>
          <w:b/>
          <w:bCs/>
          <w:sz w:val="24"/>
          <w:szCs w:val="24"/>
        </w:rPr>
        <w:t xml:space="preserve"> Outlier and Extreme Return Analysis</w:t>
      </w:r>
    </w:p>
    <w:p w14:paraId="6BDC4A53" w14:textId="77777777"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Al fine di verificare se le performance osservate fossero guidate da un numero limitato di osservazioni estreme, è stata condotta un’ulteriore analisi di robustezza basata sull’identificazione e sull’esclusione degli outliers nei rendimenti giornalieri dei portafogli.</w:t>
      </w:r>
    </w:p>
    <w:p w14:paraId="7D1C54AD" w14:textId="77777777"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 xml:space="preserve">Gli outliers sono stati identificati utilizzando il criterio interquartile standard (IQR method), classificando come osservazioni estreme i rendimenti inferiori a (Q1 - 1.5 \times IQR) o superiori a </w:t>
      </w:r>
      <w:r w:rsidRPr="00DF37E2">
        <w:rPr>
          <w:rFonts w:ascii="Times New Roman" w:hAnsi="Times New Roman" w:cs="Times New Roman"/>
          <w:sz w:val="24"/>
          <w:szCs w:val="24"/>
        </w:rPr>
        <w:lastRenderedPageBreak/>
        <w:t>(Q3 + 1.5 \times IQR). Tale procedura consente di verificare se i risultati precedentemente osservati dipendano in misura significativa da pochi giorni caratterizzati da performance anomale.</w:t>
      </w:r>
    </w:p>
    <w:p w14:paraId="42E95ADF" w14:textId="2A21159E"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 xml:space="preserve">La Figura </w:t>
      </w:r>
      <w:r w:rsidR="00D157D3">
        <w:rPr>
          <w:rFonts w:ascii="Times New Roman" w:hAnsi="Times New Roman" w:cs="Times New Roman"/>
          <w:sz w:val="24"/>
          <w:szCs w:val="24"/>
        </w:rPr>
        <w:t>4</w:t>
      </w:r>
      <w:r w:rsidRPr="00DF37E2">
        <w:rPr>
          <w:rFonts w:ascii="Times New Roman" w:hAnsi="Times New Roman" w:cs="Times New Roman"/>
          <w:sz w:val="24"/>
          <w:szCs w:val="24"/>
        </w:rPr>
        <w:t xml:space="preserve"> riporta la distribuzione dei rendimenti giornalieri e gli outliers identificati per ciascun portafoglio.</w:t>
      </w:r>
    </w:p>
    <w:p w14:paraId="52A887F7" w14:textId="665DE351" w:rsidR="00D157D3" w:rsidRPr="00D157D3" w:rsidRDefault="00D157D3" w:rsidP="00D157D3">
      <w:pPr>
        <w:pStyle w:val="Didascalia"/>
        <w:keepNext/>
        <w:jc w:val="both"/>
        <w:rPr>
          <w:color w:val="auto"/>
          <w:lang w:val="en-GB"/>
        </w:rPr>
      </w:pPr>
      <w:r w:rsidRPr="00D157D3">
        <w:rPr>
          <w:color w:val="auto"/>
          <w:lang w:val="en-GB"/>
        </w:rPr>
        <w:t xml:space="preserve">Figura </w:t>
      </w:r>
      <w:r w:rsidRPr="00D157D3">
        <w:rPr>
          <w:color w:val="auto"/>
        </w:rPr>
        <w:fldChar w:fldCharType="begin"/>
      </w:r>
      <w:r w:rsidRPr="00D157D3">
        <w:rPr>
          <w:color w:val="auto"/>
          <w:lang w:val="en-GB"/>
        </w:rPr>
        <w:instrText xml:space="preserve"> SEQ Figura \* ARABIC </w:instrText>
      </w:r>
      <w:r w:rsidRPr="00D157D3">
        <w:rPr>
          <w:color w:val="auto"/>
        </w:rPr>
        <w:fldChar w:fldCharType="separate"/>
      </w:r>
      <w:r w:rsidRPr="00D157D3">
        <w:rPr>
          <w:noProof/>
          <w:color w:val="auto"/>
          <w:lang w:val="en-GB"/>
        </w:rPr>
        <w:t>4</w:t>
      </w:r>
      <w:r w:rsidRPr="00D157D3">
        <w:rPr>
          <w:color w:val="auto"/>
        </w:rPr>
        <w:fldChar w:fldCharType="end"/>
      </w:r>
    </w:p>
    <w:p w14:paraId="5C6B94DB" w14:textId="77777777" w:rsidR="00D157D3" w:rsidRPr="00DF37E2" w:rsidRDefault="00D157D3" w:rsidP="00D157D3">
      <w:pPr>
        <w:jc w:val="both"/>
        <w:rPr>
          <w:rFonts w:ascii="Times New Roman" w:hAnsi="Times New Roman" w:cs="Times New Roman"/>
          <w:sz w:val="24"/>
          <w:szCs w:val="24"/>
          <w:lang w:val="en-GB"/>
        </w:rPr>
      </w:pPr>
      <w:r w:rsidRPr="00DF37E2">
        <w:rPr>
          <w:rFonts w:ascii="Times New Roman" w:hAnsi="Times New Roman" w:cs="Times New Roman"/>
          <w:sz w:val="24"/>
          <w:szCs w:val="24"/>
          <w:lang w:val="en-GB"/>
        </w:rPr>
        <w:t>Outlier Detection in Portfolio Returns</w:t>
      </w:r>
    </w:p>
    <w:p w14:paraId="197C9BA4" w14:textId="77777777" w:rsidR="00D157D3" w:rsidRPr="00D157D3" w:rsidRDefault="00D157D3" w:rsidP="00D157D3">
      <w:pPr>
        <w:rPr>
          <w:lang w:val="en-GB"/>
        </w:rPr>
      </w:pPr>
    </w:p>
    <w:p w14:paraId="607F4695" w14:textId="666F269D" w:rsidR="00DF37E2" w:rsidRDefault="00D157D3" w:rsidP="00DF37E2">
      <w:pPr>
        <w:jc w:val="both"/>
        <w:rPr>
          <w:rFonts w:ascii="Times New Roman" w:hAnsi="Times New Roman" w:cs="Times New Roman"/>
          <w:i/>
          <w:iCs/>
          <w:sz w:val="24"/>
          <w:szCs w:val="24"/>
        </w:rPr>
      </w:pPr>
      <w:r>
        <w:rPr>
          <w:rFonts w:ascii="Times New Roman" w:hAnsi="Times New Roman" w:cs="Times New Roman"/>
          <w:b/>
          <w:bCs/>
          <w:noProof/>
          <w:sz w:val="24"/>
          <w:szCs w:val="24"/>
        </w:rPr>
        <w:drawing>
          <wp:inline distT="0" distB="0" distL="0" distR="0" wp14:anchorId="256F30DA" wp14:editId="66AF196C">
            <wp:extent cx="6115050" cy="4038600"/>
            <wp:effectExtent l="0" t="0" r="0" b="0"/>
            <wp:docPr id="69404706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4038600"/>
                    </a:xfrm>
                    <a:prstGeom prst="rect">
                      <a:avLst/>
                    </a:prstGeom>
                    <a:noFill/>
                    <a:ln>
                      <a:noFill/>
                    </a:ln>
                  </pic:spPr>
                </pic:pic>
              </a:graphicData>
            </a:graphic>
          </wp:inline>
        </w:drawing>
      </w:r>
    </w:p>
    <w:p w14:paraId="6CCF46B9" w14:textId="47F015C0" w:rsidR="00DF37E2" w:rsidRDefault="00DF37E2" w:rsidP="00DF37E2">
      <w:pPr>
        <w:jc w:val="both"/>
        <w:rPr>
          <w:rFonts w:ascii="Times New Roman" w:hAnsi="Times New Roman" w:cs="Times New Roman"/>
          <w:i/>
          <w:iCs/>
          <w:sz w:val="24"/>
          <w:szCs w:val="24"/>
        </w:rPr>
      </w:pPr>
      <w:r w:rsidRPr="00DF37E2">
        <w:rPr>
          <w:rFonts w:ascii="Times New Roman" w:hAnsi="Times New Roman" w:cs="Times New Roman"/>
          <w:i/>
          <w:iCs/>
          <w:sz w:val="24"/>
          <w:szCs w:val="24"/>
        </w:rPr>
        <w:t>Nota. La figura mostra i boxplot dei rendimenti giornalieri dei portafogli LLM. Gli outliers sono identificati mediante criterio interquartile standard (1.5 × IQR).</w:t>
      </w:r>
    </w:p>
    <w:p w14:paraId="139417C4" w14:textId="44324E27" w:rsidR="00D157D3" w:rsidRPr="00DF37E2" w:rsidRDefault="00D157D3" w:rsidP="00DF37E2">
      <w:pPr>
        <w:jc w:val="both"/>
        <w:rPr>
          <w:rFonts w:ascii="Times New Roman" w:hAnsi="Times New Roman" w:cs="Times New Roman"/>
          <w:sz w:val="24"/>
          <w:szCs w:val="24"/>
        </w:rPr>
      </w:pPr>
      <w:r w:rsidRPr="00D157D3">
        <w:rPr>
          <w:rFonts w:ascii="Times New Roman" w:hAnsi="Times New Roman" w:cs="Times New Roman"/>
          <w:sz w:val="24"/>
          <w:szCs w:val="24"/>
        </w:rPr>
        <w:t>La distribuzione dei rendimenti appare complessivamente stabile lungo le diverse configurazioni considerate. Sebbene emergano alcune osservazioni estreme positive, in particolare nei portafogli value weighted, i boxplot mostrano una struttura relativamente omogenea tra i differenti modelli e schemi di ponderazione. Le osservazioni anomale risultano prevalentemente concentrate nella coda superiore della distribuzione, suggerendo che gli episodi di volatilità estrema siano associati principalmente a giornate caratterizzate da rendimenti particolarmente positivi.</w:t>
      </w:r>
    </w:p>
    <w:p w14:paraId="243E0A5B" w14:textId="7B201108" w:rsidR="00D157D3"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 xml:space="preserve">La Tabella </w:t>
      </w:r>
      <w:r w:rsidR="00D157D3">
        <w:rPr>
          <w:rFonts w:ascii="Times New Roman" w:hAnsi="Times New Roman" w:cs="Times New Roman"/>
          <w:sz w:val="24"/>
          <w:szCs w:val="24"/>
        </w:rPr>
        <w:t xml:space="preserve">10 </w:t>
      </w:r>
      <w:r w:rsidRPr="00DF37E2">
        <w:rPr>
          <w:rFonts w:ascii="Times New Roman" w:hAnsi="Times New Roman" w:cs="Times New Roman"/>
          <w:sz w:val="24"/>
          <w:szCs w:val="24"/>
        </w:rPr>
        <w:t>sintetizza il numero di osservazioni estreme identificate nei differenti portafogli.</w:t>
      </w:r>
    </w:p>
    <w:p w14:paraId="7A8823E4" w14:textId="5AB2D6B1" w:rsidR="00D157D3" w:rsidRPr="00D157D3" w:rsidRDefault="00D157D3" w:rsidP="00D157D3">
      <w:pPr>
        <w:pStyle w:val="Didascalia"/>
        <w:keepNext/>
        <w:rPr>
          <w:color w:val="auto"/>
        </w:rPr>
      </w:pPr>
      <w:r w:rsidRPr="00D157D3">
        <w:rPr>
          <w:color w:val="auto"/>
        </w:rPr>
        <w:t xml:space="preserve">Tabella </w:t>
      </w:r>
      <w:r w:rsidRPr="00D157D3">
        <w:rPr>
          <w:color w:val="auto"/>
        </w:rPr>
        <w:fldChar w:fldCharType="begin"/>
      </w:r>
      <w:r w:rsidRPr="00D157D3">
        <w:rPr>
          <w:color w:val="auto"/>
        </w:rPr>
        <w:instrText xml:space="preserve"> SEQ Tabella \* ARABIC </w:instrText>
      </w:r>
      <w:r w:rsidRPr="00D157D3">
        <w:rPr>
          <w:color w:val="auto"/>
        </w:rPr>
        <w:fldChar w:fldCharType="separate"/>
      </w:r>
      <w:r w:rsidR="00212089">
        <w:rPr>
          <w:noProof/>
          <w:color w:val="auto"/>
        </w:rPr>
        <w:t>11</w:t>
      </w:r>
      <w:r w:rsidRPr="00D157D3">
        <w:rPr>
          <w:color w:val="auto"/>
        </w:rPr>
        <w:fldChar w:fldCharType="end"/>
      </w:r>
    </w:p>
    <w:p w14:paraId="27531B35" w14:textId="63EA4AB0" w:rsidR="00D157D3" w:rsidRDefault="00D157D3" w:rsidP="00D157D3">
      <w:pPr>
        <w:jc w:val="both"/>
        <w:rPr>
          <w:rFonts w:ascii="Times New Roman" w:hAnsi="Times New Roman" w:cs="Times New Roman"/>
          <w:sz w:val="24"/>
          <w:szCs w:val="24"/>
        </w:rPr>
      </w:pPr>
      <w:r w:rsidRPr="00DF37E2">
        <w:rPr>
          <w:rFonts w:ascii="Times New Roman" w:hAnsi="Times New Roman" w:cs="Times New Roman"/>
          <w:sz w:val="24"/>
          <w:szCs w:val="24"/>
        </w:rPr>
        <w:t>Outlier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07"/>
        <w:gridCol w:w="974"/>
        <w:gridCol w:w="1040"/>
        <w:gridCol w:w="1280"/>
        <w:gridCol w:w="1335"/>
      </w:tblGrid>
      <w:tr w:rsidR="00212089" w:rsidRPr="00212089" w14:paraId="6DE38AE9" w14:textId="77777777" w:rsidTr="00704DBE">
        <w:trPr>
          <w:tblHeader/>
          <w:tblCellSpacing w:w="15" w:type="dxa"/>
        </w:trPr>
        <w:tc>
          <w:tcPr>
            <w:tcW w:w="0" w:type="auto"/>
            <w:tcBorders>
              <w:top w:val="single" w:sz="4" w:space="0" w:color="auto"/>
              <w:bottom w:val="single" w:sz="4" w:space="0" w:color="auto"/>
            </w:tcBorders>
            <w:vAlign w:val="center"/>
            <w:hideMark/>
          </w:tcPr>
          <w:p w14:paraId="2A9287EF"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52759A04" w14:textId="730F930E"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 xml:space="preserve">N </w:t>
            </w:r>
            <w:r w:rsidR="00704DBE">
              <w:rPr>
                <w:rFonts w:ascii="Times New Roman" w:eastAsia="Times New Roman" w:hAnsi="Times New Roman" w:cs="Times New Roman"/>
                <w:b/>
                <w:bCs/>
                <w:kern w:val="0"/>
                <w:sz w:val="24"/>
                <w:szCs w:val="24"/>
                <w:lang w:eastAsia="it-IT"/>
                <w14:ligatures w14:val="none"/>
              </w:rPr>
              <w:t>Obs</w:t>
            </w:r>
          </w:p>
        </w:tc>
        <w:tc>
          <w:tcPr>
            <w:tcW w:w="0" w:type="auto"/>
            <w:tcBorders>
              <w:top w:val="single" w:sz="4" w:space="0" w:color="auto"/>
              <w:bottom w:val="single" w:sz="4" w:space="0" w:color="auto"/>
            </w:tcBorders>
            <w:vAlign w:val="center"/>
            <w:hideMark/>
          </w:tcPr>
          <w:p w14:paraId="04A25C28"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N outlier</w:t>
            </w:r>
          </w:p>
        </w:tc>
        <w:tc>
          <w:tcPr>
            <w:tcW w:w="0" w:type="auto"/>
            <w:tcBorders>
              <w:top w:val="single" w:sz="4" w:space="0" w:color="auto"/>
              <w:bottom w:val="single" w:sz="4" w:space="0" w:color="auto"/>
            </w:tcBorders>
            <w:vAlign w:val="center"/>
            <w:hideMark/>
          </w:tcPr>
          <w:p w14:paraId="63B60FB2"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 outlier</w:t>
            </w:r>
          </w:p>
        </w:tc>
        <w:tc>
          <w:tcPr>
            <w:tcW w:w="0" w:type="auto"/>
            <w:tcBorders>
              <w:top w:val="single" w:sz="4" w:space="0" w:color="auto"/>
              <w:bottom w:val="single" w:sz="4" w:space="0" w:color="auto"/>
            </w:tcBorders>
            <w:vAlign w:val="center"/>
            <w:hideMark/>
          </w:tcPr>
          <w:p w14:paraId="5A84FD19" w14:textId="54040D16" w:rsidR="00212089" w:rsidRPr="00212089" w:rsidRDefault="00704DBE" w:rsidP="00212089">
            <w:pPr>
              <w:spacing w:after="0" w:line="240" w:lineRule="auto"/>
              <w:rPr>
                <w:rFonts w:ascii="Times New Roman" w:eastAsia="Times New Roman" w:hAnsi="Times New Roman" w:cs="Times New Roman"/>
                <w:b/>
                <w:bCs/>
                <w:kern w:val="0"/>
                <w:sz w:val="24"/>
                <w:szCs w:val="24"/>
                <w:lang w:eastAsia="it-IT"/>
                <w14:ligatures w14:val="none"/>
              </w:rPr>
            </w:pPr>
            <w:r>
              <w:rPr>
                <w:rFonts w:ascii="Times New Roman" w:eastAsia="Times New Roman" w:hAnsi="Times New Roman" w:cs="Times New Roman"/>
                <w:b/>
                <w:bCs/>
                <w:kern w:val="0"/>
                <w:sz w:val="24"/>
                <w:szCs w:val="24"/>
                <w:lang w:eastAsia="it-IT"/>
                <w14:ligatures w14:val="none"/>
              </w:rPr>
              <w:t>Min Return</w:t>
            </w:r>
          </w:p>
        </w:tc>
        <w:tc>
          <w:tcPr>
            <w:tcW w:w="0" w:type="auto"/>
            <w:tcBorders>
              <w:top w:val="single" w:sz="4" w:space="0" w:color="auto"/>
              <w:bottom w:val="single" w:sz="4" w:space="0" w:color="auto"/>
            </w:tcBorders>
            <w:vAlign w:val="center"/>
            <w:hideMark/>
          </w:tcPr>
          <w:p w14:paraId="3AEE9554" w14:textId="7B2628BB" w:rsidR="00212089" w:rsidRPr="00212089" w:rsidRDefault="00704DBE" w:rsidP="00212089">
            <w:pPr>
              <w:spacing w:after="0" w:line="240" w:lineRule="auto"/>
              <w:rPr>
                <w:rFonts w:ascii="Times New Roman" w:eastAsia="Times New Roman" w:hAnsi="Times New Roman" w:cs="Times New Roman"/>
                <w:b/>
                <w:bCs/>
                <w:kern w:val="0"/>
                <w:sz w:val="24"/>
                <w:szCs w:val="24"/>
                <w:lang w:eastAsia="it-IT"/>
                <w14:ligatures w14:val="none"/>
              </w:rPr>
            </w:pPr>
            <w:r>
              <w:rPr>
                <w:rFonts w:ascii="Times New Roman" w:eastAsia="Times New Roman" w:hAnsi="Times New Roman" w:cs="Times New Roman"/>
                <w:b/>
                <w:bCs/>
                <w:kern w:val="0"/>
                <w:sz w:val="24"/>
                <w:szCs w:val="24"/>
                <w:lang w:eastAsia="it-IT"/>
                <w14:ligatures w14:val="none"/>
              </w:rPr>
              <w:t>Max Return</w:t>
            </w:r>
          </w:p>
        </w:tc>
      </w:tr>
      <w:tr w:rsidR="00212089" w:rsidRPr="00212089" w14:paraId="6B3BC430" w14:textId="77777777">
        <w:trPr>
          <w:tblCellSpacing w:w="15" w:type="dxa"/>
        </w:trPr>
        <w:tc>
          <w:tcPr>
            <w:tcW w:w="0" w:type="auto"/>
            <w:vAlign w:val="center"/>
            <w:hideMark/>
          </w:tcPr>
          <w:p w14:paraId="4E0F49BA" w14:textId="1E34AAE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EW-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3B8C38F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0D713D43"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vAlign w:val="center"/>
            <w:hideMark/>
          </w:tcPr>
          <w:p w14:paraId="4C47E04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2.63%</w:t>
            </w:r>
          </w:p>
        </w:tc>
        <w:tc>
          <w:tcPr>
            <w:tcW w:w="0" w:type="auto"/>
            <w:vAlign w:val="center"/>
            <w:hideMark/>
          </w:tcPr>
          <w:p w14:paraId="7C749CD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-0.0358</w:t>
            </w:r>
          </w:p>
        </w:tc>
        <w:tc>
          <w:tcPr>
            <w:tcW w:w="0" w:type="auto"/>
            <w:vAlign w:val="center"/>
            <w:hideMark/>
          </w:tcPr>
          <w:p w14:paraId="20B2177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0.0483</w:t>
            </w:r>
          </w:p>
        </w:tc>
      </w:tr>
      <w:tr w:rsidR="00212089" w:rsidRPr="00212089" w14:paraId="0783A624" w14:textId="77777777">
        <w:trPr>
          <w:tblCellSpacing w:w="15" w:type="dxa"/>
        </w:trPr>
        <w:tc>
          <w:tcPr>
            <w:tcW w:w="0" w:type="auto"/>
            <w:vAlign w:val="center"/>
            <w:hideMark/>
          </w:tcPr>
          <w:p w14:paraId="7E48378F" w14:textId="0080AE2A"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lastRenderedPageBreak/>
              <w:t>EW-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3388757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150E39B5"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vAlign w:val="center"/>
            <w:hideMark/>
          </w:tcPr>
          <w:p w14:paraId="5DC89D6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2.70%</w:t>
            </w:r>
          </w:p>
        </w:tc>
        <w:tc>
          <w:tcPr>
            <w:tcW w:w="0" w:type="auto"/>
            <w:vAlign w:val="center"/>
            <w:hideMark/>
          </w:tcPr>
          <w:p w14:paraId="744C8C8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-0.0392</w:t>
            </w:r>
          </w:p>
        </w:tc>
        <w:tc>
          <w:tcPr>
            <w:tcW w:w="0" w:type="auto"/>
            <w:vAlign w:val="center"/>
            <w:hideMark/>
          </w:tcPr>
          <w:p w14:paraId="37B7214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0.0589</w:t>
            </w:r>
          </w:p>
        </w:tc>
      </w:tr>
      <w:tr w:rsidR="00212089" w:rsidRPr="00212089" w14:paraId="2791AD73" w14:textId="77777777">
        <w:trPr>
          <w:tblCellSpacing w:w="15" w:type="dxa"/>
        </w:trPr>
        <w:tc>
          <w:tcPr>
            <w:tcW w:w="0" w:type="auto"/>
            <w:vAlign w:val="center"/>
            <w:hideMark/>
          </w:tcPr>
          <w:p w14:paraId="10335E27" w14:textId="3A9E8A3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EW-</w:t>
            </w:r>
            <w:r w:rsidRPr="00212089">
              <w:rPr>
                <w:rFonts w:ascii="Times New Roman" w:eastAsia="Times New Roman" w:hAnsi="Times New Roman" w:cs="Times New Roman"/>
                <w:kern w:val="0"/>
                <w:sz w:val="24"/>
                <w:szCs w:val="24"/>
                <w:lang w:eastAsia="it-IT"/>
                <w14:ligatures w14:val="none"/>
              </w:rPr>
              <w:t>G</w:t>
            </w:r>
          </w:p>
        </w:tc>
        <w:tc>
          <w:tcPr>
            <w:tcW w:w="0" w:type="auto"/>
            <w:vAlign w:val="center"/>
            <w:hideMark/>
          </w:tcPr>
          <w:p w14:paraId="1DAFB1B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vAlign w:val="center"/>
            <w:hideMark/>
          </w:tcPr>
          <w:p w14:paraId="7841B87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0C4F425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1.37%</w:t>
            </w:r>
          </w:p>
        </w:tc>
        <w:tc>
          <w:tcPr>
            <w:tcW w:w="0" w:type="auto"/>
            <w:vAlign w:val="center"/>
            <w:hideMark/>
          </w:tcPr>
          <w:p w14:paraId="57AFEC2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-0.0323</w:t>
            </w:r>
          </w:p>
        </w:tc>
        <w:tc>
          <w:tcPr>
            <w:tcW w:w="0" w:type="auto"/>
            <w:vAlign w:val="center"/>
            <w:hideMark/>
          </w:tcPr>
          <w:p w14:paraId="13045085"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0.0555</w:t>
            </w:r>
          </w:p>
        </w:tc>
      </w:tr>
      <w:tr w:rsidR="00212089" w:rsidRPr="00212089" w14:paraId="1E38ACB1" w14:textId="77777777">
        <w:trPr>
          <w:tblCellSpacing w:w="15" w:type="dxa"/>
        </w:trPr>
        <w:tc>
          <w:tcPr>
            <w:tcW w:w="0" w:type="auto"/>
            <w:vAlign w:val="center"/>
            <w:hideMark/>
          </w:tcPr>
          <w:p w14:paraId="18FD069B" w14:textId="1DC8FFD5"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3DF320C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333E570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799D795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2945CC1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-0.0379</w:t>
            </w:r>
          </w:p>
        </w:tc>
        <w:tc>
          <w:tcPr>
            <w:tcW w:w="0" w:type="auto"/>
            <w:vAlign w:val="center"/>
            <w:hideMark/>
          </w:tcPr>
          <w:p w14:paraId="75B43A9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0.0421</w:t>
            </w:r>
          </w:p>
        </w:tc>
      </w:tr>
      <w:tr w:rsidR="00212089" w:rsidRPr="00212089" w14:paraId="68129BB3" w14:textId="77777777">
        <w:trPr>
          <w:tblCellSpacing w:w="15" w:type="dxa"/>
        </w:trPr>
        <w:tc>
          <w:tcPr>
            <w:tcW w:w="0" w:type="auto"/>
            <w:vAlign w:val="center"/>
            <w:hideMark/>
          </w:tcPr>
          <w:p w14:paraId="3260CDB0" w14:textId="6482746F"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46BFA59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414064BA"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5E65095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65250DC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-0.0396</w:t>
            </w:r>
          </w:p>
        </w:tc>
        <w:tc>
          <w:tcPr>
            <w:tcW w:w="0" w:type="auto"/>
            <w:vAlign w:val="center"/>
            <w:hideMark/>
          </w:tcPr>
          <w:p w14:paraId="598F433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0.0474</w:t>
            </w:r>
          </w:p>
        </w:tc>
      </w:tr>
      <w:tr w:rsidR="00212089" w:rsidRPr="00212089" w14:paraId="48B1028B" w14:textId="77777777">
        <w:trPr>
          <w:tblCellSpacing w:w="15" w:type="dxa"/>
        </w:trPr>
        <w:tc>
          <w:tcPr>
            <w:tcW w:w="0" w:type="auto"/>
            <w:vAlign w:val="center"/>
            <w:hideMark/>
          </w:tcPr>
          <w:p w14:paraId="778E5E43" w14:textId="58C48574"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G</w:t>
            </w:r>
          </w:p>
        </w:tc>
        <w:tc>
          <w:tcPr>
            <w:tcW w:w="0" w:type="auto"/>
            <w:vAlign w:val="center"/>
            <w:hideMark/>
          </w:tcPr>
          <w:p w14:paraId="2BC31F2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vAlign w:val="center"/>
            <w:hideMark/>
          </w:tcPr>
          <w:p w14:paraId="778F343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4BD4323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1.37%</w:t>
            </w:r>
          </w:p>
        </w:tc>
        <w:tc>
          <w:tcPr>
            <w:tcW w:w="0" w:type="auto"/>
            <w:vAlign w:val="center"/>
            <w:hideMark/>
          </w:tcPr>
          <w:p w14:paraId="2698815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-0.0302</w:t>
            </w:r>
          </w:p>
        </w:tc>
        <w:tc>
          <w:tcPr>
            <w:tcW w:w="0" w:type="auto"/>
            <w:vAlign w:val="center"/>
            <w:hideMark/>
          </w:tcPr>
          <w:p w14:paraId="43A5BF84"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0.0646</w:t>
            </w:r>
          </w:p>
        </w:tc>
      </w:tr>
      <w:tr w:rsidR="00212089" w:rsidRPr="00212089" w14:paraId="661D021A" w14:textId="77777777">
        <w:trPr>
          <w:tblCellSpacing w:w="15" w:type="dxa"/>
        </w:trPr>
        <w:tc>
          <w:tcPr>
            <w:tcW w:w="0" w:type="auto"/>
            <w:vAlign w:val="center"/>
            <w:hideMark/>
          </w:tcPr>
          <w:p w14:paraId="378FC68B" w14:textId="56C8CE0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1C0857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71CDA85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79C0A1B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1.32%</w:t>
            </w:r>
          </w:p>
        </w:tc>
        <w:tc>
          <w:tcPr>
            <w:tcW w:w="0" w:type="auto"/>
            <w:vAlign w:val="center"/>
            <w:hideMark/>
          </w:tcPr>
          <w:p w14:paraId="6E09EB6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-0.0323</w:t>
            </w:r>
          </w:p>
        </w:tc>
        <w:tc>
          <w:tcPr>
            <w:tcW w:w="0" w:type="auto"/>
            <w:vAlign w:val="center"/>
            <w:hideMark/>
          </w:tcPr>
          <w:p w14:paraId="0D99F37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0.0723</w:t>
            </w:r>
          </w:p>
        </w:tc>
      </w:tr>
      <w:tr w:rsidR="00212089" w:rsidRPr="00212089" w14:paraId="72A325C7" w14:textId="77777777">
        <w:trPr>
          <w:tblCellSpacing w:w="15" w:type="dxa"/>
        </w:trPr>
        <w:tc>
          <w:tcPr>
            <w:tcW w:w="0" w:type="auto"/>
            <w:vAlign w:val="center"/>
            <w:hideMark/>
          </w:tcPr>
          <w:p w14:paraId="03E13F03" w14:textId="38BC41F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733B05B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3A584EF0"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68D920B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6CC99413"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-0.0388</w:t>
            </w:r>
          </w:p>
        </w:tc>
        <w:tc>
          <w:tcPr>
            <w:tcW w:w="0" w:type="auto"/>
            <w:vAlign w:val="center"/>
            <w:hideMark/>
          </w:tcPr>
          <w:p w14:paraId="0C429D8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0.0398</w:t>
            </w:r>
          </w:p>
        </w:tc>
      </w:tr>
      <w:tr w:rsidR="00212089" w:rsidRPr="00212089" w14:paraId="7586704E" w14:textId="77777777">
        <w:trPr>
          <w:tblCellSpacing w:w="15" w:type="dxa"/>
        </w:trPr>
        <w:tc>
          <w:tcPr>
            <w:tcW w:w="0" w:type="auto"/>
            <w:vAlign w:val="center"/>
            <w:hideMark/>
          </w:tcPr>
          <w:p w14:paraId="6188B03C" w14:textId="6570093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G</w:t>
            </w:r>
          </w:p>
        </w:tc>
        <w:tc>
          <w:tcPr>
            <w:tcW w:w="0" w:type="auto"/>
            <w:vAlign w:val="center"/>
            <w:hideMark/>
          </w:tcPr>
          <w:p w14:paraId="53DDCB3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vAlign w:val="center"/>
            <w:hideMark/>
          </w:tcPr>
          <w:p w14:paraId="7ECA83A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vAlign w:val="center"/>
            <w:hideMark/>
          </w:tcPr>
          <w:p w14:paraId="3A2A7D9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2.74%</w:t>
            </w:r>
          </w:p>
        </w:tc>
        <w:tc>
          <w:tcPr>
            <w:tcW w:w="0" w:type="auto"/>
            <w:vAlign w:val="center"/>
            <w:hideMark/>
          </w:tcPr>
          <w:p w14:paraId="0B21839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-0.0390</w:t>
            </w:r>
          </w:p>
        </w:tc>
        <w:tc>
          <w:tcPr>
            <w:tcW w:w="0" w:type="auto"/>
            <w:vAlign w:val="center"/>
            <w:hideMark/>
          </w:tcPr>
          <w:p w14:paraId="1FC2215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0.0583</w:t>
            </w:r>
          </w:p>
        </w:tc>
      </w:tr>
    </w:tbl>
    <w:p w14:paraId="0C7DD9BF" w14:textId="77777777" w:rsidR="00DF37E2" w:rsidRDefault="00DF37E2" w:rsidP="00DF37E2">
      <w:pPr>
        <w:jc w:val="both"/>
        <w:rPr>
          <w:rFonts w:ascii="Times New Roman" w:hAnsi="Times New Roman" w:cs="Times New Roman"/>
          <w:i/>
          <w:iCs/>
          <w:sz w:val="24"/>
          <w:szCs w:val="24"/>
        </w:rPr>
      </w:pPr>
      <w:r w:rsidRPr="00DF37E2">
        <w:rPr>
          <w:rFonts w:ascii="Times New Roman" w:hAnsi="Times New Roman" w:cs="Times New Roman"/>
          <w:i/>
          <w:iCs/>
          <w:sz w:val="24"/>
          <w:szCs w:val="24"/>
        </w:rPr>
        <w:t>Fonte: elaborazione propria su dati raccolti in tempo reale.</w:t>
      </w:r>
    </w:p>
    <w:p w14:paraId="5A964771" w14:textId="72F32081" w:rsidR="00E54263" w:rsidRPr="00E54263" w:rsidRDefault="00E54263" w:rsidP="00DF37E2">
      <w:pPr>
        <w:jc w:val="both"/>
        <w:rPr>
          <w:rFonts w:ascii="Times New Roman" w:hAnsi="Times New Roman" w:cs="Times New Roman"/>
          <w:i/>
          <w:iCs/>
          <w:sz w:val="24"/>
          <w:szCs w:val="24"/>
        </w:rPr>
      </w:pPr>
      <w:r w:rsidRPr="00E54263">
        <w:rPr>
          <w:rFonts w:ascii="Times New Roman" w:hAnsi="Times New Roman" w:cs="Times New Roman"/>
          <w:i/>
          <w:iCs/>
          <w:sz w:val="24"/>
          <w:szCs w:val="24"/>
        </w:rPr>
        <w:t xml:space="preserve">Nota. </w:t>
      </w:r>
      <w:r w:rsidR="00D157D3" w:rsidRPr="00D157D3">
        <w:rPr>
          <w:rFonts w:ascii="Times New Roman" w:hAnsi="Times New Roman" w:cs="Times New Roman"/>
          <w:i/>
          <w:iCs/>
          <w:sz w:val="24"/>
          <w:szCs w:val="24"/>
        </w:rPr>
        <w:t>La tabella riporta il numero totale di osservazioni (N Obs), il numero di outlier identificati (N Outliers), la relativa percentuale di outlier sul totale delle osservazioni (% Outliers), nonché i valori minimo e massimo dei rendimenti osservati per ciascun portafoglio. I risultati sono presentati per i portafogli Equally Weighted (EW), Signal Weighted (SW) e Value Weighted (VW) relativi alle configurazioni di modello CGL, CGP e G.</w:t>
      </w:r>
    </w:p>
    <w:p w14:paraId="6E8161E0" w14:textId="77777777" w:rsidR="00FF5755" w:rsidRPr="00FF5755" w:rsidRDefault="00FF5755" w:rsidP="00FF5755">
      <w:pPr>
        <w:pStyle w:val="Didascalia"/>
        <w:keepNext/>
        <w:jc w:val="both"/>
        <w:rPr>
          <w:rFonts w:ascii="Times New Roman" w:hAnsi="Times New Roman" w:cs="Times New Roman"/>
          <w:i w:val="0"/>
          <w:iCs w:val="0"/>
          <w:color w:val="auto"/>
          <w:sz w:val="24"/>
          <w:szCs w:val="24"/>
        </w:rPr>
      </w:pPr>
      <w:r w:rsidRPr="00FF5755">
        <w:rPr>
          <w:rFonts w:ascii="Times New Roman" w:hAnsi="Times New Roman" w:cs="Times New Roman"/>
          <w:i w:val="0"/>
          <w:iCs w:val="0"/>
          <w:color w:val="auto"/>
          <w:sz w:val="24"/>
          <w:szCs w:val="24"/>
        </w:rPr>
        <w:t>I risultati mostrano una presenza relativamente limitata di osservazioni estreme all’interno del campione. In tutte le configurazioni considerate, la percentuale di outliers rimane contenuta e generalmente inferiore al 3% delle osservazioni complessive, suggerendo che le distribuzioni dei rendimenti non risultino dominate da eventi isolati o anomalie particolarmente frequenti.</w:t>
      </w:r>
    </w:p>
    <w:p w14:paraId="7494D3E5" w14:textId="77777777" w:rsidR="00FF5755" w:rsidRPr="00FF5755" w:rsidRDefault="00FF5755" w:rsidP="00FF5755">
      <w:pPr>
        <w:pStyle w:val="Didascalia"/>
        <w:keepNext/>
        <w:jc w:val="both"/>
        <w:rPr>
          <w:rFonts w:ascii="Times New Roman" w:hAnsi="Times New Roman" w:cs="Times New Roman"/>
          <w:i w:val="0"/>
          <w:iCs w:val="0"/>
          <w:color w:val="auto"/>
          <w:sz w:val="24"/>
          <w:szCs w:val="24"/>
        </w:rPr>
      </w:pPr>
      <w:r w:rsidRPr="00FF5755">
        <w:rPr>
          <w:rFonts w:ascii="Times New Roman" w:hAnsi="Times New Roman" w:cs="Times New Roman"/>
          <w:i w:val="0"/>
          <w:iCs w:val="0"/>
          <w:color w:val="auto"/>
          <w:sz w:val="24"/>
          <w:szCs w:val="24"/>
        </w:rPr>
        <w:t>Dal punto di vista economico, tale evidenza appare rilevante poiché indica che le performance osservate durante il periodo campionario non dipendano esclusivamente da un numero ristretto di giornate caratterizzate da rendimenti eccezionalmente elevati o anomali. Le distribuzioni dei rendimenti mostrano infatti una struttura relativamente stabile anche dopo l’identificazione delle osservazioni estreme.</w:t>
      </w:r>
    </w:p>
    <w:p w14:paraId="0C91FAA5" w14:textId="77777777" w:rsidR="00FF5755" w:rsidRPr="00FF5755" w:rsidRDefault="00FF5755" w:rsidP="00FF5755">
      <w:pPr>
        <w:pStyle w:val="Didascalia"/>
        <w:keepNext/>
        <w:jc w:val="both"/>
        <w:rPr>
          <w:rFonts w:ascii="Times New Roman" w:hAnsi="Times New Roman" w:cs="Times New Roman"/>
          <w:i w:val="0"/>
          <w:iCs w:val="0"/>
          <w:color w:val="auto"/>
          <w:sz w:val="24"/>
          <w:szCs w:val="24"/>
        </w:rPr>
      </w:pPr>
      <w:r w:rsidRPr="00FF5755">
        <w:rPr>
          <w:rFonts w:ascii="Times New Roman" w:hAnsi="Times New Roman" w:cs="Times New Roman"/>
          <w:i w:val="0"/>
          <w:iCs w:val="0"/>
          <w:color w:val="auto"/>
          <w:sz w:val="24"/>
          <w:szCs w:val="24"/>
        </w:rPr>
        <w:t>Per verificare ulteriormente la robustezza dei risultati, le principali metriche di performance sono state successivamente ricalcolate dopo l’esclusione degli outliers identificati.</w:t>
      </w:r>
    </w:p>
    <w:p w14:paraId="7CE6A848" w14:textId="4ED4F24D" w:rsidR="00D157D3" w:rsidRPr="00E049A9" w:rsidRDefault="00D157D3" w:rsidP="00D157D3">
      <w:pPr>
        <w:pStyle w:val="Didascalia"/>
        <w:keepNext/>
        <w:rPr>
          <w:color w:val="auto"/>
          <w:lang w:val="en-GB"/>
        </w:rPr>
      </w:pPr>
      <w:r w:rsidRPr="00E049A9">
        <w:rPr>
          <w:color w:val="auto"/>
          <w:lang w:val="en-GB"/>
        </w:rPr>
        <w:t xml:space="preserve">Tabella </w:t>
      </w:r>
      <w:r w:rsidRPr="00D157D3">
        <w:rPr>
          <w:color w:val="auto"/>
        </w:rPr>
        <w:fldChar w:fldCharType="begin"/>
      </w:r>
      <w:r w:rsidRPr="00E049A9">
        <w:rPr>
          <w:color w:val="auto"/>
          <w:lang w:val="en-GB"/>
        </w:rPr>
        <w:instrText xml:space="preserve"> SEQ Tabella \* ARABIC </w:instrText>
      </w:r>
      <w:r w:rsidRPr="00D157D3">
        <w:rPr>
          <w:color w:val="auto"/>
        </w:rPr>
        <w:fldChar w:fldCharType="separate"/>
      </w:r>
      <w:r w:rsidR="00212089">
        <w:rPr>
          <w:noProof/>
          <w:color w:val="auto"/>
          <w:lang w:val="en-GB"/>
        </w:rPr>
        <w:t>12</w:t>
      </w:r>
      <w:r w:rsidRPr="00D157D3">
        <w:rPr>
          <w:color w:val="auto"/>
        </w:rPr>
        <w:fldChar w:fldCharType="end"/>
      </w:r>
    </w:p>
    <w:p w14:paraId="407BF95B" w14:textId="527E696C" w:rsidR="00D157D3" w:rsidRDefault="00D157D3" w:rsidP="00D157D3">
      <w:pPr>
        <w:jc w:val="both"/>
        <w:rPr>
          <w:rFonts w:ascii="Times New Roman" w:hAnsi="Times New Roman" w:cs="Times New Roman"/>
          <w:sz w:val="24"/>
          <w:szCs w:val="24"/>
          <w:lang w:val="en-GB"/>
        </w:rPr>
      </w:pPr>
      <w:r w:rsidRPr="00DF37E2">
        <w:rPr>
          <w:rFonts w:ascii="Times New Roman" w:hAnsi="Times New Roman" w:cs="Times New Roman"/>
          <w:sz w:val="24"/>
          <w:szCs w:val="24"/>
          <w:lang w:val="en-GB"/>
        </w:rPr>
        <w:t>Performance Metrics after Outlier Removal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14"/>
        <w:gridCol w:w="1274"/>
        <w:gridCol w:w="941"/>
        <w:gridCol w:w="1407"/>
        <w:gridCol w:w="862"/>
      </w:tblGrid>
      <w:tr w:rsidR="00704DBE" w:rsidRPr="009F6B01" w14:paraId="01A3005A" w14:textId="77777777" w:rsidTr="00C949E0">
        <w:trPr>
          <w:tblHeader/>
          <w:tblCellSpacing w:w="15" w:type="dxa"/>
        </w:trPr>
        <w:tc>
          <w:tcPr>
            <w:tcW w:w="0" w:type="auto"/>
            <w:tcBorders>
              <w:top w:val="single" w:sz="4" w:space="0" w:color="auto"/>
              <w:bottom w:val="single" w:sz="4" w:space="0" w:color="auto"/>
            </w:tcBorders>
            <w:vAlign w:val="center"/>
            <w:hideMark/>
          </w:tcPr>
          <w:p w14:paraId="4E41347A" w14:textId="77777777" w:rsidR="00704DBE" w:rsidRPr="009F6B01" w:rsidRDefault="00704DBE" w:rsidP="00C949E0">
            <w:pPr>
              <w:spacing w:after="0" w:line="240" w:lineRule="auto"/>
              <w:jc w:val="center"/>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368704F6" w14:textId="77777777" w:rsidR="00704DBE" w:rsidRPr="009F6B01" w:rsidRDefault="00704DBE" w:rsidP="00C949E0">
            <w:pPr>
              <w:spacing w:after="0" w:line="240" w:lineRule="auto"/>
              <w:jc w:val="center"/>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74D626A2"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mean_clean</w:t>
            </w:r>
          </w:p>
        </w:tc>
        <w:tc>
          <w:tcPr>
            <w:tcW w:w="0" w:type="auto"/>
            <w:tcBorders>
              <w:top w:val="single" w:sz="4" w:space="0" w:color="auto"/>
              <w:bottom w:val="single" w:sz="4" w:space="0" w:color="auto"/>
            </w:tcBorders>
            <w:vAlign w:val="center"/>
            <w:hideMark/>
          </w:tcPr>
          <w:p w14:paraId="569509D0"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sd_clean</w:t>
            </w:r>
          </w:p>
        </w:tc>
        <w:tc>
          <w:tcPr>
            <w:tcW w:w="0" w:type="auto"/>
            <w:tcBorders>
              <w:top w:val="single" w:sz="4" w:space="0" w:color="auto"/>
              <w:bottom w:val="single" w:sz="4" w:space="0" w:color="auto"/>
            </w:tcBorders>
            <w:vAlign w:val="center"/>
            <w:hideMark/>
          </w:tcPr>
          <w:p w14:paraId="2EA65F3C"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sharpe_clean</w:t>
            </w:r>
          </w:p>
        </w:tc>
        <w:tc>
          <w:tcPr>
            <w:tcW w:w="0" w:type="auto"/>
            <w:tcBorders>
              <w:top w:val="single" w:sz="4" w:space="0" w:color="auto"/>
              <w:bottom w:val="single" w:sz="4" w:space="0" w:color="auto"/>
            </w:tcBorders>
            <w:vAlign w:val="center"/>
            <w:hideMark/>
          </w:tcPr>
          <w:p w14:paraId="3FA03F23"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n_clean</w:t>
            </w:r>
          </w:p>
        </w:tc>
      </w:tr>
      <w:tr w:rsidR="00704DBE" w:rsidRPr="009F6B01" w14:paraId="0A47E4CC" w14:textId="77777777" w:rsidTr="00C949E0">
        <w:trPr>
          <w:tblCellSpacing w:w="15" w:type="dxa"/>
        </w:trPr>
        <w:tc>
          <w:tcPr>
            <w:tcW w:w="0" w:type="auto"/>
            <w:vAlign w:val="center"/>
            <w:hideMark/>
          </w:tcPr>
          <w:p w14:paraId="65513FFB"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79105E5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04012DD2"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-0.000226</w:t>
            </w:r>
          </w:p>
        </w:tc>
        <w:tc>
          <w:tcPr>
            <w:tcW w:w="0" w:type="auto"/>
            <w:vAlign w:val="center"/>
            <w:hideMark/>
          </w:tcPr>
          <w:p w14:paraId="3C47738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0.0162</w:t>
            </w:r>
          </w:p>
        </w:tc>
        <w:tc>
          <w:tcPr>
            <w:tcW w:w="0" w:type="auto"/>
            <w:vAlign w:val="center"/>
            <w:hideMark/>
          </w:tcPr>
          <w:p w14:paraId="1C28029F"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-0.0139</w:t>
            </w:r>
          </w:p>
        </w:tc>
        <w:tc>
          <w:tcPr>
            <w:tcW w:w="0" w:type="auto"/>
            <w:vAlign w:val="center"/>
            <w:hideMark/>
          </w:tcPr>
          <w:p w14:paraId="45F95BE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25C10211" w14:textId="77777777" w:rsidTr="00C949E0">
        <w:trPr>
          <w:tblCellSpacing w:w="15" w:type="dxa"/>
        </w:trPr>
        <w:tc>
          <w:tcPr>
            <w:tcW w:w="0" w:type="auto"/>
            <w:vAlign w:val="center"/>
            <w:hideMark/>
          </w:tcPr>
          <w:p w14:paraId="03210FD9"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2669B1FA"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3FDD9BD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0.00184</w:t>
            </w:r>
          </w:p>
        </w:tc>
        <w:tc>
          <w:tcPr>
            <w:tcW w:w="0" w:type="auto"/>
            <w:vAlign w:val="center"/>
            <w:hideMark/>
          </w:tcPr>
          <w:p w14:paraId="33B1482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332AA67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0.108</w:t>
            </w:r>
          </w:p>
        </w:tc>
        <w:tc>
          <w:tcPr>
            <w:tcW w:w="0" w:type="auto"/>
            <w:vAlign w:val="center"/>
            <w:hideMark/>
          </w:tcPr>
          <w:p w14:paraId="0641CF7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733888FA" w14:textId="77777777" w:rsidTr="00C949E0">
        <w:trPr>
          <w:tblCellSpacing w:w="15" w:type="dxa"/>
        </w:trPr>
        <w:tc>
          <w:tcPr>
            <w:tcW w:w="0" w:type="auto"/>
            <w:vAlign w:val="center"/>
            <w:hideMark/>
          </w:tcPr>
          <w:p w14:paraId="787906FC"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560DF652"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vAlign w:val="center"/>
            <w:hideMark/>
          </w:tcPr>
          <w:p w14:paraId="70AF7C8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0.00246</w:t>
            </w:r>
          </w:p>
        </w:tc>
        <w:tc>
          <w:tcPr>
            <w:tcW w:w="0" w:type="auto"/>
            <w:vAlign w:val="center"/>
            <w:hideMark/>
          </w:tcPr>
          <w:p w14:paraId="174957F5"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0.0153</w:t>
            </w:r>
          </w:p>
        </w:tc>
        <w:tc>
          <w:tcPr>
            <w:tcW w:w="0" w:type="auto"/>
            <w:vAlign w:val="center"/>
            <w:hideMark/>
          </w:tcPr>
          <w:p w14:paraId="73C010D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0.162</w:t>
            </w:r>
          </w:p>
        </w:tc>
        <w:tc>
          <w:tcPr>
            <w:tcW w:w="0" w:type="auto"/>
            <w:vAlign w:val="center"/>
            <w:hideMark/>
          </w:tcPr>
          <w:p w14:paraId="2A53FDB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668AC9F3" w14:textId="77777777" w:rsidTr="00C949E0">
        <w:trPr>
          <w:tblCellSpacing w:w="15" w:type="dxa"/>
        </w:trPr>
        <w:tc>
          <w:tcPr>
            <w:tcW w:w="0" w:type="auto"/>
            <w:vAlign w:val="center"/>
            <w:hideMark/>
          </w:tcPr>
          <w:p w14:paraId="5AEBCD90"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2339F923"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021775C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590F1B41"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33956807"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05C4B61A"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76</w:t>
            </w:r>
          </w:p>
        </w:tc>
      </w:tr>
      <w:tr w:rsidR="00704DBE" w:rsidRPr="009F6B01" w14:paraId="53F26C9A" w14:textId="77777777" w:rsidTr="00C949E0">
        <w:trPr>
          <w:tblCellSpacing w:w="15" w:type="dxa"/>
        </w:trPr>
        <w:tc>
          <w:tcPr>
            <w:tcW w:w="0" w:type="auto"/>
            <w:vAlign w:val="center"/>
            <w:hideMark/>
          </w:tcPr>
          <w:p w14:paraId="75726C8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1BB7866"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5006C1C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2E4528F7"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2E41699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E7D9CBB"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357EBEA3" w14:textId="77777777" w:rsidTr="00C949E0">
        <w:trPr>
          <w:tblCellSpacing w:w="15" w:type="dxa"/>
        </w:trPr>
        <w:tc>
          <w:tcPr>
            <w:tcW w:w="0" w:type="auto"/>
            <w:vAlign w:val="center"/>
            <w:hideMark/>
          </w:tcPr>
          <w:p w14:paraId="163D3267"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4C366D2"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vAlign w:val="center"/>
            <w:hideMark/>
          </w:tcPr>
          <w:p w14:paraId="174C521F"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0.00158</w:t>
            </w:r>
          </w:p>
        </w:tc>
        <w:tc>
          <w:tcPr>
            <w:tcW w:w="0" w:type="auto"/>
            <w:vAlign w:val="center"/>
            <w:hideMark/>
          </w:tcPr>
          <w:p w14:paraId="65F71BD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0.0155</w:t>
            </w:r>
          </w:p>
        </w:tc>
        <w:tc>
          <w:tcPr>
            <w:tcW w:w="0" w:type="auto"/>
            <w:vAlign w:val="center"/>
            <w:hideMark/>
          </w:tcPr>
          <w:p w14:paraId="53F40A3B"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0.102</w:t>
            </w:r>
          </w:p>
        </w:tc>
        <w:tc>
          <w:tcPr>
            <w:tcW w:w="0" w:type="auto"/>
            <w:vAlign w:val="center"/>
            <w:hideMark/>
          </w:tcPr>
          <w:p w14:paraId="54394E54"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69BDF4CA" w14:textId="77777777" w:rsidTr="00C949E0">
        <w:trPr>
          <w:tblCellSpacing w:w="15" w:type="dxa"/>
        </w:trPr>
        <w:tc>
          <w:tcPr>
            <w:tcW w:w="0" w:type="auto"/>
            <w:vAlign w:val="center"/>
            <w:hideMark/>
          </w:tcPr>
          <w:p w14:paraId="5A64500D"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555FDE95"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59EAEE7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0.00125</w:t>
            </w:r>
          </w:p>
        </w:tc>
        <w:tc>
          <w:tcPr>
            <w:tcW w:w="0" w:type="auto"/>
            <w:vAlign w:val="center"/>
            <w:hideMark/>
          </w:tcPr>
          <w:p w14:paraId="24CC34F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0.0175</w:t>
            </w:r>
          </w:p>
        </w:tc>
        <w:tc>
          <w:tcPr>
            <w:tcW w:w="0" w:type="auto"/>
            <w:vAlign w:val="center"/>
            <w:hideMark/>
          </w:tcPr>
          <w:p w14:paraId="49197FE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0.0714</w:t>
            </w:r>
          </w:p>
        </w:tc>
        <w:tc>
          <w:tcPr>
            <w:tcW w:w="0" w:type="auto"/>
            <w:vAlign w:val="center"/>
            <w:hideMark/>
          </w:tcPr>
          <w:p w14:paraId="724C073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75</w:t>
            </w:r>
          </w:p>
        </w:tc>
      </w:tr>
      <w:tr w:rsidR="00704DBE" w:rsidRPr="009F6B01" w14:paraId="56CF10A9" w14:textId="77777777" w:rsidTr="00C949E0">
        <w:trPr>
          <w:tblCellSpacing w:w="15" w:type="dxa"/>
        </w:trPr>
        <w:tc>
          <w:tcPr>
            <w:tcW w:w="0" w:type="auto"/>
            <w:vAlign w:val="center"/>
            <w:hideMark/>
          </w:tcPr>
          <w:p w14:paraId="3764D68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3287D204"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1F90A16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0A8D680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6DDCAC6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45CFFAA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4FCCE62B" w14:textId="77777777" w:rsidTr="00C949E0">
        <w:trPr>
          <w:tblCellSpacing w:w="15" w:type="dxa"/>
        </w:trPr>
        <w:tc>
          <w:tcPr>
            <w:tcW w:w="0" w:type="auto"/>
            <w:vAlign w:val="center"/>
            <w:hideMark/>
          </w:tcPr>
          <w:p w14:paraId="60BF0E3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1C923B1D"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0F2922A"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0.00133</w:t>
            </w:r>
          </w:p>
        </w:tc>
        <w:tc>
          <w:tcPr>
            <w:tcW w:w="0" w:type="auto"/>
            <w:vAlign w:val="center"/>
            <w:hideMark/>
          </w:tcPr>
          <w:p w14:paraId="64DE2BC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0.0155</w:t>
            </w:r>
          </w:p>
        </w:tc>
        <w:tc>
          <w:tcPr>
            <w:tcW w:w="0" w:type="auto"/>
            <w:vAlign w:val="center"/>
            <w:hideMark/>
          </w:tcPr>
          <w:p w14:paraId="3A432972"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0.0858</w:t>
            </w:r>
          </w:p>
        </w:tc>
        <w:tc>
          <w:tcPr>
            <w:tcW w:w="0" w:type="auto"/>
            <w:vAlign w:val="center"/>
            <w:hideMark/>
          </w:tcPr>
          <w:p w14:paraId="3D99C950"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71</w:t>
            </w:r>
          </w:p>
        </w:tc>
      </w:tr>
    </w:tbl>
    <w:p w14:paraId="59D57E45" w14:textId="77777777"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i/>
          <w:iCs/>
          <w:sz w:val="24"/>
          <w:szCs w:val="24"/>
        </w:rPr>
        <w:t>Nota. “Sharpe Clean” indica lo Sharpe ratio ricalcolato dopo l’esclusione degli outliers identificati tramite criterio IQR.</w:t>
      </w:r>
    </w:p>
    <w:p w14:paraId="7E3945F5" w14:textId="77777777" w:rsidR="00E049A9" w:rsidRPr="00E049A9" w:rsidRDefault="00E049A9" w:rsidP="00E049A9">
      <w:pPr>
        <w:pStyle w:val="Didascalia"/>
        <w:keepNext/>
        <w:jc w:val="both"/>
        <w:rPr>
          <w:rFonts w:ascii="Times New Roman" w:hAnsi="Times New Roman" w:cs="Times New Roman"/>
          <w:i w:val="0"/>
          <w:iCs w:val="0"/>
          <w:color w:val="auto"/>
          <w:sz w:val="24"/>
          <w:szCs w:val="24"/>
        </w:rPr>
      </w:pPr>
      <w:r w:rsidRPr="00E049A9">
        <w:rPr>
          <w:rFonts w:ascii="Times New Roman" w:hAnsi="Times New Roman" w:cs="Times New Roman"/>
          <w:i w:val="0"/>
          <w:iCs w:val="0"/>
          <w:color w:val="auto"/>
          <w:sz w:val="24"/>
          <w:szCs w:val="24"/>
        </w:rPr>
        <w:lastRenderedPageBreak/>
        <w:t>L’evidenza empirica mostra che l’esclusione delle osservazioni estreme evidenzia una sensibilità delle strategie maggiore rispetto a quanto osservato nell'analisi principale. Ad esempio, il portafoglio EW-CGP passa da uno Sharpe ratio pari a 0.172 a 0.108 dopo la procedura di cleaning, mentre il portafoglio EW-G si ridimensiona da 0.195 a 0.162. Risulta ancor più evidente l'impatto sul portafoglio EW-CGL, il cui Sharpe ratio netto assume valore negativo (-0.0139), suggerendo che la debole performance originaria fosse interamente guidata da due singole osservazioni estreme positive.</w:t>
      </w:r>
    </w:p>
    <w:p w14:paraId="763DC535" w14:textId="77777777" w:rsidR="00E049A9" w:rsidRPr="00E049A9" w:rsidRDefault="00E049A9" w:rsidP="00E049A9">
      <w:pPr>
        <w:pStyle w:val="Didascalia"/>
        <w:keepNext/>
        <w:jc w:val="both"/>
        <w:rPr>
          <w:rFonts w:ascii="Times New Roman" w:hAnsi="Times New Roman" w:cs="Times New Roman"/>
          <w:i w:val="0"/>
          <w:iCs w:val="0"/>
          <w:color w:val="auto"/>
          <w:sz w:val="24"/>
          <w:szCs w:val="24"/>
        </w:rPr>
      </w:pPr>
      <w:r w:rsidRPr="00E049A9">
        <w:rPr>
          <w:rFonts w:ascii="Times New Roman" w:hAnsi="Times New Roman" w:cs="Times New Roman"/>
          <w:i w:val="0"/>
          <w:iCs w:val="0"/>
          <w:color w:val="auto"/>
          <w:sz w:val="24"/>
          <w:szCs w:val="24"/>
        </w:rPr>
        <w:t>Anche nell’ambito dei portafogli value weighted si osserva un sostanziale ridimensionamento. Il portafoglio VW-G passa infatti da uno Sharpe ratio pari a 0.156 a 0.0858 dopo l’esclusione delle osservazioni estreme, mentre VW-CGL mostra una decisa contrazione da 0.114 a 0.0714. Nel complesso, tali risultati suggeriscono che, pur in assenza di un'elevata frequenza di eventi anomali, le modeste performance risk-adjusted osservate nel corso dell’esperimento risultino comunque in buona parte sostenute da poche giornate caratterizzate da rendimenti particolarmente favorevoli, minando ulteriormente l'ipotesi di una stabile capacità predittiva.</w:t>
      </w:r>
    </w:p>
    <w:p w14:paraId="4DCFAC46" w14:textId="77777777" w:rsidR="00FF5755" w:rsidRPr="00FF5755" w:rsidRDefault="00FF5755" w:rsidP="00FF5755">
      <w:pPr>
        <w:pStyle w:val="Didascalia"/>
        <w:keepNext/>
        <w:jc w:val="both"/>
        <w:rPr>
          <w:rFonts w:ascii="Times New Roman" w:hAnsi="Times New Roman" w:cs="Times New Roman"/>
          <w:i w:val="0"/>
          <w:iCs w:val="0"/>
          <w:color w:val="auto"/>
          <w:sz w:val="24"/>
          <w:szCs w:val="24"/>
        </w:rPr>
      </w:pPr>
      <w:r w:rsidRPr="00FF5755">
        <w:rPr>
          <w:rFonts w:ascii="Times New Roman" w:hAnsi="Times New Roman" w:cs="Times New Roman"/>
          <w:i w:val="0"/>
          <w:iCs w:val="0"/>
          <w:color w:val="auto"/>
          <w:sz w:val="24"/>
          <w:szCs w:val="24"/>
        </w:rPr>
        <w:t>Nel complesso, tali risultati suggeriscono che le performance osservate nel corso dell’esperimento non siano guidate esclusivamente da pochi eventi anomali o giornate caratterizzate da rendimenti estremi. Questo elemento rafforza la robustezza statistica delle evidenze precedentemente discusse, pur non modificando la conclusione principale dell’analisi: una volta considerate le esposizioni sistematiche al rischio e la limitata significatività degli alpha multifattoriali, non emerge evidenza sufficientemente robusta di capacità predittiva persistentemente profittevole da parte dei modelli linguistici analizzati.</w:t>
      </w:r>
    </w:p>
    <w:p w14:paraId="4125189D" w14:textId="65DEC25B" w:rsidR="00D157D3" w:rsidRDefault="00D157D3" w:rsidP="00D157D3">
      <w:pPr>
        <w:pStyle w:val="Didascalia"/>
        <w:keepNext/>
        <w:rPr>
          <w:color w:val="auto"/>
        </w:rPr>
      </w:pPr>
      <w:r w:rsidRPr="00D157D3">
        <w:rPr>
          <w:color w:val="auto"/>
        </w:rPr>
        <w:t xml:space="preserve">Tabella </w:t>
      </w:r>
      <w:r w:rsidRPr="00D157D3">
        <w:rPr>
          <w:color w:val="auto"/>
        </w:rPr>
        <w:fldChar w:fldCharType="begin"/>
      </w:r>
      <w:r w:rsidRPr="00D157D3">
        <w:rPr>
          <w:color w:val="auto"/>
        </w:rPr>
        <w:instrText xml:space="preserve"> SEQ Tabella \* ARABIC </w:instrText>
      </w:r>
      <w:r w:rsidRPr="00D157D3">
        <w:rPr>
          <w:color w:val="auto"/>
        </w:rPr>
        <w:fldChar w:fldCharType="separate"/>
      </w:r>
      <w:r w:rsidR="00212089">
        <w:rPr>
          <w:noProof/>
          <w:color w:val="auto"/>
        </w:rPr>
        <w:t>13</w:t>
      </w:r>
      <w:r w:rsidRPr="00D157D3">
        <w:rPr>
          <w:color w:val="auto"/>
        </w:rPr>
        <w:fldChar w:fldCharType="end"/>
      </w:r>
    </w:p>
    <w:p w14:paraId="197CB083" w14:textId="23D7E820" w:rsidR="00D157D3" w:rsidRDefault="00D157D3" w:rsidP="00D157D3">
      <w:pPr>
        <w:jc w:val="both"/>
        <w:rPr>
          <w:rFonts w:ascii="Times New Roman" w:hAnsi="Times New Roman" w:cs="Times New Roman"/>
          <w:sz w:val="24"/>
          <w:szCs w:val="24"/>
          <w:lang w:val="en-GB"/>
        </w:rPr>
      </w:pPr>
      <w:r w:rsidRPr="004D23E9">
        <w:rPr>
          <w:rFonts w:ascii="Times New Roman" w:hAnsi="Times New Roman" w:cs="Times New Roman"/>
          <w:sz w:val="24"/>
          <w:szCs w:val="24"/>
          <w:lang w:val="en-GB"/>
        </w:rPr>
        <w:t>Tabella Finale Summary of Risk-Adjusted Portfolio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40"/>
        <w:gridCol w:w="1414"/>
        <w:gridCol w:w="1040"/>
        <w:gridCol w:w="967"/>
        <w:gridCol w:w="1040"/>
        <w:gridCol w:w="975"/>
      </w:tblGrid>
      <w:tr w:rsidR="00FF5755" w:rsidRPr="00FF5755" w14:paraId="0393DD2E" w14:textId="77777777" w:rsidTr="00FF5755">
        <w:trPr>
          <w:tblHeader/>
          <w:tblCellSpacing w:w="15" w:type="dxa"/>
        </w:trPr>
        <w:tc>
          <w:tcPr>
            <w:tcW w:w="0" w:type="auto"/>
            <w:tcBorders>
              <w:top w:val="single" w:sz="4" w:space="0" w:color="auto"/>
              <w:bottom w:val="single" w:sz="4" w:space="0" w:color="auto"/>
            </w:tcBorders>
            <w:vAlign w:val="center"/>
            <w:hideMark/>
          </w:tcPr>
          <w:p w14:paraId="5984D41A"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Portfolio</w:t>
            </w:r>
          </w:p>
        </w:tc>
        <w:tc>
          <w:tcPr>
            <w:tcW w:w="0" w:type="auto"/>
            <w:tcBorders>
              <w:top w:val="single" w:sz="4" w:space="0" w:color="auto"/>
              <w:bottom w:val="single" w:sz="4" w:space="0" w:color="auto"/>
            </w:tcBorders>
            <w:vAlign w:val="center"/>
            <w:hideMark/>
          </w:tcPr>
          <w:p w14:paraId="57C9D411"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74D97C38"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Sharpe Ratio</w:t>
            </w:r>
          </w:p>
        </w:tc>
        <w:tc>
          <w:tcPr>
            <w:tcW w:w="0" w:type="auto"/>
            <w:tcBorders>
              <w:top w:val="single" w:sz="4" w:space="0" w:color="auto"/>
              <w:bottom w:val="single" w:sz="4" w:space="0" w:color="auto"/>
            </w:tcBorders>
            <w:vAlign w:val="center"/>
            <w:hideMark/>
          </w:tcPr>
          <w:p w14:paraId="567F6DB3"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α CAPM</w:t>
            </w:r>
          </w:p>
        </w:tc>
        <w:tc>
          <w:tcPr>
            <w:tcW w:w="0" w:type="auto"/>
            <w:tcBorders>
              <w:top w:val="single" w:sz="4" w:space="0" w:color="auto"/>
              <w:bottom w:val="single" w:sz="4" w:space="0" w:color="auto"/>
            </w:tcBorders>
            <w:vAlign w:val="center"/>
            <w:hideMark/>
          </w:tcPr>
          <w:p w14:paraId="71A04185"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β CAPM</w:t>
            </w:r>
          </w:p>
        </w:tc>
        <w:tc>
          <w:tcPr>
            <w:tcW w:w="0" w:type="auto"/>
            <w:tcBorders>
              <w:top w:val="single" w:sz="4" w:space="0" w:color="auto"/>
              <w:bottom w:val="single" w:sz="4" w:space="0" w:color="auto"/>
            </w:tcBorders>
            <w:vAlign w:val="center"/>
            <w:hideMark/>
          </w:tcPr>
          <w:p w14:paraId="2BFE6ED3"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FF α</w:t>
            </w:r>
          </w:p>
        </w:tc>
        <w:tc>
          <w:tcPr>
            <w:tcW w:w="0" w:type="auto"/>
            <w:tcBorders>
              <w:top w:val="single" w:sz="4" w:space="0" w:color="auto"/>
              <w:bottom w:val="single" w:sz="4" w:space="0" w:color="auto"/>
            </w:tcBorders>
            <w:vAlign w:val="center"/>
            <w:hideMark/>
          </w:tcPr>
          <w:p w14:paraId="5AEE5085"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MOM</w:t>
            </w:r>
          </w:p>
        </w:tc>
      </w:tr>
      <w:tr w:rsidR="00FF5755" w:rsidRPr="00FF5755" w14:paraId="4A9F9A09" w14:textId="77777777" w:rsidTr="00FF5755">
        <w:trPr>
          <w:tblCellSpacing w:w="15" w:type="dxa"/>
        </w:trPr>
        <w:tc>
          <w:tcPr>
            <w:tcW w:w="0" w:type="auto"/>
            <w:vAlign w:val="center"/>
            <w:hideMark/>
          </w:tcPr>
          <w:p w14:paraId="5A98DF8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35C482F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4EE0B1F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0.0571</w:t>
            </w:r>
          </w:p>
        </w:tc>
        <w:tc>
          <w:tcPr>
            <w:tcW w:w="0" w:type="auto"/>
            <w:vAlign w:val="center"/>
            <w:hideMark/>
          </w:tcPr>
          <w:p w14:paraId="1D183D1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-0.000192</w:t>
            </w:r>
          </w:p>
        </w:tc>
        <w:tc>
          <w:tcPr>
            <w:tcW w:w="0" w:type="auto"/>
            <w:vAlign w:val="center"/>
            <w:hideMark/>
          </w:tcPr>
          <w:p w14:paraId="45EBF4C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1.53***</w:t>
            </w:r>
          </w:p>
        </w:tc>
        <w:tc>
          <w:tcPr>
            <w:tcW w:w="0" w:type="auto"/>
            <w:vAlign w:val="center"/>
            <w:hideMark/>
          </w:tcPr>
          <w:p w14:paraId="0819EE8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-0.000335</w:t>
            </w:r>
          </w:p>
        </w:tc>
        <w:tc>
          <w:tcPr>
            <w:tcW w:w="0" w:type="auto"/>
            <w:vAlign w:val="center"/>
            <w:hideMark/>
          </w:tcPr>
          <w:p w14:paraId="65DF828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0.501**</w:t>
            </w:r>
          </w:p>
        </w:tc>
      </w:tr>
      <w:tr w:rsidR="00FF5755" w:rsidRPr="00FF5755" w14:paraId="055467C8" w14:textId="77777777" w:rsidTr="00FF5755">
        <w:trPr>
          <w:tblCellSpacing w:w="15" w:type="dxa"/>
        </w:trPr>
        <w:tc>
          <w:tcPr>
            <w:tcW w:w="0" w:type="auto"/>
            <w:vAlign w:val="center"/>
            <w:hideMark/>
          </w:tcPr>
          <w:p w14:paraId="67E5240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5CA536A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492E916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A8C725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0.00102</w:t>
            </w:r>
          </w:p>
        </w:tc>
        <w:tc>
          <w:tcPr>
            <w:tcW w:w="0" w:type="auto"/>
            <w:vAlign w:val="center"/>
            <w:hideMark/>
          </w:tcPr>
          <w:p w14:paraId="190A176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1.85***</w:t>
            </w:r>
          </w:p>
        </w:tc>
        <w:tc>
          <w:tcPr>
            <w:tcW w:w="0" w:type="auto"/>
            <w:vAlign w:val="center"/>
            <w:hideMark/>
          </w:tcPr>
          <w:p w14:paraId="3330373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-0.00128</w:t>
            </w:r>
          </w:p>
        </w:tc>
        <w:tc>
          <w:tcPr>
            <w:tcW w:w="0" w:type="auto"/>
            <w:vAlign w:val="center"/>
            <w:hideMark/>
          </w:tcPr>
          <w:p w14:paraId="5BC3E5D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0.696***</w:t>
            </w:r>
          </w:p>
        </w:tc>
      </w:tr>
      <w:tr w:rsidR="00FF5755" w:rsidRPr="00FF5755" w14:paraId="6FDA6FF8" w14:textId="77777777" w:rsidTr="00FF5755">
        <w:trPr>
          <w:tblCellSpacing w:w="15" w:type="dxa"/>
        </w:trPr>
        <w:tc>
          <w:tcPr>
            <w:tcW w:w="0" w:type="auto"/>
            <w:vAlign w:val="center"/>
            <w:hideMark/>
          </w:tcPr>
          <w:p w14:paraId="121E29D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2A38E4B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63AA393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0.195</w:t>
            </w:r>
          </w:p>
        </w:tc>
        <w:tc>
          <w:tcPr>
            <w:tcW w:w="0" w:type="auto"/>
            <w:vAlign w:val="center"/>
            <w:hideMark/>
          </w:tcPr>
          <w:p w14:paraId="146291F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0.00160</w:t>
            </w:r>
          </w:p>
        </w:tc>
        <w:tc>
          <w:tcPr>
            <w:tcW w:w="0" w:type="auto"/>
            <w:vAlign w:val="center"/>
            <w:hideMark/>
          </w:tcPr>
          <w:p w14:paraId="248631B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1.26***</w:t>
            </w:r>
          </w:p>
        </w:tc>
        <w:tc>
          <w:tcPr>
            <w:tcW w:w="0" w:type="auto"/>
            <w:vAlign w:val="center"/>
            <w:hideMark/>
          </w:tcPr>
          <w:p w14:paraId="4B2DAE1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0.00111</w:t>
            </w:r>
          </w:p>
        </w:tc>
        <w:tc>
          <w:tcPr>
            <w:tcW w:w="0" w:type="auto"/>
            <w:vAlign w:val="center"/>
            <w:hideMark/>
          </w:tcPr>
          <w:p w14:paraId="327C912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0.244</w:t>
            </w:r>
          </w:p>
        </w:tc>
      </w:tr>
      <w:tr w:rsidR="00FF5755" w:rsidRPr="00FF5755" w14:paraId="20ACF633" w14:textId="77777777" w:rsidTr="00FF5755">
        <w:trPr>
          <w:tblCellSpacing w:w="15" w:type="dxa"/>
        </w:trPr>
        <w:tc>
          <w:tcPr>
            <w:tcW w:w="0" w:type="auto"/>
            <w:vAlign w:val="center"/>
            <w:hideMark/>
          </w:tcPr>
          <w:p w14:paraId="2A066A4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SW-CGL</w:t>
            </w:r>
          </w:p>
        </w:tc>
        <w:tc>
          <w:tcPr>
            <w:tcW w:w="0" w:type="auto"/>
            <w:vAlign w:val="center"/>
            <w:hideMark/>
          </w:tcPr>
          <w:p w14:paraId="53277F3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2D47D93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3863E47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-0.000771</w:t>
            </w:r>
          </w:p>
        </w:tc>
        <w:tc>
          <w:tcPr>
            <w:tcW w:w="0" w:type="auto"/>
            <w:vAlign w:val="center"/>
            <w:hideMark/>
          </w:tcPr>
          <w:p w14:paraId="6B40CE3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1.57***</w:t>
            </w:r>
          </w:p>
        </w:tc>
        <w:tc>
          <w:tcPr>
            <w:tcW w:w="0" w:type="auto"/>
            <w:vAlign w:val="center"/>
            <w:hideMark/>
          </w:tcPr>
          <w:p w14:paraId="3034398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-0.000989</w:t>
            </w:r>
          </w:p>
        </w:tc>
        <w:tc>
          <w:tcPr>
            <w:tcW w:w="0" w:type="auto"/>
            <w:vAlign w:val="center"/>
            <w:hideMark/>
          </w:tcPr>
          <w:p w14:paraId="5E8EA06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0.560***</w:t>
            </w:r>
          </w:p>
        </w:tc>
      </w:tr>
      <w:tr w:rsidR="00FF5755" w:rsidRPr="00FF5755" w14:paraId="0BD4E065" w14:textId="77777777" w:rsidTr="00FF5755">
        <w:trPr>
          <w:tblCellSpacing w:w="15" w:type="dxa"/>
        </w:trPr>
        <w:tc>
          <w:tcPr>
            <w:tcW w:w="0" w:type="auto"/>
            <w:vAlign w:val="center"/>
            <w:hideMark/>
          </w:tcPr>
          <w:p w14:paraId="266DC76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5C86F80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40E6274B"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587E40A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0.00128</w:t>
            </w:r>
          </w:p>
        </w:tc>
        <w:tc>
          <w:tcPr>
            <w:tcW w:w="0" w:type="auto"/>
            <w:vAlign w:val="center"/>
            <w:hideMark/>
          </w:tcPr>
          <w:p w14:paraId="7E837A1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1.82***</w:t>
            </w:r>
          </w:p>
        </w:tc>
        <w:tc>
          <w:tcPr>
            <w:tcW w:w="0" w:type="auto"/>
            <w:vAlign w:val="center"/>
            <w:hideMark/>
          </w:tcPr>
          <w:p w14:paraId="14F0D23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-0.00188</w:t>
            </w:r>
          </w:p>
        </w:tc>
        <w:tc>
          <w:tcPr>
            <w:tcW w:w="0" w:type="auto"/>
            <w:vAlign w:val="center"/>
            <w:hideMark/>
          </w:tcPr>
          <w:p w14:paraId="75BDC25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0.749***</w:t>
            </w:r>
          </w:p>
        </w:tc>
      </w:tr>
      <w:tr w:rsidR="00FF5755" w:rsidRPr="00FF5755" w14:paraId="2C4531A2" w14:textId="77777777" w:rsidTr="00FF5755">
        <w:trPr>
          <w:tblCellSpacing w:w="15" w:type="dxa"/>
        </w:trPr>
        <w:tc>
          <w:tcPr>
            <w:tcW w:w="0" w:type="auto"/>
            <w:vAlign w:val="center"/>
            <w:hideMark/>
          </w:tcPr>
          <w:p w14:paraId="00B12816"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275B799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7B55103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0.143</w:t>
            </w:r>
          </w:p>
        </w:tc>
        <w:tc>
          <w:tcPr>
            <w:tcW w:w="0" w:type="auto"/>
            <w:vAlign w:val="center"/>
            <w:hideMark/>
          </w:tcPr>
          <w:p w14:paraId="095B07D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0.000960</w:t>
            </w:r>
          </w:p>
        </w:tc>
        <w:tc>
          <w:tcPr>
            <w:tcW w:w="0" w:type="auto"/>
            <w:vAlign w:val="center"/>
            <w:hideMark/>
          </w:tcPr>
          <w:p w14:paraId="0447E79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1.28***</w:t>
            </w:r>
          </w:p>
        </w:tc>
        <w:tc>
          <w:tcPr>
            <w:tcW w:w="0" w:type="auto"/>
            <w:vAlign w:val="center"/>
            <w:hideMark/>
          </w:tcPr>
          <w:p w14:paraId="558D7A8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0.000046</w:t>
            </w:r>
          </w:p>
        </w:tc>
        <w:tc>
          <w:tcPr>
            <w:tcW w:w="0" w:type="auto"/>
            <w:vAlign w:val="center"/>
            <w:hideMark/>
          </w:tcPr>
          <w:p w14:paraId="2FA3717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0.305</w:t>
            </w:r>
          </w:p>
        </w:tc>
      </w:tr>
      <w:tr w:rsidR="00FF5755" w:rsidRPr="00FF5755" w14:paraId="3CF7CAC2" w14:textId="77777777" w:rsidTr="00FF5755">
        <w:trPr>
          <w:tblCellSpacing w:w="15" w:type="dxa"/>
        </w:trPr>
        <w:tc>
          <w:tcPr>
            <w:tcW w:w="0" w:type="auto"/>
            <w:vAlign w:val="center"/>
            <w:hideMark/>
          </w:tcPr>
          <w:p w14:paraId="758DE54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5FA27F7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7800863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472AD11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0.00156</w:t>
            </w:r>
          </w:p>
        </w:tc>
        <w:tc>
          <w:tcPr>
            <w:tcW w:w="0" w:type="auto"/>
            <w:vAlign w:val="center"/>
            <w:hideMark/>
          </w:tcPr>
          <w:p w14:paraId="50A42DC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1.62***</w:t>
            </w:r>
          </w:p>
        </w:tc>
        <w:tc>
          <w:tcPr>
            <w:tcW w:w="0" w:type="auto"/>
            <w:vAlign w:val="center"/>
            <w:hideMark/>
          </w:tcPr>
          <w:p w14:paraId="457E187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-0.000714</w:t>
            </w:r>
          </w:p>
        </w:tc>
        <w:tc>
          <w:tcPr>
            <w:tcW w:w="0" w:type="auto"/>
            <w:vAlign w:val="center"/>
            <w:hideMark/>
          </w:tcPr>
          <w:p w14:paraId="117E7FC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0.429**</w:t>
            </w:r>
          </w:p>
        </w:tc>
      </w:tr>
      <w:tr w:rsidR="00FF5755" w:rsidRPr="00FF5755" w14:paraId="2118655B" w14:textId="77777777" w:rsidTr="00FF5755">
        <w:trPr>
          <w:tblCellSpacing w:w="15" w:type="dxa"/>
        </w:trPr>
        <w:tc>
          <w:tcPr>
            <w:tcW w:w="0" w:type="auto"/>
            <w:vAlign w:val="center"/>
            <w:hideMark/>
          </w:tcPr>
          <w:p w14:paraId="092A3E6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34A9E68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74FD26A6"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2EC0A03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-0.000586</w:t>
            </w:r>
          </w:p>
        </w:tc>
        <w:tc>
          <w:tcPr>
            <w:tcW w:w="0" w:type="auto"/>
            <w:vAlign w:val="center"/>
            <w:hideMark/>
          </w:tcPr>
          <w:p w14:paraId="2ECE7B9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1.76***</w:t>
            </w:r>
          </w:p>
        </w:tc>
        <w:tc>
          <w:tcPr>
            <w:tcW w:w="0" w:type="auto"/>
            <w:vAlign w:val="center"/>
            <w:hideMark/>
          </w:tcPr>
          <w:p w14:paraId="426889D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-0.00302</w:t>
            </w:r>
          </w:p>
        </w:tc>
        <w:tc>
          <w:tcPr>
            <w:tcW w:w="0" w:type="auto"/>
            <w:vAlign w:val="center"/>
            <w:hideMark/>
          </w:tcPr>
          <w:p w14:paraId="3F7C5D6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0.673***</w:t>
            </w:r>
          </w:p>
        </w:tc>
      </w:tr>
      <w:tr w:rsidR="00FF5755" w:rsidRPr="00FF5755" w14:paraId="6EFD2D77" w14:textId="77777777" w:rsidTr="00FF5755">
        <w:trPr>
          <w:tblCellSpacing w:w="15" w:type="dxa"/>
        </w:trPr>
        <w:tc>
          <w:tcPr>
            <w:tcW w:w="0" w:type="auto"/>
            <w:vAlign w:val="center"/>
            <w:hideMark/>
          </w:tcPr>
          <w:p w14:paraId="3FF5103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VW-G</w:t>
            </w:r>
          </w:p>
        </w:tc>
        <w:tc>
          <w:tcPr>
            <w:tcW w:w="0" w:type="auto"/>
            <w:vAlign w:val="center"/>
            <w:hideMark/>
          </w:tcPr>
          <w:p w14:paraId="377C557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0.00272</w:t>
            </w:r>
          </w:p>
        </w:tc>
        <w:tc>
          <w:tcPr>
            <w:tcW w:w="0" w:type="auto"/>
            <w:vAlign w:val="center"/>
            <w:hideMark/>
          </w:tcPr>
          <w:p w14:paraId="37E697C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0.156</w:t>
            </w:r>
          </w:p>
        </w:tc>
        <w:tc>
          <w:tcPr>
            <w:tcW w:w="0" w:type="auto"/>
            <w:vAlign w:val="center"/>
            <w:hideMark/>
          </w:tcPr>
          <w:p w14:paraId="2458C0C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0.00117</w:t>
            </w:r>
          </w:p>
        </w:tc>
        <w:tc>
          <w:tcPr>
            <w:tcW w:w="0" w:type="auto"/>
            <w:vAlign w:val="center"/>
            <w:hideMark/>
          </w:tcPr>
          <w:p w14:paraId="7BE92B5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1.39***</w:t>
            </w:r>
          </w:p>
        </w:tc>
        <w:tc>
          <w:tcPr>
            <w:tcW w:w="0" w:type="auto"/>
            <w:vAlign w:val="center"/>
            <w:hideMark/>
          </w:tcPr>
          <w:p w14:paraId="3B30DBF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0.00163</w:t>
            </w:r>
          </w:p>
        </w:tc>
        <w:tc>
          <w:tcPr>
            <w:tcW w:w="0" w:type="auto"/>
            <w:vAlign w:val="center"/>
            <w:hideMark/>
          </w:tcPr>
          <w:p w14:paraId="5C7426B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0.239</w:t>
            </w:r>
          </w:p>
        </w:tc>
      </w:tr>
    </w:tbl>
    <w:p w14:paraId="7438D905" w14:textId="6E9071B8" w:rsidR="004D23E9" w:rsidRPr="004D23E9" w:rsidRDefault="004D23E9" w:rsidP="00DF37E2">
      <w:pPr>
        <w:jc w:val="both"/>
        <w:rPr>
          <w:rFonts w:ascii="Times New Roman" w:hAnsi="Times New Roman" w:cs="Times New Roman"/>
          <w:i/>
          <w:iCs/>
          <w:sz w:val="24"/>
          <w:szCs w:val="24"/>
        </w:rPr>
      </w:pPr>
      <w:r w:rsidRPr="004D23E9">
        <w:rPr>
          <w:rFonts w:ascii="Times New Roman" w:hAnsi="Times New Roman" w:cs="Times New Roman"/>
          <w:i/>
          <w:iCs/>
          <w:sz w:val="24"/>
          <w:szCs w:val="24"/>
        </w:rPr>
        <w:t>Nota. Gli Sharpe ratio sono riportati su base giornaliera e non annualizzati. Le t-statistics delle regressioni CAPM e Fama-French-Carhart</w:t>
      </w:r>
      <w:r>
        <w:rPr>
          <w:rFonts w:ascii="Times New Roman" w:hAnsi="Times New Roman" w:cs="Times New Roman"/>
          <w:i/>
          <w:iCs/>
          <w:sz w:val="24"/>
          <w:szCs w:val="24"/>
        </w:rPr>
        <w:t>.</w:t>
      </w:r>
    </w:p>
    <w:p w14:paraId="5FB3E913" w14:textId="1448711A"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4.7 Discussione dei risultati</w:t>
      </w:r>
    </w:p>
    <w:p w14:paraId="15C1C098"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I risultati empirici presentati nelle sezioni precedenti consentono di formulare alcune considerazioni più ampie sul ruolo potenziale dei modelli linguistici nel forecasting finanziario e, più in generale, sul rapporto tra intelligenza artificiale generativa ed efficienza informativa dei mercati.</w:t>
      </w:r>
    </w:p>
    <w:p w14:paraId="45063334"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Nel complesso, l’evidenza ottenuta suggerisce che gli LLMs siano effettivamente in grado di produrre output finanziariamente plausibili e coerenti con il contesto informativo disponibile, ma non mostrino una capacità sufficientemente robusta da tradursi in abnormal returns persistenti e statisticamente significativi una volta corretto per il rischio.</w:t>
      </w:r>
    </w:p>
    <w:p w14:paraId="19E71D45"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lastRenderedPageBreak/>
        <w:t>Questo risultato appare coerente con la teoria dell’efficienza semi-forte dei mercati discussa nel Capitolo 2. In un ambiente caratterizzato da elevata competizione informativa, ampia disponibilità di dati pubblici e rapidissima incorporazione delle notizie nei prezzi, la semplice capacità di sintetizzare informazione pubblica potrebbe non essere sufficiente per generare vantaggi predittivi economicamente sfruttabili.</w:t>
      </w:r>
    </w:p>
    <w:p w14:paraId="525AAF91"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Da questo punto di vista, i modelli linguistici sembrano comportarsi principalmente come strumenti di aggregazione narrativa e interpretazione contestuale piuttosto che come generatori di reale informazione alpha-producing. La loro capacità principale appare infatti legata alla costruzione di spiegazioni finanziariamente coerenti e semanticamente convincenti, più che alla previsione quantitativa accurata dei movimenti di prezzo nel brevissimo termine.</w:t>
      </w:r>
    </w:p>
    <w:p w14:paraId="7C0E1CCC"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Particolarmente significativa risulta l’evidenza emersa dall’analisi multifattoriale. L’assenza generalizzata di alpha statisticamente significativi, accompagnata dalla presenza di esposizioni positive e persistenti al fattore di mercato, suggerisce infatti che una parte rilevante delle performance osservate possa essere spiegata da esposizioni sistematiche già incorporate nelle dinamiche aggregate del mercato azionario.</w:t>
      </w:r>
    </w:p>
    <w:p w14:paraId="4473B71E"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L’analisi del fattore momentum evidenzia inoltre una moderata eterogeneità tra le differenti architetture considerate. In particolare, le configurazioni basate su ChatGPT mostrano coefficienti momentum generalmente positivi e in diversi casi statisticamente significativi, suggerendo una tendenza del modello a riflettere dinamiche di trend e sentiment già presenti nel linguaggio finanziario pubblico. Gemini Pro evidenzia invece una minore esposizione sistematica a tale fattore, pur senza mostrare evidenza robusta di capacità di generazione di alpha indipendente dal rischio.</w:t>
      </w:r>
    </w:p>
    <w:p w14:paraId="2644E13A"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In questo senso, i risultati ottenuti appaiono compatibili con l’ipotesi secondo cui gli LLMs catturino prevalentemente:</w:t>
      </w:r>
    </w:p>
    <w:p w14:paraId="4E16CD1B" w14:textId="77777777" w:rsidR="008A240A" w:rsidRPr="008A240A" w:rsidRDefault="008A240A" w:rsidP="008A240A">
      <w:pPr>
        <w:numPr>
          <w:ilvl w:val="0"/>
          <w:numId w:val="9"/>
        </w:numPr>
        <w:jc w:val="both"/>
        <w:rPr>
          <w:rFonts w:ascii="Times New Roman" w:hAnsi="Times New Roman" w:cs="Times New Roman"/>
          <w:sz w:val="24"/>
          <w:szCs w:val="24"/>
        </w:rPr>
      </w:pPr>
      <w:r w:rsidRPr="008A240A">
        <w:rPr>
          <w:rFonts w:ascii="Times New Roman" w:hAnsi="Times New Roman" w:cs="Times New Roman"/>
          <w:sz w:val="24"/>
          <w:szCs w:val="24"/>
        </w:rPr>
        <w:t>sentiment narrativo prevalente;</w:t>
      </w:r>
    </w:p>
    <w:p w14:paraId="5BC77161" w14:textId="77777777" w:rsidR="008A240A" w:rsidRPr="008A240A" w:rsidRDefault="008A240A" w:rsidP="008A240A">
      <w:pPr>
        <w:numPr>
          <w:ilvl w:val="0"/>
          <w:numId w:val="9"/>
        </w:numPr>
        <w:jc w:val="both"/>
        <w:rPr>
          <w:rFonts w:ascii="Times New Roman" w:hAnsi="Times New Roman" w:cs="Times New Roman"/>
          <w:sz w:val="24"/>
          <w:szCs w:val="24"/>
        </w:rPr>
      </w:pPr>
      <w:proofErr w:type="gramStart"/>
      <w:r w:rsidRPr="008A240A">
        <w:rPr>
          <w:rFonts w:ascii="Times New Roman" w:hAnsi="Times New Roman" w:cs="Times New Roman"/>
          <w:sz w:val="24"/>
          <w:szCs w:val="24"/>
        </w:rPr>
        <w:t>trend recenti</w:t>
      </w:r>
      <w:proofErr w:type="gramEnd"/>
      <w:r w:rsidRPr="008A240A">
        <w:rPr>
          <w:rFonts w:ascii="Times New Roman" w:hAnsi="Times New Roman" w:cs="Times New Roman"/>
          <w:sz w:val="24"/>
          <w:szCs w:val="24"/>
        </w:rPr>
        <w:t xml:space="preserve"> di mercato;</w:t>
      </w:r>
    </w:p>
    <w:p w14:paraId="0D5577A6" w14:textId="77777777" w:rsidR="008A240A" w:rsidRPr="008A240A" w:rsidRDefault="008A240A" w:rsidP="008A240A">
      <w:pPr>
        <w:numPr>
          <w:ilvl w:val="0"/>
          <w:numId w:val="9"/>
        </w:numPr>
        <w:jc w:val="both"/>
        <w:rPr>
          <w:rFonts w:ascii="Times New Roman" w:hAnsi="Times New Roman" w:cs="Times New Roman"/>
          <w:sz w:val="24"/>
          <w:szCs w:val="24"/>
        </w:rPr>
      </w:pPr>
      <w:r w:rsidRPr="008A240A">
        <w:rPr>
          <w:rFonts w:ascii="Times New Roman" w:hAnsi="Times New Roman" w:cs="Times New Roman"/>
          <w:sz w:val="24"/>
          <w:szCs w:val="24"/>
        </w:rPr>
        <w:t>informazioni già diffuse nel sistema finanziario;</w:t>
      </w:r>
    </w:p>
    <w:p w14:paraId="22DBD3E1" w14:textId="77777777" w:rsidR="008A240A" w:rsidRPr="008A240A" w:rsidRDefault="008A240A" w:rsidP="008A240A">
      <w:pPr>
        <w:numPr>
          <w:ilvl w:val="0"/>
          <w:numId w:val="9"/>
        </w:numPr>
        <w:jc w:val="both"/>
        <w:rPr>
          <w:rFonts w:ascii="Times New Roman" w:hAnsi="Times New Roman" w:cs="Times New Roman"/>
          <w:sz w:val="24"/>
          <w:szCs w:val="24"/>
        </w:rPr>
      </w:pPr>
      <w:r w:rsidRPr="008A240A">
        <w:rPr>
          <w:rFonts w:ascii="Times New Roman" w:hAnsi="Times New Roman" w:cs="Times New Roman"/>
          <w:sz w:val="24"/>
          <w:szCs w:val="24"/>
        </w:rPr>
        <w:t>dinamiche momentum facilmente identificabili attraverso il linguaggio finanziario pubblico.</w:t>
      </w:r>
    </w:p>
    <w:p w14:paraId="19745AC6" w14:textId="77777777" w:rsidR="00FF5755" w:rsidRDefault="00FF5755" w:rsidP="00FF5755">
      <w:pPr>
        <w:pStyle w:val="NormaleWeb"/>
      </w:pPr>
      <w:r>
        <w:t>Tuttavia, la presenza di output plausibili non implica necessariamente l’esistenza di reale predictive skill. Uno dei risultati più rilevanti dell’esperimento riguarda infatti la divergenza tra qualità narrativa delle risposte generate e debolezza delle performance quantitative osservate.</w:t>
      </w:r>
    </w:p>
    <w:p w14:paraId="7F9F4EA3" w14:textId="77777777" w:rsidR="00FF5755" w:rsidRDefault="00FF5755" w:rsidP="00FF5755">
      <w:pPr>
        <w:pStyle w:val="NormaleWeb"/>
      </w:pPr>
      <w:r>
        <w:t>L’analisi del magnitude forecasting appare particolarmente significativa sotto questo profilo. La sostanziale assenza di relazione statisticamente significativa tra rendimenti previsti e rendimenti realizzati suggerisce infatti che i modelli linguistici, pur essendo in grado di formulare previsioni apparentemente sofisticate e coerenti dal punto di vista narrativo, non possiedano una robusta capacità di quantificazione dell’intensità dei movimenti di mercato nel brevissimo termine.</w:t>
      </w:r>
    </w:p>
    <w:p w14:paraId="75E58B26" w14:textId="71B31E53" w:rsidR="00FF5755" w:rsidRDefault="00FF5755" w:rsidP="00FF5755">
      <w:pPr>
        <w:pStyle w:val="NormaleWeb"/>
      </w:pPr>
      <w:r>
        <w:t>Un ulteriore elemento di rilievo riguarda la dimensione operativa dell’esperimento. Diversamente da numerosi studi recenti sugli LLMs applicati alla finanza, il presente lavoro è stato implementato in ambiente rigorosamente real-time e out-of-sample, documentando quotidianamente le interazioni effettive con i modelli.</w:t>
      </w:r>
    </w:p>
    <w:p w14:paraId="45B3CD12" w14:textId="00D13B88" w:rsidR="008A240A" w:rsidRPr="008A240A" w:rsidRDefault="008A240A" w:rsidP="00FF5755">
      <w:pPr>
        <w:pStyle w:val="NormaleWeb"/>
      </w:pPr>
      <w:r w:rsidRPr="008A240A">
        <w:lastRenderedPageBreak/>
        <w:t>Questo aspetto metodologico assume particolare importanza poiché ha consentito di osservare problematiche operative raramente discusse nella letteratura corrente, tra cui:</w:t>
      </w:r>
    </w:p>
    <w:p w14:paraId="1DCF09E0" w14:textId="77777777" w:rsidR="008A240A" w:rsidRPr="008A240A" w:rsidRDefault="008A240A" w:rsidP="008A240A">
      <w:pPr>
        <w:numPr>
          <w:ilvl w:val="0"/>
          <w:numId w:val="10"/>
        </w:numPr>
        <w:jc w:val="both"/>
        <w:rPr>
          <w:rFonts w:ascii="Times New Roman" w:hAnsi="Times New Roman" w:cs="Times New Roman"/>
          <w:sz w:val="24"/>
          <w:szCs w:val="24"/>
        </w:rPr>
      </w:pPr>
      <w:r w:rsidRPr="008A240A">
        <w:rPr>
          <w:rFonts w:ascii="Times New Roman" w:hAnsi="Times New Roman" w:cs="Times New Roman"/>
          <w:sz w:val="24"/>
          <w:szCs w:val="24"/>
        </w:rPr>
        <w:t>instabilità cross-session;</w:t>
      </w:r>
    </w:p>
    <w:p w14:paraId="2ABAA427" w14:textId="77777777" w:rsidR="008A240A" w:rsidRPr="008A240A" w:rsidRDefault="008A240A" w:rsidP="008A240A">
      <w:pPr>
        <w:numPr>
          <w:ilvl w:val="0"/>
          <w:numId w:val="10"/>
        </w:numPr>
        <w:jc w:val="both"/>
        <w:rPr>
          <w:rFonts w:ascii="Times New Roman" w:hAnsi="Times New Roman" w:cs="Times New Roman"/>
          <w:sz w:val="24"/>
          <w:szCs w:val="24"/>
        </w:rPr>
      </w:pPr>
      <w:r w:rsidRPr="008A240A">
        <w:rPr>
          <w:rFonts w:ascii="Times New Roman" w:hAnsi="Times New Roman" w:cs="Times New Roman"/>
          <w:sz w:val="24"/>
          <w:szCs w:val="24"/>
        </w:rPr>
        <w:t>prompt non-compliance;</w:t>
      </w:r>
    </w:p>
    <w:p w14:paraId="55383479" w14:textId="77777777" w:rsidR="008A240A" w:rsidRPr="008A240A" w:rsidRDefault="008A240A" w:rsidP="008A240A">
      <w:pPr>
        <w:numPr>
          <w:ilvl w:val="0"/>
          <w:numId w:val="10"/>
        </w:numPr>
        <w:jc w:val="both"/>
        <w:rPr>
          <w:rFonts w:ascii="Times New Roman" w:hAnsi="Times New Roman" w:cs="Times New Roman"/>
          <w:sz w:val="24"/>
          <w:szCs w:val="24"/>
        </w:rPr>
      </w:pPr>
      <w:r w:rsidRPr="008A240A">
        <w:rPr>
          <w:rFonts w:ascii="Times New Roman" w:hAnsi="Times New Roman" w:cs="Times New Roman"/>
          <w:sz w:val="24"/>
          <w:szCs w:val="24"/>
        </w:rPr>
        <w:t>hallucinations finanziarie;</w:t>
      </w:r>
    </w:p>
    <w:p w14:paraId="6841EAA9" w14:textId="77777777" w:rsidR="008A240A" w:rsidRPr="008A240A" w:rsidRDefault="008A240A" w:rsidP="008A240A">
      <w:pPr>
        <w:numPr>
          <w:ilvl w:val="0"/>
          <w:numId w:val="10"/>
        </w:numPr>
        <w:jc w:val="both"/>
        <w:rPr>
          <w:rFonts w:ascii="Times New Roman" w:hAnsi="Times New Roman" w:cs="Times New Roman"/>
          <w:sz w:val="24"/>
          <w:szCs w:val="24"/>
        </w:rPr>
      </w:pPr>
      <w:r w:rsidRPr="008A240A">
        <w:rPr>
          <w:rFonts w:ascii="Times New Roman" w:hAnsi="Times New Roman" w:cs="Times New Roman"/>
          <w:sz w:val="24"/>
          <w:szCs w:val="24"/>
        </w:rPr>
        <w:t>incoerenze inferenziali;</w:t>
      </w:r>
    </w:p>
    <w:p w14:paraId="43D43407" w14:textId="77777777" w:rsidR="008A240A" w:rsidRPr="008A240A" w:rsidRDefault="008A240A" w:rsidP="008A240A">
      <w:pPr>
        <w:numPr>
          <w:ilvl w:val="0"/>
          <w:numId w:val="10"/>
        </w:numPr>
        <w:jc w:val="both"/>
        <w:rPr>
          <w:rFonts w:ascii="Times New Roman" w:hAnsi="Times New Roman" w:cs="Times New Roman"/>
          <w:sz w:val="24"/>
          <w:szCs w:val="24"/>
        </w:rPr>
      </w:pPr>
      <w:r w:rsidRPr="008A240A">
        <w:rPr>
          <w:rFonts w:ascii="Times New Roman" w:hAnsi="Times New Roman" w:cs="Times New Roman"/>
          <w:sz w:val="24"/>
          <w:szCs w:val="24"/>
        </w:rPr>
        <w:t>interferenze dei guardrails.</w:t>
      </w:r>
    </w:p>
    <w:p w14:paraId="3EDCDA31"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Tali fenomeni suggeriscono che le performance osservate in molti framework retrospettivi potrebbero sovrastimare la reale affidabilità operativa degli LLMs in contesti finanziari reali. In ambiente sperimentale controllato, infatti, è spesso possibile selezionare ex-post output coerenti e statisticamente favorevoli. Al contrario, l’utilizzo quotidiano in tempo reale espone inevitabilmente i modelli a problematiche di stabilità e replicabilità significativamente più complesse.</w:t>
      </w:r>
    </w:p>
    <w:p w14:paraId="39AB67FD"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I risultati ottenuti non implicano necessariamente che gli LLMs siano privi di utilità in ambito finanziario. Al contrario, tali strumenti potrebbero risultare particolarmente efficaci:</w:t>
      </w:r>
    </w:p>
    <w:p w14:paraId="7FC114BF" w14:textId="77777777" w:rsidR="008A240A" w:rsidRPr="008A240A" w:rsidRDefault="008A240A" w:rsidP="008A240A">
      <w:pPr>
        <w:numPr>
          <w:ilvl w:val="0"/>
          <w:numId w:val="11"/>
        </w:numPr>
        <w:jc w:val="both"/>
        <w:rPr>
          <w:rFonts w:ascii="Times New Roman" w:hAnsi="Times New Roman" w:cs="Times New Roman"/>
          <w:sz w:val="24"/>
          <w:szCs w:val="24"/>
        </w:rPr>
      </w:pPr>
      <w:r w:rsidRPr="008A240A">
        <w:rPr>
          <w:rFonts w:ascii="Times New Roman" w:hAnsi="Times New Roman" w:cs="Times New Roman"/>
          <w:sz w:val="24"/>
          <w:szCs w:val="24"/>
        </w:rPr>
        <w:t>nella sintesi di grandi quantità di informazione testuale;</w:t>
      </w:r>
    </w:p>
    <w:p w14:paraId="2D45DA4D" w14:textId="77777777" w:rsidR="008A240A" w:rsidRPr="008A240A" w:rsidRDefault="008A240A" w:rsidP="008A240A">
      <w:pPr>
        <w:numPr>
          <w:ilvl w:val="0"/>
          <w:numId w:val="11"/>
        </w:numPr>
        <w:jc w:val="both"/>
        <w:rPr>
          <w:rFonts w:ascii="Times New Roman" w:hAnsi="Times New Roman" w:cs="Times New Roman"/>
          <w:sz w:val="24"/>
          <w:szCs w:val="24"/>
        </w:rPr>
      </w:pPr>
      <w:r w:rsidRPr="008A240A">
        <w:rPr>
          <w:rFonts w:ascii="Times New Roman" w:hAnsi="Times New Roman" w:cs="Times New Roman"/>
          <w:sz w:val="24"/>
          <w:szCs w:val="24"/>
        </w:rPr>
        <w:t>nell’analisi qualitativa del sentiment;</w:t>
      </w:r>
    </w:p>
    <w:p w14:paraId="6BD479A3" w14:textId="77777777" w:rsidR="008A240A" w:rsidRPr="008A240A" w:rsidRDefault="008A240A" w:rsidP="008A240A">
      <w:pPr>
        <w:numPr>
          <w:ilvl w:val="0"/>
          <w:numId w:val="11"/>
        </w:numPr>
        <w:jc w:val="both"/>
        <w:rPr>
          <w:rFonts w:ascii="Times New Roman" w:hAnsi="Times New Roman" w:cs="Times New Roman"/>
          <w:sz w:val="24"/>
          <w:szCs w:val="24"/>
        </w:rPr>
      </w:pPr>
      <w:r w:rsidRPr="008A240A">
        <w:rPr>
          <w:rFonts w:ascii="Times New Roman" w:hAnsi="Times New Roman" w:cs="Times New Roman"/>
          <w:sz w:val="24"/>
          <w:szCs w:val="24"/>
        </w:rPr>
        <w:t>nel supporto decisionale umano;</w:t>
      </w:r>
    </w:p>
    <w:p w14:paraId="514B4EDC" w14:textId="77777777" w:rsidR="008A240A" w:rsidRPr="008A240A" w:rsidRDefault="008A240A" w:rsidP="008A240A">
      <w:pPr>
        <w:numPr>
          <w:ilvl w:val="0"/>
          <w:numId w:val="11"/>
        </w:numPr>
        <w:jc w:val="both"/>
        <w:rPr>
          <w:rFonts w:ascii="Times New Roman" w:hAnsi="Times New Roman" w:cs="Times New Roman"/>
          <w:sz w:val="24"/>
          <w:szCs w:val="24"/>
        </w:rPr>
      </w:pPr>
      <w:r w:rsidRPr="008A240A">
        <w:rPr>
          <w:rFonts w:ascii="Times New Roman" w:hAnsi="Times New Roman" w:cs="Times New Roman"/>
          <w:sz w:val="24"/>
          <w:szCs w:val="24"/>
        </w:rPr>
        <w:t>nella generazione di scenari narrativi alternativi.</w:t>
      </w:r>
    </w:p>
    <w:p w14:paraId="511D3672"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Tuttavia, l’evidenza empirica raccolta suggerisce che il loro utilizzo come strumenti autonomi di forecasting quantitativo sistematico presenti ancora significative limitazioni, soprattutto in contesti ad elevata efficienza informativa e brevissimo orizzonte temporale come quello intraday.</w:t>
      </w:r>
    </w:p>
    <w:p w14:paraId="63E602FC" w14:textId="77777777" w:rsidR="008A240A" w:rsidRPr="008A240A" w:rsidRDefault="008A240A" w:rsidP="008A240A">
      <w:pPr>
        <w:jc w:val="both"/>
        <w:rPr>
          <w:rFonts w:ascii="Times New Roman" w:hAnsi="Times New Roman" w:cs="Times New Roman"/>
          <w:b/>
          <w:bCs/>
          <w:sz w:val="24"/>
          <w:szCs w:val="24"/>
        </w:rPr>
      </w:pPr>
      <w:r w:rsidRPr="008A240A">
        <w:rPr>
          <w:rFonts w:ascii="Times New Roman" w:hAnsi="Times New Roman" w:cs="Times New Roman"/>
          <w:b/>
          <w:bCs/>
          <w:sz w:val="24"/>
          <w:szCs w:val="24"/>
        </w:rPr>
        <w:t>4.8 Conclusioni empiriche</w:t>
      </w:r>
    </w:p>
    <w:p w14:paraId="71CD46F9"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Il presente capitolo ha analizzato la capacità predittiva di differenti modelli linguistici di grandi dimensioni nel contesto del forecasting azionario intraday, utilizzando un framework sperimentale rigorosamente real-time e out-of-sample. L’obiettivo principale dell’analisi consisteva nel verificare se gli output generati dagli LLMs fossero in grado di tradursi in performance economicamente significative e statisticamente robuste una volta corretto per il rischio.</w:t>
      </w:r>
    </w:p>
    <w:p w14:paraId="6B28C4E0"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I risultati ottenuti evidenziano innanzitutto una capacità direzionale complessivamente limitata. Sebbene i segnali Long mostrino un hit ratio lievemente superiore al 50% e marginalmente significativo dal punto di vista statistico, l’evidenza generale non supporta l’esistenza di una capacità predittiva sistematica e persistentemente sfruttabile nel brevissimo termine. Analogamente, i test di market timing sull’indice S&amp;P 500 non evidenziano una robusta capacità dei modelli di anticipare in maniera affidabile i movimenti direzionali del mercato.</w:t>
      </w:r>
    </w:p>
    <w:p w14:paraId="1615C07C"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L’analisi delle performance di portafoglio mostra la presenza di alcune configurazioni caratterizzate da rendimenti cumulati positivi, in particolare nei portafogli equally weighted e signal weighted associati a ChatGPT versione non loggata (CGP) e Gemini Pro (G). Tuttavia, tali evidenze tendono a ridimensionarsi significativamente una volta considerate all’interno di un framework risk-adjusted coerente con la moderna teoria di asset pricing.</w:t>
      </w:r>
    </w:p>
    <w:p w14:paraId="5B86194E"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lastRenderedPageBreak/>
        <w:t>Gli Sharpe ratio osservati risultano infatti generalmente moderati e non particolarmente elevati in termini economici, mentre le regressioni CAPM e multifattoriali evidenziano l’assenza di alpha statisticamente significativi. Le performance positive osservate sembrano pertanto spiegate prevalentemente da esposizioni sistematiche ai fattori di mercato e, in alcuni casi, al fattore momentum, piuttosto che da una reale capacità di stock selection indipendente dal rischio da parte dei modelli linguistici.</w:t>
      </w:r>
    </w:p>
    <w:p w14:paraId="4285B162"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Particolarmente significativa risulta inoltre l’analisi del magnitude forecasting. La sostanziale assenza di relazione statisticamente significativa tra rendimenti previsti e rendimenti realizzati suggerisce infatti che gli LLMs non siano in grado di quantificare in modo affidabile l’intensità dei movimenti di prezzo nel brevissimo termine. Pur generando output semanticamente plausibili e finanziariamente coerenti, i modelli mostrano dunque una limitata efficacia sotto il profilo quantitativo.</w:t>
      </w:r>
    </w:p>
    <w:p w14:paraId="1DF2D399"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Accanto alle evidenze statistiche, il lavoro ha inoltre documentato numerose criticità operative emerse durante l’implementazione quotidiana dell’esperimento. Fenomeni di prompt non-compliance, hallucinations finanziarie, instabilità cross-session e incoerenza inferenziale evidenziano significative limitazioni nella stabilità operativa degli LLMs quando utilizzati in ambiente finanziario reale.</w:t>
      </w:r>
    </w:p>
    <w:p w14:paraId="07AC43A4"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Da un punto di vista teorico, i risultati ottenuti appaiono coerenti con l’ipotesi di efficienza semi-forte dei mercati finanziari. In un contesto altamente competitivo e caratterizzato da rapidissima incorporazione delle informazioni pubbliche nei prezzi, la capacità degli LLMs di sintetizzare contenuti testuali e narrative finanziarie non sembra sufficiente per generare vantaggi predittivi economicamente sfruttabili in modo persistente.</w:t>
      </w:r>
    </w:p>
    <w:p w14:paraId="76ABA0C0" w14:textId="77777777" w:rsidR="00FF5755" w:rsidRPr="00FF5755" w:rsidRDefault="00FF5755" w:rsidP="00FF5755">
      <w:pPr>
        <w:jc w:val="both"/>
        <w:rPr>
          <w:rFonts w:ascii="Times New Roman" w:hAnsi="Times New Roman" w:cs="Times New Roman"/>
          <w:sz w:val="24"/>
          <w:szCs w:val="24"/>
        </w:rPr>
      </w:pPr>
      <w:r w:rsidRPr="00FF5755">
        <w:rPr>
          <w:rFonts w:ascii="Times New Roman" w:hAnsi="Times New Roman" w:cs="Times New Roman"/>
          <w:sz w:val="24"/>
          <w:szCs w:val="24"/>
        </w:rPr>
        <w:t>Nel complesso, il presente lavoro suggerisce che i modelli linguistici possano rappresentare strumenti utili per l’analisi qualitativa, la sintesi informativa e il supporto decisionale umano, ma che il loro utilizzo come sistemi autonomi di forecasting quantitativo presenti ancora significative limitazioni, soprattutto nel contesto intraday considerato.</w:t>
      </w:r>
    </w:p>
    <w:p w14:paraId="7340E9CC"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L’evidenza empirica raccolta contribuisce infine alla letteratura emergente sugli LLMs applicati alla finanza introducendo un framework di valutazione maggiormente rigoroso sotto il profilo metodologico, basato su:</w:t>
      </w:r>
    </w:p>
    <w:p w14:paraId="1C562E53" w14:textId="77777777" w:rsidR="008A240A" w:rsidRPr="008A240A" w:rsidRDefault="008A240A" w:rsidP="008A240A">
      <w:pPr>
        <w:numPr>
          <w:ilvl w:val="0"/>
          <w:numId w:val="13"/>
        </w:numPr>
        <w:jc w:val="both"/>
        <w:rPr>
          <w:rFonts w:ascii="Times New Roman" w:hAnsi="Times New Roman" w:cs="Times New Roman"/>
          <w:sz w:val="24"/>
          <w:szCs w:val="24"/>
        </w:rPr>
      </w:pPr>
      <w:r w:rsidRPr="008A240A">
        <w:rPr>
          <w:rFonts w:ascii="Times New Roman" w:hAnsi="Times New Roman" w:cs="Times New Roman"/>
          <w:sz w:val="24"/>
          <w:szCs w:val="24"/>
        </w:rPr>
        <w:t>raccolta dati real-time;</w:t>
      </w:r>
    </w:p>
    <w:p w14:paraId="313BD954" w14:textId="77777777" w:rsidR="008A240A" w:rsidRPr="008A240A" w:rsidRDefault="008A240A" w:rsidP="008A240A">
      <w:pPr>
        <w:numPr>
          <w:ilvl w:val="0"/>
          <w:numId w:val="13"/>
        </w:numPr>
        <w:jc w:val="both"/>
        <w:rPr>
          <w:rFonts w:ascii="Times New Roman" w:hAnsi="Times New Roman" w:cs="Times New Roman"/>
          <w:sz w:val="24"/>
          <w:szCs w:val="24"/>
          <w:lang w:val="en-GB"/>
        </w:rPr>
      </w:pPr>
      <w:r w:rsidRPr="008A240A">
        <w:rPr>
          <w:rFonts w:ascii="Times New Roman" w:hAnsi="Times New Roman" w:cs="Times New Roman"/>
          <w:sz w:val="24"/>
          <w:szCs w:val="24"/>
          <w:lang w:val="en-GB"/>
        </w:rPr>
        <w:t>test realmente out-of-sample;</w:t>
      </w:r>
    </w:p>
    <w:p w14:paraId="600D47AD" w14:textId="77777777" w:rsidR="008A240A" w:rsidRPr="008A240A" w:rsidRDefault="008A240A" w:rsidP="008A240A">
      <w:pPr>
        <w:numPr>
          <w:ilvl w:val="0"/>
          <w:numId w:val="13"/>
        </w:numPr>
        <w:jc w:val="both"/>
        <w:rPr>
          <w:rFonts w:ascii="Times New Roman" w:hAnsi="Times New Roman" w:cs="Times New Roman"/>
          <w:sz w:val="24"/>
          <w:szCs w:val="24"/>
        </w:rPr>
      </w:pPr>
      <w:r w:rsidRPr="008A240A">
        <w:rPr>
          <w:rFonts w:ascii="Times New Roman" w:hAnsi="Times New Roman" w:cs="Times New Roman"/>
          <w:sz w:val="24"/>
          <w:szCs w:val="24"/>
        </w:rPr>
        <w:t>valutazione risk-adjusted;</w:t>
      </w:r>
    </w:p>
    <w:p w14:paraId="7883A1B8" w14:textId="77777777" w:rsidR="008A240A" w:rsidRPr="008A240A" w:rsidRDefault="008A240A" w:rsidP="008A240A">
      <w:pPr>
        <w:numPr>
          <w:ilvl w:val="0"/>
          <w:numId w:val="13"/>
        </w:numPr>
        <w:jc w:val="both"/>
        <w:rPr>
          <w:rFonts w:ascii="Times New Roman" w:hAnsi="Times New Roman" w:cs="Times New Roman"/>
          <w:sz w:val="24"/>
          <w:szCs w:val="24"/>
        </w:rPr>
      </w:pPr>
      <w:r w:rsidRPr="008A240A">
        <w:rPr>
          <w:rFonts w:ascii="Times New Roman" w:hAnsi="Times New Roman" w:cs="Times New Roman"/>
          <w:sz w:val="24"/>
          <w:szCs w:val="24"/>
        </w:rPr>
        <w:t>controlli multifattoriali;</w:t>
      </w:r>
    </w:p>
    <w:p w14:paraId="6CE002EE" w14:textId="77777777" w:rsidR="008A240A" w:rsidRPr="008A240A" w:rsidRDefault="008A240A" w:rsidP="008A240A">
      <w:pPr>
        <w:numPr>
          <w:ilvl w:val="0"/>
          <w:numId w:val="13"/>
        </w:numPr>
        <w:jc w:val="both"/>
        <w:rPr>
          <w:rFonts w:ascii="Times New Roman" w:hAnsi="Times New Roman" w:cs="Times New Roman"/>
          <w:sz w:val="24"/>
          <w:szCs w:val="24"/>
        </w:rPr>
      </w:pPr>
      <w:r w:rsidRPr="008A240A">
        <w:rPr>
          <w:rFonts w:ascii="Times New Roman" w:hAnsi="Times New Roman" w:cs="Times New Roman"/>
          <w:sz w:val="24"/>
          <w:szCs w:val="24"/>
        </w:rPr>
        <w:t>documentazione sistematica delle problematiche operative.</w:t>
      </w:r>
    </w:p>
    <w:p w14:paraId="68DD64A9" w14:textId="77777777" w:rsidR="008A240A" w:rsidRPr="008A240A" w:rsidRDefault="008A240A" w:rsidP="008A240A">
      <w:pPr>
        <w:jc w:val="both"/>
        <w:rPr>
          <w:rFonts w:ascii="Times New Roman" w:hAnsi="Times New Roman" w:cs="Times New Roman"/>
          <w:sz w:val="24"/>
          <w:szCs w:val="24"/>
        </w:rPr>
      </w:pPr>
      <w:r w:rsidRPr="008A240A">
        <w:rPr>
          <w:rFonts w:ascii="Times New Roman" w:hAnsi="Times New Roman" w:cs="Times New Roman"/>
          <w:sz w:val="24"/>
          <w:szCs w:val="24"/>
        </w:rPr>
        <w:t>In questa prospettiva, il contributo principale della ricerca non consiste tanto nel dimostrare l’assenza assoluta di capacità predittiva da parte degli LLMs, quanto piuttosto nel mostrare come output finanziariamente plausibili e narrativamente convincenti non si traducano necessariamente in strategie di trading economicamente robuste una volta considerate le dinamiche di rischio, volatilità e stabilità operativa tipiche dei mercati finanziari reali.</w:t>
      </w:r>
    </w:p>
    <w:p w14:paraId="1A24D65E" w14:textId="7A15C28E" w:rsidR="004022CF" w:rsidRPr="0022295B" w:rsidRDefault="004022CF" w:rsidP="0022295B">
      <w:pPr>
        <w:jc w:val="both"/>
        <w:rPr>
          <w:rFonts w:ascii="Times New Roman" w:hAnsi="Times New Roman" w:cs="Times New Roman"/>
          <w:sz w:val="24"/>
          <w:szCs w:val="24"/>
        </w:rPr>
      </w:pPr>
    </w:p>
    <w:sectPr w:rsidR="004022CF" w:rsidRPr="0022295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268B" w14:textId="77777777" w:rsidR="00F71D53" w:rsidRDefault="00F71D53" w:rsidP="0022295B">
      <w:pPr>
        <w:spacing w:after="0" w:line="240" w:lineRule="auto"/>
      </w:pPr>
      <w:r>
        <w:separator/>
      </w:r>
    </w:p>
  </w:endnote>
  <w:endnote w:type="continuationSeparator" w:id="0">
    <w:p w14:paraId="47F1C429" w14:textId="77777777" w:rsidR="00F71D53" w:rsidRDefault="00F71D53" w:rsidP="0022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85A4" w14:textId="77777777" w:rsidR="00F71D53" w:rsidRDefault="00F71D53" w:rsidP="0022295B">
      <w:pPr>
        <w:spacing w:after="0" w:line="240" w:lineRule="auto"/>
      </w:pPr>
      <w:r>
        <w:separator/>
      </w:r>
    </w:p>
  </w:footnote>
  <w:footnote w:type="continuationSeparator" w:id="0">
    <w:p w14:paraId="0176155E" w14:textId="77777777" w:rsidR="00F71D53" w:rsidRDefault="00F71D53" w:rsidP="0022295B">
      <w:pPr>
        <w:spacing w:after="0" w:line="240" w:lineRule="auto"/>
      </w:pPr>
      <w:r>
        <w:continuationSeparator/>
      </w:r>
    </w:p>
  </w:footnote>
  <w:footnote w:id="1">
    <w:p w14:paraId="56B34FCD" w14:textId="77777777" w:rsidR="0022295B" w:rsidRPr="0022295B" w:rsidRDefault="0022295B" w:rsidP="0022295B">
      <w:pPr>
        <w:jc w:val="both"/>
        <w:rPr>
          <w:rFonts w:ascii="Times New Roman" w:hAnsi="Times New Roman" w:cs="Times New Roman"/>
          <w:sz w:val="24"/>
          <w:szCs w:val="24"/>
        </w:rPr>
      </w:pPr>
      <w:r>
        <w:rPr>
          <w:rStyle w:val="Rimandonotaapidipagina"/>
        </w:rPr>
        <w:footnoteRef/>
      </w:r>
      <w:r>
        <w:t xml:space="preserve"> </w:t>
      </w:r>
      <w:r w:rsidRPr="0022295B">
        <w:rPr>
          <w:rFonts w:ascii="Times New Roman" w:hAnsi="Times New Roman" w:cs="Times New Roman"/>
          <w:sz w:val="24"/>
          <w:szCs w:val="24"/>
        </w:rPr>
        <w:t>Data la natura intraday delle strategie implementate, il tasso risk-free giornaliero è stato assunto pari a zero, coerentemente con la letteratura sulle strategie ad alta frequenza e brevissimo orizzonte temporale.</w:t>
      </w:r>
    </w:p>
    <w:p w14:paraId="14783D63" w14:textId="38095D84" w:rsidR="0022295B" w:rsidRDefault="0022295B">
      <w:pPr>
        <w:pStyle w:val="Testonotaapidipagina"/>
      </w:pPr>
    </w:p>
  </w:footnote>
  <w:footnote w:id="2">
    <w:p w14:paraId="3ACA3EF3" w14:textId="4E5CF52C" w:rsidR="0022295B" w:rsidRDefault="0022295B">
      <w:pPr>
        <w:pStyle w:val="Testonotaapidipagina"/>
      </w:pPr>
      <w:r>
        <w:rPr>
          <w:rStyle w:val="Rimandonotaapidipagina"/>
        </w:rPr>
        <w:footnoteRef/>
      </w:r>
      <w:r>
        <w:t xml:space="preserve"> </w:t>
      </w:r>
      <w:r w:rsidRPr="0022295B">
        <w:rPr>
          <w:rFonts w:ascii="Times New Roman" w:hAnsi="Times New Roman" w:cs="Times New Roman"/>
          <w:sz w:val="24"/>
          <w:szCs w:val="24"/>
        </w:rPr>
        <w:t>Per “incoerenza direzionale” si intende la circostanza in cui il medesimo modello assegna simultaneamente aspettative positive e negative allo stesso titolo in task differenti svolti all’interno della medesima sessione operativa.</w:t>
      </w:r>
    </w:p>
  </w:footnote>
  <w:footnote w:id="3">
    <w:p w14:paraId="705D1F70" w14:textId="77777777" w:rsidR="0022295B" w:rsidRPr="0022295B" w:rsidRDefault="0022295B" w:rsidP="0022295B">
      <w:pPr>
        <w:jc w:val="both"/>
        <w:rPr>
          <w:rFonts w:ascii="Times New Roman" w:hAnsi="Times New Roman" w:cs="Times New Roman"/>
          <w:sz w:val="24"/>
          <w:szCs w:val="24"/>
        </w:rPr>
      </w:pPr>
      <w:r>
        <w:rPr>
          <w:rStyle w:val="Rimandonotaapidipagina"/>
        </w:rPr>
        <w:footnoteRef/>
      </w:r>
      <w:r>
        <w:t xml:space="preserve"> </w:t>
      </w:r>
      <w:r w:rsidRPr="0022295B">
        <w:rPr>
          <w:rFonts w:ascii="Times New Roman" w:hAnsi="Times New Roman" w:cs="Times New Roman"/>
          <w:sz w:val="24"/>
          <w:szCs w:val="24"/>
        </w:rPr>
        <w:t>Nel corso di diverse sessioni operative, il medesimo modello ha assegnato contemporaneamente aspettative rialziste e ribassiste allo stesso titolo in task differenti, evidenziando significativi problemi di coerenza inferenziale interna.</w:t>
      </w:r>
    </w:p>
    <w:p w14:paraId="224FB7C5" w14:textId="3F8C07D8" w:rsidR="0022295B" w:rsidRDefault="0022295B">
      <w:pPr>
        <w:pStyle w:val="Testonotaapidipagina"/>
      </w:pPr>
    </w:p>
  </w:footnote>
  <w:footnote w:id="4">
    <w:p w14:paraId="6DA55546" w14:textId="77777777" w:rsidR="008A240A" w:rsidRPr="008A240A" w:rsidRDefault="008A240A" w:rsidP="008A240A">
      <w:pPr>
        <w:jc w:val="both"/>
        <w:rPr>
          <w:rFonts w:ascii="Times New Roman" w:hAnsi="Times New Roman" w:cs="Times New Roman"/>
          <w:sz w:val="24"/>
          <w:szCs w:val="24"/>
        </w:rPr>
      </w:pPr>
      <w:r>
        <w:rPr>
          <w:rStyle w:val="Rimandonotaapidipagina"/>
        </w:rPr>
        <w:footnoteRef/>
      </w:r>
      <w:r>
        <w:t xml:space="preserve"> </w:t>
      </w:r>
      <w:r w:rsidRPr="008A240A">
        <w:rPr>
          <w:rFonts w:ascii="Times New Roman" w:hAnsi="Times New Roman" w:cs="Times New Roman"/>
          <w:sz w:val="24"/>
          <w:szCs w:val="24"/>
        </w:rPr>
        <w:t>Le evidenze qualitative riportate in questa sezione derivano dalle annotazioni operative raccolte quotidianamente durante l’intero periodo sperimentale.</w:t>
      </w:r>
    </w:p>
    <w:p w14:paraId="3BB38DE3" w14:textId="7AC55244" w:rsidR="008A240A" w:rsidRDefault="008A240A">
      <w:pPr>
        <w:pStyle w:val="Testonotaapidipagina"/>
      </w:pPr>
    </w:p>
  </w:footnote>
  <w:footnote w:id="5">
    <w:p w14:paraId="4900D93D" w14:textId="47572828" w:rsidR="008A240A" w:rsidRDefault="008A240A">
      <w:pPr>
        <w:pStyle w:val="Testonotaapidipagina"/>
      </w:pPr>
      <w:r>
        <w:rPr>
          <w:rStyle w:val="Rimandonotaapidipagina"/>
        </w:rPr>
        <w:footnoteRef/>
      </w:r>
      <w:r>
        <w:t xml:space="preserve"> </w:t>
      </w:r>
      <w:r w:rsidRPr="008A240A">
        <w:rPr>
          <w:rFonts w:ascii="Times New Roman" w:hAnsi="Times New Roman" w:cs="Times New Roman"/>
          <w:sz w:val="24"/>
          <w:szCs w:val="24"/>
        </w:rPr>
        <w:t>In alcune sessioni operative, il medesimo titolo è stato contemporaneamente classificato come candidato Long e Short in task differenti eseguiti a breve distanza temporale.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61A"/>
    <w:multiLevelType w:val="multilevel"/>
    <w:tmpl w:val="326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4CF6"/>
    <w:multiLevelType w:val="multilevel"/>
    <w:tmpl w:val="A1A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E6BE5"/>
    <w:multiLevelType w:val="multilevel"/>
    <w:tmpl w:val="DD6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04949"/>
    <w:multiLevelType w:val="multilevel"/>
    <w:tmpl w:val="637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A43E4"/>
    <w:multiLevelType w:val="multilevel"/>
    <w:tmpl w:val="AC7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111B0"/>
    <w:multiLevelType w:val="multilevel"/>
    <w:tmpl w:val="69F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D577F"/>
    <w:multiLevelType w:val="multilevel"/>
    <w:tmpl w:val="B47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B0377"/>
    <w:multiLevelType w:val="multilevel"/>
    <w:tmpl w:val="21C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65CE3"/>
    <w:multiLevelType w:val="multilevel"/>
    <w:tmpl w:val="892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51265"/>
    <w:multiLevelType w:val="multilevel"/>
    <w:tmpl w:val="D6D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87614"/>
    <w:multiLevelType w:val="multilevel"/>
    <w:tmpl w:val="569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67D47"/>
    <w:multiLevelType w:val="multilevel"/>
    <w:tmpl w:val="A8F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F7F6B"/>
    <w:multiLevelType w:val="multilevel"/>
    <w:tmpl w:val="F57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059763">
    <w:abstractNumId w:val="0"/>
  </w:num>
  <w:num w:numId="2" w16cid:durableId="1718965769">
    <w:abstractNumId w:val="8"/>
  </w:num>
  <w:num w:numId="3" w16cid:durableId="269507228">
    <w:abstractNumId w:val="9"/>
  </w:num>
  <w:num w:numId="4" w16cid:durableId="532112356">
    <w:abstractNumId w:val="6"/>
  </w:num>
  <w:num w:numId="5" w16cid:durableId="660239195">
    <w:abstractNumId w:val="11"/>
  </w:num>
  <w:num w:numId="6" w16cid:durableId="1282223428">
    <w:abstractNumId w:val="4"/>
  </w:num>
  <w:num w:numId="7" w16cid:durableId="368184450">
    <w:abstractNumId w:val="1"/>
  </w:num>
  <w:num w:numId="8" w16cid:durableId="378012228">
    <w:abstractNumId w:val="12"/>
  </w:num>
  <w:num w:numId="9" w16cid:durableId="1996951326">
    <w:abstractNumId w:val="7"/>
  </w:num>
  <w:num w:numId="10" w16cid:durableId="1187522884">
    <w:abstractNumId w:val="2"/>
  </w:num>
  <w:num w:numId="11" w16cid:durableId="679282834">
    <w:abstractNumId w:val="5"/>
  </w:num>
  <w:num w:numId="12" w16cid:durableId="1928952838">
    <w:abstractNumId w:val="10"/>
  </w:num>
  <w:num w:numId="13" w16cid:durableId="192504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09"/>
    <w:rsid w:val="000127E6"/>
    <w:rsid w:val="00077F12"/>
    <w:rsid w:val="0008678A"/>
    <w:rsid w:val="000B1B45"/>
    <w:rsid w:val="001137BF"/>
    <w:rsid w:val="00134E0B"/>
    <w:rsid w:val="00136800"/>
    <w:rsid w:val="001B3DF3"/>
    <w:rsid w:val="00202F64"/>
    <w:rsid w:val="00212089"/>
    <w:rsid w:val="0022295B"/>
    <w:rsid w:val="0024249D"/>
    <w:rsid w:val="0026641B"/>
    <w:rsid w:val="002955C0"/>
    <w:rsid w:val="002C1416"/>
    <w:rsid w:val="002F5392"/>
    <w:rsid w:val="00353B5D"/>
    <w:rsid w:val="0035794E"/>
    <w:rsid w:val="003642D0"/>
    <w:rsid w:val="003F1C17"/>
    <w:rsid w:val="004022CF"/>
    <w:rsid w:val="00405309"/>
    <w:rsid w:val="004C752A"/>
    <w:rsid w:val="004D23E9"/>
    <w:rsid w:val="005765CE"/>
    <w:rsid w:val="005A7812"/>
    <w:rsid w:val="005B1500"/>
    <w:rsid w:val="005B7B23"/>
    <w:rsid w:val="005D6BC1"/>
    <w:rsid w:val="005F2160"/>
    <w:rsid w:val="00614EC5"/>
    <w:rsid w:val="00683B4D"/>
    <w:rsid w:val="00683FE1"/>
    <w:rsid w:val="00694D0F"/>
    <w:rsid w:val="006E0154"/>
    <w:rsid w:val="006E079F"/>
    <w:rsid w:val="006F6D12"/>
    <w:rsid w:val="00704DBE"/>
    <w:rsid w:val="00726F85"/>
    <w:rsid w:val="00773237"/>
    <w:rsid w:val="007963A3"/>
    <w:rsid w:val="007E251D"/>
    <w:rsid w:val="00826B2D"/>
    <w:rsid w:val="008513D3"/>
    <w:rsid w:val="008A0FA0"/>
    <w:rsid w:val="008A240A"/>
    <w:rsid w:val="008A7574"/>
    <w:rsid w:val="008B51EF"/>
    <w:rsid w:val="008B6FF0"/>
    <w:rsid w:val="0092194D"/>
    <w:rsid w:val="00924CA7"/>
    <w:rsid w:val="009340EA"/>
    <w:rsid w:val="009A3EC0"/>
    <w:rsid w:val="00A207F6"/>
    <w:rsid w:val="00A9380F"/>
    <w:rsid w:val="00AD1358"/>
    <w:rsid w:val="00AD5E12"/>
    <w:rsid w:val="00B01CFF"/>
    <w:rsid w:val="00B02B09"/>
    <w:rsid w:val="00B06D5F"/>
    <w:rsid w:val="00B74297"/>
    <w:rsid w:val="00B961B7"/>
    <w:rsid w:val="00B97593"/>
    <w:rsid w:val="00BD3852"/>
    <w:rsid w:val="00BF04E8"/>
    <w:rsid w:val="00C4779A"/>
    <w:rsid w:val="00C479F0"/>
    <w:rsid w:val="00C73779"/>
    <w:rsid w:val="00C74CBA"/>
    <w:rsid w:val="00CD050A"/>
    <w:rsid w:val="00D157D3"/>
    <w:rsid w:val="00D907D4"/>
    <w:rsid w:val="00D97E63"/>
    <w:rsid w:val="00DA4BD5"/>
    <w:rsid w:val="00DF37E2"/>
    <w:rsid w:val="00E049A9"/>
    <w:rsid w:val="00E20D98"/>
    <w:rsid w:val="00E347B1"/>
    <w:rsid w:val="00E5064B"/>
    <w:rsid w:val="00E54263"/>
    <w:rsid w:val="00E70A7B"/>
    <w:rsid w:val="00EE67C2"/>
    <w:rsid w:val="00F17E90"/>
    <w:rsid w:val="00F71D53"/>
    <w:rsid w:val="00FC291D"/>
    <w:rsid w:val="00FF57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9A19"/>
  <w15:chartTrackingRefBased/>
  <w15:docId w15:val="{48120D3D-C0D1-4C7B-A8EC-D30E8F0A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53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53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53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530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530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530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530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53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53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53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53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53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53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53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53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530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53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530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53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530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5309"/>
    <w:rPr>
      <w:i/>
      <w:iCs/>
      <w:color w:val="404040" w:themeColor="text1" w:themeTint="BF"/>
    </w:rPr>
  </w:style>
  <w:style w:type="paragraph" w:styleId="Paragrafoelenco">
    <w:name w:val="List Paragraph"/>
    <w:basedOn w:val="Normale"/>
    <w:uiPriority w:val="34"/>
    <w:qFormat/>
    <w:rsid w:val="00405309"/>
    <w:pPr>
      <w:ind w:left="720"/>
      <w:contextualSpacing/>
    </w:pPr>
  </w:style>
  <w:style w:type="character" w:styleId="Enfasiintensa">
    <w:name w:val="Intense Emphasis"/>
    <w:basedOn w:val="Carpredefinitoparagrafo"/>
    <w:uiPriority w:val="21"/>
    <w:qFormat/>
    <w:rsid w:val="00405309"/>
    <w:rPr>
      <w:i/>
      <w:iCs/>
      <w:color w:val="0F4761" w:themeColor="accent1" w:themeShade="BF"/>
    </w:rPr>
  </w:style>
  <w:style w:type="paragraph" w:styleId="Citazioneintensa">
    <w:name w:val="Intense Quote"/>
    <w:basedOn w:val="Normale"/>
    <w:next w:val="Normale"/>
    <w:link w:val="CitazioneintensaCarattere"/>
    <w:uiPriority w:val="30"/>
    <w:qFormat/>
    <w:rsid w:val="0040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5309"/>
    <w:rPr>
      <w:i/>
      <w:iCs/>
      <w:color w:val="0F4761" w:themeColor="accent1" w:themeShade="BF"/>
    </w:rPr>
  </w:style>
  <w:style w:type="character" w:styleId="Riferimentointenso">
    <w:name w:val="Intense Reference"/>
    <w:basedOn w:val="Carpredefinitoparagrafo"/>
    <w:uiPriority w:val="32"/>
    <w:qFormat/>
    <w:rsid w:val="00405309"/>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22295B"/>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2295B"/>
    <w:rPr>
      <w:sz w:val="20"/>
      <w:szCs w:val="20"/>
    </w:rPr>
  </w:style>
  <w:style w:type="character" w:styleId="Rimandonotaapidipagina">
    <w:name w:val="footnote reference"/>
    <w:basedOn w:val="Carpredefinitoparagrafo"/>
    <w:uiPriority w:val="99"/>
    <w:semiHidden/>
    <w:unhideWhenUsed/>
    <w:rsid w:val="0022295B"/>
    <w:rPr>
      <w:vertAlign w:val="superscript"/>
    </w:rPr>
  </w:style>
  <w:style w:type="table" w:styleId="Grigliatabella">
    <w:name w:val="Table Grid"/>
    <w:basedOn w:val="Tabellanormale"/>
    <w:uiPriority w:val="39"/>
    <w:rsid w:val="000B1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0B1B45"/>
    <w:pPr>
      <w:spacing w:after="200" w:line="240" w:lineRule="auto"/>
    </w:pPr>
    <w:rPr>
      <w:i/>
      <w:iCs/>
      <w:color w:val="0E2841" w:themeColor="text2"/>
      <w:sz w:val="18"/>
      <w:szCs w:val="18"/>
    </w:rPr>
  </w:style>
  <w:style w:type="paragraph" w:styleId="NormaleWeb">
    <w:name w:val="Normal (Web)"/>
    <w:basedOn w:val="Normale"/>
    <w:uiPriority w:val="99"/>
    <w:unhideWhenUsed/>
    <w:rsid w:val="00C7377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B0FAB-C71A-499A-982F-250853CC4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24</Pages>
  <Words>9639</Words>
  <Characters>54948</Characters>
  <Application>Microsoft Office Word</Application>
  <DocSecurity>0</DocSecurity>
  <Lines>457</Lines>
  <Paragraphs>128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32</cp:revision>
  <dcterms:created xsi:type="dcterms:W3CDTF">2026-05-15T14:47:00Z</dcterms:created>
  <dcterms:modified xsi:type="dcterms:W3CDTF">2026-05-27T10:48:00Z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69fc5589-c8db-4a50-994f-08b7154bbbf0</vt:lpwstr>
  </property>
</Properties>
</file>