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0475" w14:textId="58250665" w:rsidR="00395881" w:rsidRPr="00395881" w:rsidRDefault="00395881" w:rsidP="00395881">
      <w:pPr>
        <w:jc w:val="both"/>
        <w:rPr>
          <w:rFonts w:ascii="Times New Roman" w:hAnsi="Times New Roman" w:cs="Times New Roman"/>
          <w:b/>
          <w:bCs/>
          <w:sz w:val="24"/>
          <w:szCs w:val="24"/>
          <w:lang w:val="en-GB"/>
        </w:rPr>
      </w:pPr>
      <w:proofErr w:type="spellStart"/>
      <w:r w:rsidRPr="00395881">
        <w:rPr>
          <w:rFonts w:ascii="Times New Roman" w:hAnsi="Times New Roman" w:cs="Times New Roman"/>
          <w:b/>
          <w:bCs/>
          <w:sz w:val="24"/>
          <w:szCs w:val="24"/>
          <w:lang w:val="en-GB"/>
        </w:rPr>
        <w:t>Capitolo</w:t>
      </w:r>
      <w:proofErr w:type="spellEnd"/>
      <w:r w:rsidRPr="00395881">
        <w:rPr>
          <w:rFonts w:ascii="Times New Roman" w:hAnsi="Times New Roman" w:cs="Times New Roman"/>
          <w:b/>
          <w:bCs/>
          <w:sz w:val="24"/>
          <w:szCs w:val="24"/>
          <w:lang w:val="en-GB"/>
        </w:rPr>
        <w:t xml:space="preserve"> 5</w:t>
      </w:r>
      <w:r>
        <w:rPr>
          <w:rFonts w:ascii="Times New Roman" w:hAnsi="Times New Roman" w:cs="Times New Roman"/>
          <w:b/>
          <w:bCs/>
          <w:sz w:val="24"/>
          <w:szCs w:val="24"/>
          <w:lang w:val="en-GB"/>
        </w:rPr>
        <w:t xml:space="preserve">. </w:t>
      </w:r>
      <w:r w:rsidRPr="00395881">
        <w:rPr>
          <w:rFonts w:ascii="Times New Roman" w:hAnsi="Times New Roman" w:cs="Times New Roman"/>
          <w:b/>
          <w:bCs/>
          <w:sz w:val="24"/>
          <w:szCs w:val="24"/>
          <w:lang w:val="en-GB"/>
        </w:rPr>
        <w:t>Inferential Biases and Calibration Limits of Large Language Models in Financial Forecasting</w:t>
      </w:r>
    </w:p>
    <w:p w14:paraId="768CDF42" w14:textId="77777777" w:rsidR="00395881" w:rsidRPr="00395881" w:rsidRDefault="00395881" w:rsidP="00395881">
      <w:pPr>
        <w:jc w:val="both"/>
        <w:rPr>
          <w:rFonts w:ascii="Times New Roman" w:hAnsi="Times New Roman" w:cs="Times New Roman"/>
          <w:b/>
          <w:bCs/>
          <w:sz w:val="24"/>
          <w:szCs w:val="24"/>
        </w:rPr>
      </w:pPr>
      <w:r w:rsidRPr="00395881">
        <w:rPr>
          <w:rFonts w:ascii="Times New Roman" w:hAnsi="Times New Roman" w:cs="Times New Roman"/>
          <w:b/>
          <w:bCs/>
          <w:sz w:val="24"/>
          <w:szCs w:val="24"/>
        </w:rPr>
        <w:t xml:space="preserve">5.1 </w:t>
      </w:r>
      <w:proofErr w:type="spellStart"/>
      <w:r w:rsidRPr="00395881">
        <w:rPr>
          <w:rFonts w:ascii="Times New Roman" w:hAnsi="Times New Roman" w:cs="Times New Roman"/>
          <w:b/>
          <w:bCs/>
          <w:sz w:val="24"/>
          <w:szCs w:val="24"/>
        </w:rPr>
        <w:t>Introduction</w:t>
      </w:r>
      <w:proofErr w:type="spellEnd"/>
    </w:p>
    <w:p w14:paraId="155DD041"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L’impiego dei Large Language Models (LLMs) nei contesti di financial forecasting ha registrato una rapida espansione negli ultimi anni, alimentata dalla crescente capacità di tali sistemi di elaborare informazioni testuali complesse e di produrre output linguisticamente coerenti. La letteratura recente ha evidenziato come modelli general-</w:t>
      </w:r>
      <w:proofErr w:type="spellStart"/>
      <w:r w:rsidRPr="00395881">
        <w:rPr>
          <w:rFonts w:ascii="Times New Roman" w:hAnsi="Times New Roman" w:cs="Times New Roman"/>
          <w:sz w:val="24"/>
          <w:szCs w:val="24"/>
        </w:rPr>
        <w:t>purpose</w:t>
      </w:r>
      <w:proofErr w:type="spellEnd"/>
      <w:r w:rsidRPr="00395881">
        <w:rPr>
          <w:rFonts w:ascii="Times New Roman" w:hAnsi="Times New Roman" w:cs="Times New Roman"/>
          <w:sz w:val="24"/>
          <w:szCs w:val="24"/>
        </w:rPr>
        <w:t xml:space="preserve"> quali ChatGPT o Gemini siano in grado di interpretare headline finanziarie, sintetizzare informazioni economiche e formulare valutazioni apparentemente plausibili sulle prospettive di mercato (Lopez-Lira &amp; Tang, 2025). Tuttavia, parallelamente alla crescita delle performance linguistiche, si è sviluppato un ampio dibattito relativo all’affidabilità inferenziale di tali modelli, soprattutto in ambienti ad elevata efficienza informativa come i mercati finanziari.</w:t>
      </w:r>
    </w:p>
    <w:p w14:paraId="4B0B090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A differenza dei tradizionali modelli quantitativi supervisionati, gli LLM non operano attraverso una rappresentazione strutturata dei fondamentali economici o mediante processi espliciti di </w:t>
      </w:r>
      <w:proofErr w:type="spellStart"/>
      <w:r w:rsidRPr="00395881">
        <w:rPr>
          <w:rFonts w:ascii="Times New Roman" w:hAnsi="Times New Roman" w:cs="Times New Roman"/>
          <w:sz w:val="24"/>
          <w:szCs w:val="24"/>
        </w:rPr>
        <w:t>causal</w:t>
      </w:r>
      <w:proofErr w:type="spellEnd"/>
      <w:r w:rsidRPr="00395881">
        <w:rPr>
          <w:rFonts w:ascii="Times New Roman" w:hAnsi="Times New Roman" w:cs="Times New Roman"/>
          <w:sz w:val="24"/>
          <w:szCs w:val="24"/>
        </w:rPr>
        <w:t xml:space="preserve"> </w:t>
      </w:r>
      <w:proofErr w:type="spellStart"/>
      <w:r w:rsidRPr="00395881">
        <w:rPr>
          <w:rFonts w:ascii="Times New Roman" w:hAnsi="Times New Roman" w:cs="Times New Roman"/>
          <w:sz w:val="24"/>
          <w:szCs w:val="24"/>
        </w:rPr>
        <w:t>inference</w:t>
      </w:r>
      <w:proofErr w:type="spellEnd"/>
      <w:r w:rsidRPr="00395881">
        <w:rPr>
          <w:rFonts w:ascii="Times New Roman" w:hAnsi="Times New Roman" w:cs="Times New Roman"/>
          <w:sz w:val="24"/>
          <w:szCs w:val="24"/>
        </w:rPr>
        <w:t>. La loro architettura si basa prevalentemente sulla previsione statistica delle sequenze linguistiche, ottenuta tramite addestramento su corpora testuali di dimensioni estremamente elevate. Sebbene tale approccio consenta la generazione di risposte fluide e contestualmente sofisticate, esso non garantisce necessariamente coerenza logica, affidabilità fattuale o stabilità previsionale.</w:t>
      </w:r>
    </w:p>
    <w:p w14:paraId="01665353"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Nel corso della raccolta empirica sviluppata nei capitoli precedenti sono emerse numerose anomalie operative che sembrano confermare tali criticità teoriche. In particolare, i modelli osservati hanno manifestato frequenti episodi di hallucination numerica, instabilità inferenziale, incoerenza direzionale e violazione dei vincoli logici imposti dai prompt sperimentali. Tali fenomeni si sono verificati non solo tra modelli differenti, ma anche all’interno della medesima architettura conversazionale, suggerendo l’assenza di una rappresentazione stabile del contesto finanziario analizzato.</w:t>
      </w:r>
    </w:p>
    <w:p w14:paraId="4D973B5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Le anomalie osservate assumono particolare rilevanza nel contesto dei mercati finanziari, dove anche minime distorsioni informative possono compromettere l’utilità economica di un segnale previsionale. In ambienti caratterizzati da elevata velocità di incorporazione delle informazioni, la produzione di output plausibili ma inferenzialmente instabili rischia infatti di generare una falsa percezione di accuratezza predittiva. Da questo punto di vista, la sofisticazione linguistica dei modelli non coincide necessariamente con una reale capacità di forecasting.</w:t>
      </w:r>
    </w:p>
    <w:p w14:paraId="3DCC6E8B" w14:textId="0BEBDB05" w:rsidR="00395881" w:rsidRPr="00395881" w:rsidRDefault="007B27A0" w:rsidP="00395881">
      <w:pPr>
        <w:jc w:val="both"/>
        <w:rPr>
          <w:rFonts w:ascii="Times New Roman" w:hAnsi="Times New Roman" w:cs="Times New Roman"/>
          <w:sz w:val="24"/>
          <w:szCs w:val="24"/>
        </w:rPr>
      </w:pPr>
      <w:r>
        <w:rPr>
          <w:rFonts w:ascii="Times New Roman" w:hAnsi="Times New Roman" w:cs="Times New Roman"/>
          <w:sz w:val="24"/>
          <w:szCs w:val="24"/>
        </w:rPr>
        <w:t>Il</w:t>
      </w:r>
      <w:r w:rsidR="00395881" w:rsidRPr="00395881">
        <w:rPr>
          <w:rFonts w:ascii="Times New Roman" w:hAnsi="Times New Roman" w:cs="Times New Roman"/>
          <w:sz w:val="24"/>
          <w:szCs w:val="24"/>
        </w:rPr>
        <w:t xml:space="preserve"> presente capitolo analizza i principali limiti epistemici e inferenziali dei Large Language Models applicati alla previsione finanziaria. L’analisi si concentra in particolare su quattro dimensioni: la natura statistica della generazione linguistica, i fenomeni di hallucination e </w:t>
      </w:r>
      <w:proofErr w:type="spellStart"/>
      <w:r w:rsidR="00395881" w:rsidRPr="00395881">
        <w:rPr>
          <w:rFonts w:ascii="Times New Roman" w:hAnsi="Times New Roman" w:cs="Times New Roman"/>
          <w:sz w:val="24"/>
          <w:szCs w:val="24"/>
        </w:rPr>
        <w:t>instability</w:t>
      </w:r>
      <w:proofErr w:type="spellEnd"/>
      <w:r w:rsidR="00395881" w:rsidRPr="00395881">
        <w:rPr>
          <w:rFonts w:ascii="Times New Roman" w:hAnsi="Times New Roman" w:cs="Times New Roman"/>
          <w:sz w:val="24"/>
          <w:szCs w:val="24"/>
        </w:rPr>
        <w:t xml:space="preserve">, i problemi di miscalibration e </w:t>
      </w:r>
      <w:proofErr w:type="spellStart"/>
      <w:r w:rsidR="00395881" w:rsidRPr="00395881">
        <w:rPr>
          <w:rFonts w:ascii="Times New Roman" w:hAnsi="Times New Roman" w:cs="Times New Roman"/>
          <w:sz w:val="24"/>
          <w:szCs w:val="24"/>
        </w:rPr>
        <w:t>overconfidence</w:t>
      </w:r>
      <w:proofErr w:type="spellEnd"/>
      <w:r w:rsidR="00395881" w:rsidRPr="00395881">
        <w:rPr>
          <w:rFonts w:ascii="Times New Roman" w:hAnsi="Times New Roman" w:cs="Times New Roman"/>
          <w:sz w:val="24"/>
          <w:szCs w:val="24"/>
        </w:rPr>
        <w:t>, e infine le implicazioni di tali criticità per l’effettiva utilizzabilità operativa degli LLM nei mercati finanziari.</w:t>
      </w:r>
    </w:p>
    <w:p w14:paraId="66B9AC0D" w14:textId="77777777" w:rsidR="00395881" w:rsidRPr="00395881" w:rsidRDefault="00395881" w:rsidP="00395881">
      <w:pPr>
        <w:jc w:val="both"/>
        <w:rPr>
          <w:rFonts w:ascii="Times New Roman" w:hAnsi="Times New Roman" w:cs="Times New Roman"/>
          <w:b/>
          <w:bCs/>
          <w:sz w:val="24"/>
          <w:szCs w:val="24"/>
          <w:lang w:val="en-GB"/>
        </w:rPr>
      </w:pPr>
      <w:r w:rsidRPr="00395881">
        <w:rPr>
          <w:rFonts w:ascii="Times New Roman" w:hAnsi="Times New Roman" w:cs="Times New Roman"/>
          <w:b/>
          <w:bCs/>
          <w:sz w:val="24"/>
          <w:szCs w:val="24"/>
          <w:lang w:val="en-GB"/>
        </w:rPr>
        <w:t>5.2 Statistical Language Generation and Epistemic Limits</w:t>
      </w:r>
    </w:p>
    <w:p w14:paraId="7C0A5B97" w14:textId="7F827329"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Una parte rilevante della letteratura critica sui Large Language Models sostiene che tali sistemi, nonostante l’elevato livello di sofisticazione linguistica raggiunto, non sviluppino una reale comprensione semantica del contenuto generato. Secondo Bender et al. (2021), gli LLM operano prevalentemente attraverso la modellizzazione statistica delle sequenze testuali, apprendendo correlazioni probabilistiche tra token piuttosto che relazioni causali o strutture concettuali profonde. Gli autori definiscono tali modelli “</w:t>
      </w:r>
      <w:proofErr w:type="spellStart"/>
      <w:r w:rsidRPr="00395881">
        <w:rPr>
          <w:rFonts w:ascii="Times New Roman" w:hAnsi="Times New Roman" w:cs="Times New Roman"/>
          <w:sz w:val="24"/>
          <w:szCs w:val="24"/>
        </w:rPr>
        <w:t>stochastic</w:t>
      </w:r>
      <w:proofErr w:type="spellEnd"/>
      <w:r w:rsidRPr="00395881">
        <w:rPr>
          <w:rFonts w:ascii="Times New Roman" w:hAnsi="Times New Roman" w:cs="Times New Roman"/>
          <w:sz w:val="24"/>
          <w:szCs w:val="24"/>
        </w:rPr>
        <w:t xml:space="preserve"> </w:t>
      </w:r>
      <w:proofErr w:type="spellStart"/>
      <w:r w:rsidRPr="00395881">
        <w:rPr>
          <w:rFonts w:ascii="Times New Roman" w:hAnsi="Times New Roman" w:cs="Times New Roman"/>
          <w:sz w:val="24"/>
          <w:szCs w:val="24"/>
        </w:rPr>
        <w:t>parrots</w:t>
      </w:r>
      <w:proofErr w:type="spellEnd"/>
      <w:r w:rsidRPr="00395881">
        <w:rPr>
          <w:rFonts w:ascii="Times New Roman" w:hAnsi="Times New Roman" w:cs="Times New Roman"/>
          <w:sz w:val="24"/>
          <w:szCs w:val="24"/>
        </w:rPr>
        <w:t xml:space="preserve">”, evidenziando come la generazione linguistica </w:t>
      </w:r>
      <w:r w:rsidRPr="00395881">
        <w:rPr>
          <w:rFonts w:ascii="Times New Roman" w:hAnsi="Times New Roman" w:cs="Times New Roman"/>
          <w:sz w:val="24"/>
          <w:szCs w:val="24"/>
        </w:rPr>
        <w:lastRenderedPageBreak/>
        <w:t>avvenga tramite ricombinazione statistica di pattern osservati durante il training, senza necessariamente implicare comprensione del significato economico o logico delle affermazioni prodotte.</w:t>
      </w:r>
      <w:r>
        <w:rPr>
          <w:rStyle w:val="Rimandonotaapidipagina"/>
          <w:rFonts w:ascii="Times New Roman" w:hAnsi="Times New Roman" w:cs="Times New Roman"/>
          <w:sz w:val="24"/>
          <w:szCs w:val="24"/>
        </w:rPr>
        <w:footnoteReference w:id="1"/>
      </w:r>
    </w:p>
    <w:p w14:paraId="3468AD23"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In questo contesto, la coerenza sintattica e la fluidità narrativa non rappresentano una prova di affidabilità inferenziale. Al contrario, la capacità dei modelli di produrre testi altamente plausibili può aumentare il rischio di sovrastimare la qualità cognitiva dell’output. Tale aspetto assume particolare rilevanza in ambito finanziario, dove gli utenti tendono ad associare precisione linguistica e competenza analitica.</w:t>
      </w:r>
    </w:p>
    <w:p w14:paraId="2EC6E62B" w14:textId="28B3671E" w:rsidR="00395881" w:rsidRPr="00395881" w:rsidRDefault="007B27A0" w:rsidP="00395881">
      <w:pPr>
        <w:jc w:val="both"/>
        <w:rPr>
          <w:rFonts w:ascii="Times New Roman" w:hAnsi="Times New Roman" w:cs="Times New Roman"/>
          <w:sz w:val="24"/>
          <w:szCs w:val="24"/>
        </w:rPr>
      </w:pPr>
      <w:r>
        <w:rPr>
          <w:rFonts w:ascii="Times New Roman" w:hAnsi="Times New Roman" w:cs="Times New Roman"/>
          <w:sz w:val="24"/>
          <w:szCs w:val="24"/>
        </w:rPr>
        <w:t>I risultati raccolti</w:t>
      </w:r>
      <w:r w:rsidR="00395881" w:rsidRPr="00395881">
        <w:rPr>
          <w:rFonts w:ascii="Times New Roman" w:hAnsi="Times New Roman" w:cs="Times New Roman"/>
          <w:sz w:val="24"/>
          <w:szCs w:val="24"/>
        </w:rPr>
        <w:t xml:space="preserve"> nel corso dell’esperimento sembrano coerenti con questa interpretazione teorica. I modelli osservati hanno frequentemente prodotto risposte formalmente convincenti ma caratterizzate da errori fattuali, incoerenze direzionali o stime numeriche incompatibili con i dati di mercato correnti. In diversi casi, le previsioni di prezzo risultavano disancorate dai livelli effettivamente osservabili sul mercato, suggerendo l’utilizzo di riferimenti temporali obsoleti oppure la generazione di valori puramente plausibili dal punto di vista linguistico ma privi di grounding empirico.</w:t>
      </w:r>
    </w:p>
    <w:p w14:paraId="1F78B9EB" w14:textId="0D70189E"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Tali anomalie sono emerse soprattutto nei task che richiedevano la produzione di stime puntuali di prezzo. Mentre le attività di classificazione direzionale o ranking relativo mostravano una discreta stabilità formale, la richiesta di valori numerici specifici tendeva ad amplificare i fenomeni di </w:t>
      </w:r>
      <w:r w:rsidR="007B27A0">
        <w:rPr>
          <w:rFonts w:ascii="Times New Roman" w:hAnsi="Times New Roman" w:cs="Times New Roman"/>
          <w:sz w:val="24"/>
          <w:szCs w:val="24"/>
        </w:rPr>
        <w:t>instabilità</w:t>
      </w:r>
      <w:r w:rsidRPr="00395881">
        <w:rPr>
          <w:rFonts w:ascii="Times New Roman" w:hAnsi="Times New Roman" w:cs="Times New Roman"/>
          <w:sz w:val="24"/>
          <w:szCs w:val="24"/>
        </w:rPr>
        <w:t>. Questo comportamento appare coerente con la natura probabilistica degli LLM: la generazione di testo qualitativo consente infatti una maggiore flessibilità narrativa, mentre la produzione di numeri esatti richiede una precisione informativa</w:t>
      </w:r>
      <w:r w:rsidR="007B27A0">
        <w:rPr>
          <w:rFonts w:ascii="Times New Roman" w:hAnsi="Times New Roman" w:cs="Times New Roman"/>
          <w:sz w:val="24"/>
          <w:szCs w:val="24"/>
        </w:rPr>
        <w:t xml:space="preserve">, </w:t>
      </w:r>
      <w:r w:rsidRPr="00395881">
        <w:rPr>
          <w:rFonts w:ascii="Times New Roman" w:hAnsi="Times New Roman" w:cs="Times New Roman"/>
          <w:sz w:val="24"/>
          <w:szCs w:val="24"/>
        </w:rPr>
        <w:t xml:space="preserve">che </w:t>
      </w:r>
      <w:r w:rsidR="007B27A0">
        <w:rPr>
          <w:rFonts w:ascii="Times New Roman" w:hAnsi="Times New Roman" w:cs="Times New Roman"/>
          <w:sz w:val="24"/>
          <w:szCs w:val="24"/>
        </w:rPr>
        <w:t>ad oggi</w:t>
      </w:r>
      <w:r w:rsidRPr="00395881">
        <w:rPr>
          <w:rFonts w:ascii="Times New Roman" w:hAnsi="Times New Roman" w:cs="Times New Roman"/>
          <w:sz w:val="24"/>
          <w:szCs w:val="24"/>
        </w:rPr>
        <w:t xml:space="preserve"> non sembrano possedere in modo sistematico.</w:t>
      </w:r>
    </w:p>
    <w:p w14:paraId="75812BFB"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Un ulteriore elemento rilevante riguarda la dipendenza dell’output dal contesto conversazionale e dalle condizioni operative della sessione. Nel corso della raccolta dati sono state osservate differenze sostanziali tra versioni loggate e non loggate dello stesso modello, così come divergenze legate all’utilizzo di interfacce desktop o mobile. In alcuni casi, identici prompt producevano risultati radicalmente differenti a distanza di pochi minuti o tra sessioni consecutive. Questo fenomeno suggerisce che il comportamento dei modelli non dipenda esclusivamente dal contenuto semantico dell’input, ma anche da variabili interne difficilmente osservabili, quali policy di sicurezza, configurazioni di sistema o dinamiche stocastiche di generazione.</w:t>
      </w:r>
    </w:p>
    <w:p w14:paraId="7781448D"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Particolarmente significativa appare inoltre la fragilità della memoria conversazionale. In diverse occasioni, i modelli hanno mostrato incapacità di mantenere coerenza tra task sequenziali appartenenti alla stessa sessione, richiedendo nuovamente informazioni già fornite oppure perdendo il collegamento logico tra prompt consecutivi. Tale “amnesia contestuale” rappresenta un limite operativo rilevante per applicazioni finanziarie strutturate, nelle quali la continuità informativa costituisce una componente essenziale del processo decisionale.</w:t>
      </w:r>
    </w:p>
    <w:p w14:paraId="34083657" w14:textId="77777777" w:rsidR="00395881" w:rsidRPr="00395881" w:rsidRDefault="00395881" w:rsidP="00395881">
      <w:pPr>
        <w:jc w:val="both"/>
        <w:rPr>
          <w:rFonts w:ascii="Times New Roman" w:hAnsi="Times New Roman" w:cs="Times New Roman"/>
          <w:b/>
          <w:bCs/>
          <w:sz w:val="24"/>
          <w:szCs w:val="24"/>
        </w:rPr>
      </w:pPr>
      <w:r w:rsidRPr="00395881">
        <w:rPr>
          <w:rFonts w:ascii="Times New Roman" w:hAnsi="Times New Roman" w:cs="Times New Roman"/>
          <w:b/>
          <w:bCs/>
          <w:sz w:val="24"/>
          <w:szCs w:val="24"/>
        </w:rPr>
        <w:t xml:space="preserve">5.3 Hallucinations and </w:t>
      </w:r>
      <w:proofErr w:type="spellStart"/>
      <w:r w:rsidRPr="00395881">
        <w:rPr>
          <w:rFonts w:ascii="Times New Roman" w:hAnsi="Times New Roman" w:cs="Times New Roman"/>
          <w:b/>
          <w:bCs/>
          <w:sz w:val="24"/>
          <w:szCs w:val="24"/>
        </w:rPr>
        <w:t>Inferential</w:t>
      </w:r>
      <w:proofErr w:type="spellEnd"/>
      <w:r w:rsidRPr="00395881">
        <w:rPr>
          <w:rFonts w:ascii="Times New Roman" w:hAnsi="Times New Roman" w:cs="Times New Roman"/>
          <w:b/>
          <w:bCs/>
          <w:sz w:val="24"/>
          <w:szCs w:val="24"/>
        </w:rPr>
        <w:t xml:space="preserve"> </w:t>
      </w:r>
      <w:proofErr w:type="spellStart"/>
      <w:r w:rsidRPr="00395881">
        <w:rPr>
          <w:rFonts w:ascii="Times New Roman" w:hAnsi="Times New Roman" w:cs="Times New Roman"/>
          <w:b/>
          <w:bCs/>
          <w:sz w:val="24"/>
          <w:szCs w:val="24"/>
        </w:rPr>
        <w:t>Instability</w:t>
      </w:r>
      <w:proofErr w:type="spellEnd"/>
    </w:p>
    <w:p w14:paraId="3A19820B"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Uno dei principali limiti operativi dei Large Language Models riguarda la tendenza a produrre informazioni fattualmente errate o logicamente incoerenti, fenomeno comunemente definito nella </w:t>
      </w:r>
      <w:r w:rsidRPr="00395881">
        <w:rPr>
          <w:rFonts w:ascii="Times New Roman" w:hAnsi="Times New Roman" w:cs="Times New Roman"/>
          <w:sz w:val="24"/>
          <w:szCs w:val="24"/>
        </w:rPr>
        <w:lastRenderedPageBreak/>
        <w:t xml:space="preserve">letteratura come hallucination. Secondo </w:t>
      </w:r>
      <w:proofErr w:type="spellStart"/>
      <w:r w:rsidRPr="00395881">
        <w:rPr>
          <w:rFonts w:ascii="Times New Roman" w:hAnsi="Times New Roman" w:cs="Times New Roman"/>
          <w:sz w:val="24"/>
          <w:szCs w:val="24"/>
        </w:rPr>
        <w:t>Ji</w:t>
      </w:r>
      <w:proofErr w:type="spellEnd"/>
      <w:r w:rsidRPr="00395881">
        <w:rPr>
          <w:rFonts w:ascii="Times New Roman" w:hAnsi="Times New Roman" w:cs="Times New Roman"/>
          <w:sz w:val="24"/>
          <w:szCs w:val="24"/>
        </w:rPr>
        <w:t xml:space="preserve"> et al. (2023), le hallucinations possono essere definite come contenuti generati dal modello che risultano non supportati dai dati disponibili oppure in contraddizione con il contesto reale di riferimento. In ambito finanziario, tale problematica assume particolare rilevanza poiché l’affidabilità delle informazioni costituisce una condizione essenziale per la validità di qualsiasi processo di forecasting o asset </w:t>
      </w:r>
      <w:proofErr w:type="spellStart"/>
      <w:r w:rsidRPr="00395881">
        <w:rPr>
          <w:rFonts w:ascii="Times New Roman" w:hAnsi="Times New Roman" w:cs="Times New Roman"/>
          <w:sz w:val="24"/>
          <w:szCs w:val="24"/>
        </w:rPr>
        <w:t>allocation</w:t>
      </w:r>
      <w:proofErr w:type="spellEnd"/>
      <w:r w:rsidRPr="00395881">
        <w:rPr>
          <w:rFonts w:ascii="Times New Roman" w:hAnsi="Times New Roman" w:cs="Times New Roman"/>
          <w:sz w:val="24"/>
          <w:szCs w:val="24"/>
        </w:rPr>
        <w:t>.</w:t>
      </w:r>
    </w:p>
    <w:p w14:paraId="7F9EC30C" w14:textId="7390F7F1"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Le evidenze qualitative raccolte nel corso dell’esperimento mostrano come tali fenomeni non rappresentino anomalie episodiche, bensì caratteristiche ricorrenti del comportamento dei modelli osservati. Una prima categoria di criticità riguarda le cosiddette hallucinations numeriche, ovvero la produzione di stime di prezzo incompatibili con i livelli correnti di mercato. In diverse sessioni sperimentali, alcuni modelli hanno generato valutazioni completamente disancorate dai prezzi effettivi dei titoli analizzati, producendo target incompatibili con i fondamentali osservabili o con le quotazioni correnti. In particolare, la versione non loggata di ChatGPT ha manifestato, in alcune fasi dell’esperimento, l’utilizzo apparente di riferimenti storici obsoleti, generando valutazioni estremamente distanti dai livelli di mercato correnti.</w:t>
      </w:r>
      <w:r>
        <w:rPr>
          <w:rStyle w:val="Rimandonotaapidipagina"/>
          <w:rFonts w:ascii="Times New Roman" w:hAnsi="Times New Roman" w:cs="Times New Roman"/>
          <w:sz w:val="24"/>
          <w:szCs w:val="24"/>
        </w:rPr>
        <w:footnoteReference w:id="2"/>
      </w:r>
    </w:p>
    <w:p w14:paraId="08ADA883"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Tale fenomeno appare particolarmente significativo poiché non riguarda semplici errori marginali di forecasting, ma vere e proprie rotture del legame informativo con il contesto reale. In un ambiente finanziario ad elevata efficienza informativa, l’utilizzo di dati temporaneamente disallineati può compromettere integralmente la validità operativa del segnale generato.</w:t>
      </w:r>
    </w:p>
    <w:p w14:paraId="09265487" w14:textId="4739CE6E"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Accanto alle hallucinations numeriche, l’esperimento ha evidenziato numerose violazioni del perimetro informativo richiesto dai prompt. Nonostante l’inclusione esplicita dell’istruzione “Use only official S&amp;P 500 members”, i modelli hanno frequentemente selezionato titoli non appartenenti all’universo investibile definito. Sono stati osservati sia casi di inclusione di società mai appartenute all’indice, sia episodi più sofisticati di “zombie </w:t>
      </w:r>
      <w:proofErr w:type="spellStart"/>
      <w:r w:rsidRPr="00395881">
        <w:rPr>
          <w:rFonts w:ascii="Times New Roman" w:hAnsi="Times New Roman" w:cs="Times New Roman"/>
          <w:sz w:val="24"/>
          <w:szCs w:val="24"/>
        </w:rPr>
        <w:t>constituents</w:t>
      </w:r>
      <w:proofErr w:type="spellEnd"/>
      <w:r w:rsidRPr="00395881">
        <w:rPr>
          <w:rFonts w:ascii="Times New Roman" w:hAnsi="Times New Roman" w:cs="Times New Roman"/>
          <w:sz w:val="24"/>
          <w:szCs w:val="24"/>
        </w:rPr>
        <w:t>”, ovvero aziende precedentemente incluse nell’S&amp;P 500 ma rimosse prima della finestra temporale analizzata.</w:t>
      </w:r>
      <w:r>
        <w:rPr>
          <w:rStyle w:val="Rimandonotaapidipagina"/>
          <w:rFonts w:ascii="Times New Roman" w:hAnsi="Times New Roman" w:cs="Times New Roman"/>
          <w:sz w:val="24"/>
          <w:szCs w:val="24"/>
        </w:rPr>
        <w:footnoteReference w:id="3"/>
      </w:r>
    </w:p>
    <w:p w14:paraId="1E85759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Questa tipologia di errore risulta particolarmente interessante sotto il profilo teorico, poiché suggerisce che i modelli non operino attraverso una verifica aggiornata e strutturata dell’informazione, ma tramite associazioni probabilistiche derivate dalla frequenza storica dei pattern testuali presenti nei dataset di addestramento. Titoli caratterizzati da elevata rilevanza mediatica o da forte presenza storica nelle discussioni finanziarie tendono pertanto a riemergere nelle risposte anche in assenza dei requisiti richiesti dal contesto operativo.</w:t>
      </w:r>
    </w:p>
    <w:p w14:paraId="00FD04B1"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Ancora più rilevanti appaiono le forme di incoerenza inferenziale osservate all’interno delle medesime sessioni conversazionali. In numerose occasioni, infatti, i modelli hanno attribuito simultaneamente segnali direzionali opposti allo stesso titolo nell’arco di pochi task consecutivi. Alcuni asset venivano classificati come candidati alla sovraperformance nel task Long e, pochi istanti dopo, inseriti nel portafoglio Short oppure associati a un rendimento negativo nel prompt successivo dedicato alle stime di prezzo. In altri casi, il ranking relativo risultava incompatibile con il segno matematico del rendimento atteso: titoli inseriti tra le migliori opportunità Long venivano accompagnati da aspettative negative sul prezzo di chiusura.</w:t>
      </w:r>
    </w:p>
    <w:p w14:paraId="05A99DD2"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lastRenderedPageBreak/>
        <w:t>Tali fenomeni sembrano eccedere il concetto tradizionale di hallucination intesa come semplice errore fattuale isolato. Più che singole inesattezze, le evidenze raccolte suggeriscono l’esistenza di una forma più profonda di instabilità inferenziale, nella quale il modello fatica a mantenere coerenza logica tra task consecutivi appartenenti alla stessa struttura decisionale. In questo senso, la criticità non riguarda soltanto l’accuratezza dell’informazione prodotta, ma la capacità stessa del modello di preservare una rappresentazione stabile del contesto analitico.</w:t>
      </w:r>
    </w:p>
    <w:p w14:paraId="57183883"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L’instabilità osservata non si limita alle singole sessioni, ma emerge anche nel confronto cross-model e cross-</w:t>
      </w:r>
      <w:proofErr w:type="spellStart"/>
      <w:r w:rsidRPr="00395881">
        <w:rPr>
          <w:rFonts w:ascii="Times New Roman" w:hAnsi="Times New Roman" w:cs="Times New Roman"/>
          <w:sz w:val="24"/>
          <w:szCs w:val="24"/>
        </w:rPr>
        <w:t>platform</w:t>
      </w:r>
      <w:proofErr w:type="spellEnd"/>
      <w:r w:rsidRPr="00395881">
        <w:rPr>
          <w:rFonts w:ascii="Times New Roman" w:hAnsi="Times New Roman" w:cs="Times New Roman"/>
          <w:sz w:val="24"/>
          <w:szCs w:val="24"/>
        </w:rPr>
        <w:t>. Prompt identici, somministrati simultaneamente a modelli differenti o a diverse configurazioni dello stesso provider, hanno generato output radicalmente divergenti sotto il profilo del sentiment, della selezione settoriale e delle aspettative di mercato. In alcuni casi, persino le versioni loggata e non loggata dello stesso modello hanno restituito visioni opposte sul medesimo titolo o sull’intero indice S&amp;P 500.</w:t>
      </w:r>
    </w:p>
    <w:p w14:paraId="573CD9E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Questa elevata variabilità suggerisce che gli LLM non estraggano una rappresentazione univoca del contesto finanziario, ma producano interpretazioni probabilistiche altamente sensibili alle condizioni operative della sessione. L’output appare pertanto influenzato non solo dall’input fornito dall’utente, ma anche da fattori interni difficilmente osservabili, quali policy di </w:t>
      </w:r>
      <w:proofErr w:type="spellStart"/>
      <w:r w:rsidRPr="00395881">
        <w:rPr>
          <w:rFonts w:ascii="Times New Roman" w:hAnsi="Times New Roman" w:cs="Times New Roman"/>
          <w:sz w:val="24"/>
          <w:szCs w:val="24"/>
        </w:rPr>
        <w:t>alignment</w:t>
      </w:r>
      <w:proofErr w:type="spellEnd"/>
      <w:r w:rsidRPr="00395881">
        <w:rPr>
          <w:rFonts w:ascii="Times New Roman" w:hAnsi="Times New Roman" w:cs="Times New Roman"/>
          <w:sz w:val="24"/>
          <w:szCs w:val="24"/>
        </w:rPr>
        <w:t>, configurazioni temporanee del sistema o dinamiche stocastiche di campionamento.</w:t>
      </w:r>
    </w:p>
    <w:p w14:paraId="54806B7A"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Un ulteriore elemento metodologico rilevante riguarda la relazione tra guardrails di sicurezza e stabilità dell’output. Nel corso dell’esperimento, le versioni più avanzate dei modelli hanno frequentemente opposto rifiuti operativi, disclaimer etici o blocchi parziali alla richiesta di formulare previsioni finanziarie specifiche. Tuttavia, tali restrizioni risultavano spesso superabili mediante semplici reiterazioni del prompt o tramite l’istruzione “try again”. Questo comportamento suggerisce che i sistemi di </w:t>
      </w:r>
      <w:proofErr w:type="spellStart"/>
      <w:r w:rsidRPr="00395881">
        <w:rPr>
          <w:rFonts w:ascii="Times New Roman" w:hAnsi="Times New Roman" w:cs="Times New Roman"/>
          <w:sz w:val="24"/>
          <w:szCs w:val="24"/>
        </w:rPr>
        <w:t>alignment</w:t>
      </w:r>
      <w:proofErr w:type="spellEnd"/>
      <w:r w:rsidRPr="00395881">
        <w:rPr>
          <w:rFonts w:ascii="Times New Roman" w:hAnsi="Times New Roman" w:cs="Times New Roman"/>
          <w:sz w:val="24"/>
          <w:szCs w:val="24"/>
        </w:rPr>
        <w:t xml:space="preserve"> non operino attraverso una struttura rigidamente deterministica, ma piuttosto tramite </w:t>
      </w:r>
      <w:proofErr w:type="spellStart"/>
      <w:r w:rsidRPr="00395881">
        <w:rPr>
          <w:rFonts w:ascii="Times New Roman" w:hAnsi="Times New Roman" w:cs="Times New Roman"/>
          <w:sz w:val="24"/>
          <w:szCs w:val="24"/>
        </w:rPr>
        <w:t>layer</w:t>
      </w:r>
      <w:proofErr w:type="spellEnd"/>
      <w:r w:rsidRPr="00395881">
        <w:rPr>
          <w:rFonts w:ascii="Times New Roman" w:hAnsi="Times New Roman" w:cs="Times New Roman"/>
          <w:sz w:val="24"/>
          <w:szCs w:val="24"/>
        </w:rPr>
        <w:t xml:space="preserve"> probabilistici suscettibili di oscillazioni contestuali.</w:t>
      </w:r>
    </w:p>
    <w:p w14:paraId="5DA80B20"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Dal punto di vista operativo, tali dinamiche rappresentano un limite significativo per l’utilizzo degli LLM in applicazioni finanziarie sistematiche. La presenza simultanea di hallucinations, incoerenze direzionali e </w:t>
      </w:r>
      <w:proofErr w:type="spellStart"/>
      <w:r w:rsidRPr="00395881">
        <w:rPr>
          <w:rFonts w:ascii="Times New Roman" w:hAnsi="Times New Roman" w:cs="Times New Roman"/>
          <w:sz w:val="24"/>
          <w:szCs w:val="24"/>
        </w:rPr>
        <w:t>instability</w:t>
      </w:r>
      <w:proofErr w:type="spellEnd"/>
      <w:r w:rsidRPr="00395881">
        <w:rPr>
          <w:rFonts w:ascii="Times New Roman" w:hAnsi="Times New Roman" w:cs="Times New Roman"/>
          <w:sz w:val="24"/>
          <w:szCs w:val="24"/>
        </w:rPr>
        <w:t xml:space="preserve"> contestuale riduce infatti la replicabilità del processo decisionale e compromette la robustezza economica dei segnali generati.</w:t>
      </w:r>
    </w:p>
    <w:p w14:paraId="380FFED6" w14:textId="77777777" w:rsidR="00395881" w:rsidRPr="00395881" w:rsidRDefault="00395881" w:rsidP="00395881">
      <w:pPr>
        <w:jc w:val="both"/>
        <w:rPr>
          <w:rFonts w:ascii="Times New Roman" w:hAnsi="Times New Roman" w:cs="Times New Roman"/>
          <w:b/>
          <w:bCs/>
          <w:sz w:val="24"/>
          <w:szCs w:val="24"/>
        </w:rPr>
      </w:pPr>
      <w:r w:rsidRPr="00395881">
        <w:rPr>
          <w:rFonts w:ascii="Times New Roman" w:hAnsi="Times New Roman" w:cs="Times New Roman"/>
          <w:b/>
          <w:bCs/>
          <w:sz w:val="24"/>
          <w:szCs w:val="24"/>
        </w:rPr>
        <w:t xml:space="preserve">5.4 Miscalibration and </w:t>
      </w:r>
      <w:proofErr w:type="spellStart"/>
      <w:r w:rsidRPr="00395881">
        <w:rPr>
          <w:rFonts w:ascii="Times New Roman" w:hAnsi="Times New Roman" w:cs="Times New Roman"/>
          <w:b/>
          <w:bCs/>
          <w:sz w:val="24"/>
          <w:szCs w:val="24"/>
        </w:rPr>
        <w:t>Overconfidence</w:t>
      </w:r>
      <w:proofErr w:type="spellEnd"/>
    </w:p>
    <w:p w14:paraId="58B02F68" w14:textId="70659119"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Oltre ai fenomeni di hallucination e </w:t>
      </w:r>
      <w:proofErr w:type="spellStart"/>
      <w:r w:rsidRPr="00395881">
        <w:rPr>
          <w:rFonts w:ascii="Times New Roman" w:hAnsi="Times New Roman" w:cs="Times New Roman"/>
          <w:sz w:val="24"/>
          <w:szCs w:val="24"/>
        </w:rPr>
        <w:t>instability</w:t>
      </w:r>
      <w:proofErr w:type="spellEnd"/>
      <w:r w:rsidRPr="00395881">
        <w:rPr>
          <w:rFonts w:ascii="Times New Roman" w:hAnsi="Times New Roman" w:cs="Times New Roman"/>
          <w:sz w:val="24"/>
          <w:szCs w:val="24"/>
        </w:rPr>
        <w:t xml:space="preserve"> inferenziale, un’ulteriore criticità strutturale dei Large Language Models riguarda il problema della miscalibration probabilistica. Nella letteratura sulle reti neurali, la </w:t>
      </w:r>
      <w:proofErr w:type="spellStart"/>
      <w:r w:rsidRPr="00395881">
        <w:rPr>
          <w:rFonts w:ascii="Times New Roman" w:hAnsi="Times New Roman" w:cs="Times New Roman"/>
          <w:sz w:val="24"/>
          <w:szCs w:val="24"/>
        </w:rPr>
        <w:t>calibration</w:t>
      </w:r>
      <w:proofErr w:type="spellEnd"/>
      <w:r w:rsidRPr="00395881">
        <w:rPr>
          <w:rFonts w:ascii="Times New Roman" w:hAnsi="Times New Roman" w:cs="Times New Roman"/>
          <w:sz w:val="24"/>
          <w:szCs w:val="24"/>
        </w:rPr>
        <w:t xml:space="preserve"> misura il grado di coerenza tra la confidenza espressa dal modello e la reale probabilità di correttezza delle sue previsioni. Secondo Guo et al. (2017), un modello può essere considerato perfettamente calibrato quando eventi associati a una probabilità pari a </w:t>
      </w:r>
      <m:oMath>
        <m:r>
          <w:rPr>
            <w:rFonts w:ascii="Cambria Math" w:hAnsi="Cambria Math" w:cs="Times New Roman"/>
            <w:sz w:val="24"/>
            <w:szCs w:val="24"/>
          </w:rPr>
          <m:t xml:space="preserve">p </m:t>
        </m:r>
      </m:oMath>
      <w:r w:rsidRPr="00395881">
        <w:rPr>
          <w:rFonts w:ascii="Times New Roman" w:hAnsi="Times New Roman" w:cs="Times New Roman"/>
          <w:sz w:val="24"/>
          <w:szCs w:val="24"/>
        </w:rPr>
        <w:t xml:space="preserve">si verificano effettivamente con frequenza prossima a </w:t>
      </w:r>
      <m:oMath>
        <m:r>
          <w:rPr>
            <w:rFonts w:ascii="Cambria Math" w:hAnsi="Cambria Math" w:cs="Times New Roman"/>
            <w:sz w:val="24"/>
            <w:szCs w:val="24"/>
          </w:rPr>
          <m:t>p</m:t>
        </m:r>
      </m:oMath>
      <w:r w:rsidRPr="00395881">
        <w:rPr>
          <w:rFonts w:ascii="Times New Roman" w:hAnsi="Times New Roman" w:cs="Times New Roman"/>
          <w:sz w:val="24"/>
          <w:szCs w:val="24"/>
        </w:rPr>
        <w:t>. In presenza di overconfidence, invece, il modello tende ad assegnare livelli di sicurezza superiori rispetto alla propria accuratezza reale.</w:t>
      </w:r>
    </w:p>
    <w:p w14:paraId="7A17968C"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Sebbene gli LLM utilizzati nell’esperimento non restituiscano esplicitamente distribuzioni probabilistiche associate alle previsioni formulate, le evidenze raccolte suggeriscono la presenza di una marcata forma di </w:t>
      </w:r>
      <w:proofErr w:type="spellStart"/>
      <w:r w:rsidRPr="00395881">
        <w:rPr>
          <w:rFonts w:ascii="Times New Roman" w:hAnsi="Times New Roman" w:cs="Times New Roman"/>
          <w:sz w:val="24"/>
          <w:szCs w:val="24"/>
        </w:rPr>
        <w:t>overconfidence</w:t>
      </w:r>
      <w:proofErr w:type="spellEnd"/>
      <w:r w:rsidRPr="00395881">
        <w:rPr>
          <w:rFonts w:ascii="Times New Roman" w:hAnsi="Times New Roman" w:cs="Times New Roman"/>
          <w:sz w:val="24"/>
          <w:szCs w:val="24"/>
        </w:rPr>
        <w:t xml:space="preserve"> implicita. I modelli tendevano infatti a produrre output altamente assertivi, caratterizzati da classificazioni nette, ranking ordinati e stime numeriche estremamente precise, anche in assenza di una capacità predittiva statisticamente robusta.</w:t>
      </w:r>
    </w:p>
    <w:p w14:paraId="75F77D0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Tale fenomeno appare particolarmente evidente nei task di stock picking. Le risposte generate dai modelli non assumevano quasi mai una forma probabilistica o dubitativa, ma venivano formulate </w:t>
      </w:r>
      <w:r w:rsidRPr="00395881">
        <w:rPr>
          <w:rFonts w:ascii="Times New Roman" w:hAnsi="Times New Roman" w:cs="Times New Roman"/>
          <w:sz w:val="24"/>
          <w:szCs w:val="24"/>
        </w:rPr>
        <w:lastRenderedPageBreak/>
        <w:t>attraverso strutture linguistiche che implicavano elevata sicurezza inferenziale. La presenza di ranking espliciti, target price puntuali e indicazioni direzionali prive di esitazioni contribuiva a trasmettere un’impressione di affidabilità significativamente superiore rispetto all’effettiva stabilità osservata nei risultati empirici.</w:t>
      </w:r>
    </w:p>
    <w:p w14:paraId="328485A2"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Questo aspetto assume particolare rilevanza nel contesto dei mercati finanziari, dove la percezione di sicurezza può influenzare direttamente il comportamento decisionale degli operatori. Un modello linguisticamente sofisticato tende infatti a generare un elevato livello di trust cognitivo, inducendo l’utente ad associare precisione formale e accuratezza previsionale. Tuttavia, i risultati discussi nei capitoli precedenti mostrano come tale percezione non trovi necessariamente riscontro nella qualità effettiva delle previsioni generate.</w:t>
      </w:r>
    </w:p>
    <w:p w14:paraId="210756B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In diversi casi, infatti, i modelli producevano simultaneamente:</w:t>
      </w:r>
    </w:p>
    <w:p w14:paraId="31969388" w14:textId="77777777" w:rsidR="00395881" w:rsidRPr="00395881" w:rsidRDefault="00395881" w:rsidP="00395881">
      <w:pPr>
        <w:numPr>
          <w:ilvl w:val="0"/>
          <w:numId w:val="1"/>
        </w:numPr>
        <w:jc w:val="both"/>
        <w:rPr>
          <w:rFonts w:ascii="Times New Roman" w:hAnsi="Times New Roman" w:cs="Times New Roman"/>
          <w:sz w:val="24"/>
          <w:szCs w:val="24"/>
        </w:rPr>
      </w:pPr>
      <w:r w:rsidRPr="00395881">
        <w:rPr>
          <w:rFonts w:ascii="Times New Roman" w:hAnsi="Times New Roman" w:cs="Times New Roman"/>
          <w:sz w:val="24"/>
          <w:szCs w:val="24"/>
        </w:rPr>
        <w:t>elevata precisione numerica;</w:t>
      </w:r>
    </w:p>
    <w:p w14:paraId="78A69534" w14:textId="77777777" w:rsidR="00395881" w:rsidRPr="00395881" w:rsidRDefault="00395881" w:rsidP="00395881">
      <w:pPr>
        <w:numPr>
          <w:ilvl w:val="0"/>
          <w:numId w:val="1"/>
        </w:numPr>
        <w:jc w:val="both"/>
        <w:rPr>
          <w:rFonts w:ascii="Times New Roman" w:hAnsi="Times New Roman" w:cs="Times New Roman"/>
          <w:sz w:val="24"/>
          <w:szCs w:val="24"/>
        </w:rPr>
      </w:pPr>
      <w:r w:rsidRPr="00395881">
        <w:rPr>
          <w:rFonts w:ascii="Times New Roman" w:hAnsi="Times New Roman" w:cs="Times New Roman"/>
          <w:sz w:val="24"/>
          <w:szCs w:val="24"/>
        </w:rPr>
        <w:t>forte assertività linguistica;</w:t>
      </w:r>
    </w:p>
    <w:p w14:paraId="29B6F310" w14:textId="77777777" w:rsidR="00395881" w:rsidRPr="00395881" w:rsidRDefault="00395881" w:rsidP="00395881">
      <w:pPr>
        <w:numPr>
          <w:ilvl w:val="0"/>
          <w:numId w:val="1"/>
        </w:numPr>
        <w:jc w:val="both"/>
        <w:rPr>
          <w:rFonts w:ascii="Times New Roman" w:hAnsi="Times New Roman" w:cs="Times New Roman"/>
          <w:sz w:val="24"/>
          <w:szCs w:val="24"/>
        </w:rPr>
      </w:pPr>
      <w:r w:rsidRPr="00395881">
        <w:rPr>
          <w:rFonts w:ascii="Times New Roman" w:hAnsi="Times New Roman" w:cs="Times New Roman"/>
          <w:sz w:val="24"/>
          <w:szCs w:val="24"/>
        </w:rPr>
        <w:t>marcata instabilità inferenziale;</w:t>
      </w:r>
    </w:p>
    <w:p w14:paraId="6A977A5C" w14:textId="77777777" w:rsidR="00395881" w:rsidRPr="00395881" w:rsidRDefault="00395881" w:rsidP="00395881">
      <w:pPr>
        <w:numPr>
          <w:ilvl w:val="0"/>
          <w:numId w:val="1"/>
        </w:numPr>
        <w:jc w:val="both"/>
        <w:rPr>
          <w:rFonts w:ascii="Times New Roman" w:hAnsi="Times New Roman" w:cs="Times New Roman"/>
          <w:sz w:val="24"/>
          <w:szCs w:val="24"/>
        </w:rPr>
      </w:pPr>
      <w:r w:rsidRPr="00395881">
        <w:rPr>
          <w:rFonts w:ascii="Times New Roman" w:hAnsi="Times New Roman" w:cs="Times New Roman"/>
          <w:sz w:val="24"/>
          <w:szCs w:val="24"/>
        </w:rPr>
        <w:t>divergenze cross-session;</w:t>
      </w:r>
    </w:p>
    <w:p w14:paraId="503E1B8C" w14:textId="77777777" w:rsidR="00395881" w:rsidRPr="00395881" w:rsidRDefault="00395881" w:rsidP="00395881">
      <w:pPr>
        <w:numPr>
          <w:ilvl w:val="0"/>
          <w:numId w:val="1"/>
        </w:numPr>
        <w:jc w:val="both"/>
        <w:rPr>
          <w:rFonts w:ascii="Times New Roman" w:hAnsi="Times New Roman" w:cs="Times New Roman"/>
          <w:sz w:val="24"/>
          <w:szCs w:val="24"/>
        </w:rPr>
      </w:pPr>
      <w:r w:rsidRPr="00395881">
        <w:rPr>
          <w:rFonts w:ascii="Times New Roman" w:hAnsi="Times New Roman" w:cs="Times New Roman"/>
          <w:sz w:val="24"/>
          <w:szCs w:val="24"/>
        </w:rPr>
        <w:t>e contraddizioni logiche interne.</w:t>
      </w:r>
    </w:p>
    <w:p w14:paraId="79B3BAEC"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Questa combinazione suggerisce l’esistenza di una significativa discrepanza tra confidence apparente e affidabilità reale dell’output. In altri termini, i modelli sembrano in grado di simulare con elevata efficacia la forma linguistica della competenza finanziaria, senza tuttavia garantire una corrispondente robustezza predittiva.</w:t>
      </w:r>
    </w:p>
    <w:p w14:paraId="7F16F39B"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Le evidenze empiriche sembrano inoltre indicare che la miscalibration degli LLM non si manifesti esclusivamente attraverso errori puntuali, ma anche tramite instabilità delle convinzioni generate. In molte sessioni sperimentali, gli stessi modelli modificavano radicalmente il sentiment associato a determinati asset nell’arco di pochi minuti, pur mantenendo invariato il tono assertivo delle risposte. Questo comportamento suggerisce che la confidence linguistica espressa dal modello non derivi da una reale misura interna di affidabilità statistica, ma costituisca piuttosto una caratteristica strutturale del processo generativo.</w:t>
      </w:r>
    </w:p>
    <w:p w14:paraId="2E8C7586"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Da questo punto di vista, il problema della miscalibration negli LLM appare qualitativamente differente rispetto a quello tradizionalmente osservato nelle reti neurali supervisionate. Nei modelli di classificazione standard, l’</w:t>
      </w:r>
      <w:proofErr w:type="spellStart"/>
      <w:r w:rsidRPr="00395881">
        <w:rPr>
          <w:rFonts w:ascii="Times New Roman" w:hAnsi="Times New Roman" w:cs="Times New Roman"/>
          <w:sz w:val="24"/>
          <w:szCs w:val="24"/>
        </w:rPr>
        <w:t>overconfidence</w:t>
      </w:r>
      <w:proofErr w:type="spellEnd"/>
      <w:r w:rsidRPr="00395881">
        <w:rPr>
          <w:rFonts w:ascii="Times New Roman" w:hAnsi="Times New Roman" w:cs="Times New Roman"/>
          <w:sz w:val="24"/>
          <w:szCs w:val="24"/>
        </w:rPr>
        <w:t xml:space="preserve"> emerge generalmente come eccessiva concentrazione della probabilità assegnata alla classe predetta. Negli LLM general-</w:t>
      </w:r>
      <w:proofErr w:type="spellStart"/>
      <w:r w:rsidRPr="00395881">
        <w:rPr>
          <w:rFonts w:ascii="Times New Roman" w:hAnsi="Times New Roman" w:cs="Times New Roman"/>
          <w:sz w:val="24"/>
          <w:szCs w:val="24"/>
        </w:rPr>
        <w:t>purpose</w:t>
      </w:r>
      <w:proofErr w:type="spellEnd"/>
      <w:r w:rsidRPr="00395881">
        <w:rPr>
          <w:rFonts w:ascii="Times New Roman" w:hAnsi="Times New Roman" w:cs="Times New Roman"/>
          <w:sz w:val="24"/>
          <w:szCs w:val="24"/>
        </w:rPr>
        <w:t>, invece, la miscalibration assume una forma più sottile e difficile da misurare: non viene espressa tramite probabilità esplicite, ma attraverso la costruzione linguistica stessa dell’output.</w:t>
      </w:r>
    </w:p>
    <w:p w14:paraId="5D856507"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Un ulteriore elemento rilevante riguarda la relazione tra </w:t>
      </w:r>
      <w:proofErr w:type="spellStart"/>
      <w:r w:rsidRPr="00395881">
        <w:rPr>
          <w:rFonts w:ascii="Times New Roman" w:hAnsi="Times New Roman" w:cs="Times New Roman"/>
          <w:sz w:val="24"/>
          <w:szCs w:val="24"/>
        </w:rPr>
        <w:t>alignment</w:t>
      </w:r>
      <w:proofErr w:type="spellEnd"/>
      <w:r w:rsidRPr="00395881">
        <w:rPr>
          <w:rFonts w:ascii="Times New Roman" w:hAnsi="Times New Roman" w:cs="Times New Roman"/>
          <w:sz w:val="24"/>
          <w:szCs w:val="24"/>
        </w:rPr>
        <w:t xml:space="preserve"> e </w:t>
      </w:r>
      <w:proofErr w:type="spellStart"/>
      <w:r w:rsidRPr="00395881">
        <w:rPr>
          <w:rFonts w:ascii="Times New Roman" w:hAnsi="Times New Roman" w:cs="Times New Roman"/>
          <w:sz w:val="24"/>
          <w:szCs w:val="24"/>
        </w:rPr>
        <w:t>overconfidence</w:t>
      </w:r>
      <w:proofErr w:type="spellEnd"/>
      <w:r w:rsidRPr="00395881">
        <w:rPr>
          <w:rFonts w:ascii="Times New Roman" w:hAnsi="Times New Roman" w:cs="Times New Roman"/>
          <w:sz w:val="24"/>
          <w:szCs w:val="24"/>
        </w:rPr>
        <w:t xml:space="preserve">. I processi di </w:t>
      </w:r>
      <w:proofErr w:type="spellStart"/>
      <w:r w:rsidRPr="00395881">
        <w:rPr>
          <w:rFonts w:ascii="Times New Roman" w:hAnsi="Times New Roman" w:cs="Times New Roman"/>
          <w:sz w:val="24"/>
          <w:szCs w:val="24"/>
        </w:rPr>
        <w:t>Reinforcement</w:t>
      </w:r>
      <w:proofErr w:type="spellEnd"/>
      <w:r w:rsidRPr="00395881">
        <w:rPr>
          <w:rFonts w:ascii="Times New Roman" w:hAnsi="Times New Roman" w:cs="Times New Roman"/>
          <w:sz w:val="24"/>
          <w:szCs w:val="24"/>
        </w:rPr>
        <w:t xml:space="preserve"> Learning from Human Feedback (RLHF), introdotti per migliorare la qualità conversazionale dei modelli, sembrano incentivare la produzione di risposte fluide, coerenti e socialmente persuasive (Ouyang et al., 2022). Tuttavia, tale ottimizzazione può indirettamente favorire un incremento dell’assertività linguistica anche in condizioni di elevata incertezza informativa. In altre parole, il modello tende a privilegiare la plausibilità narrativa della risposta rispetto alla rappresentazione esplicita del dubbio epistemico.</w:t>
      </w:r>
    </w:p>
    <w:p w14:paraId="6181A518"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lastRenderedPageBreak/>
        <w:t>Le osservazioni qualitative raccolte durante l’esperimento risultano coerenti con questa interpretazione. In presenza di informazioni incomplete o ambigue, i modelli raramente adottavano formulazioni prudenti o distribuzioni probabilistiche articolate; al contrario, continuavano a produrre classificazioni nette e target specifici, spesso accompagnati da riferimenti a presunti driver macroeconomici o settoriali. Tale comportamento contribuiva a rafforzare l’impressione di competenza analitica, pur in presenza di frequenti incoerenze interne.</w:t>
      </w:r>
    </w:p>
    <w:p w14:paraId="45A7649B"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Dal punto di vista metodologico, questi elementi suggeriscono che la valutazione delle performance degli LLM in ambito finanziario non debba limitarsi all’accuratezza direzionale o alla capacità di generare </w:t>
      </w:r>
      <w:proofErr w:type="spellStart"/>
      <w:r w:rsidRPr="00395881">
        <w:rPr>
          <w:rFonts w:ascii="Times New Roman" w:hAnsi="Times New Roman" w:cs="Times New Roman"/>
          <w:sz w:val="24"/>
          <w:szCs w:val="24"/>
        </w:rPr>
        <w:t>abnormal</w:t>
      </w:r>
      <w:proofErr w:type="spellEnd"/>
      <w:r w:rsidRPr="00395881">
        <w:rPr>
          <w:rFonts w:ascii="Times New Roman" w:hAnsi="Times New Roman" w:cs="Times New Roman"/>
          <w:sz w:val="24"/>
          <w:szCs w:val="24"/>
        </w:rPr>
        <w:t xml:space="preserve"> </w:t>
      </w:r>
      <w:proofErr w:type="spellStart"/>
      <w:r w:rsidRPr="00395881">
        <w:rPr>
          <w:rFonts w:ascii="Times New Roman" w:hAnsi="Times New Roman" w:cs="Times New Roman"/>
          <w:sz w:val="24"/>
          <w:szCs w:val="24"/>
        </w:rPr>
        <w:t>returns</w:t>
      </w:r>
      <w:proofErr w:type="spellEnd"/>
      <w:r w:rsidRPr="00395881">
        <w:rPr>
          <w:rFonts w:ascii="Times New Roman" w:hAnsi="Times New Roman" w:cs="Times New Roman"/>
          <w:sz w:val="24"/>
          <w:szCs w:val="24"/>
        </w:rPr>
        <w:t xml:space="preserve">. Diventa infatti necessario considerare anche la stabilità inferenziale, la coerenza contestuale e il grado di </w:t>
      </w:r>
      <w:proofErr w:type="spellStart"/>
      <w:r w:rsidRPr="00395881">
        <w:rPr>
          <w:rFonts w:ascii="Times New Roman" w:hAnsi="Times New Roman" w:cs="Times New Roman"/>
          <w:sz w:val="24"/>
          <w:szCs w:val="24"/>
        </w:rPr>
        <w:t>calibration</w:t>
      </w:r>
      <w:proofErr w:type="spellEnd"/>
      <w:r w:rsidRPr="00395881">
        <w:rPr>
          <w:rFonts w:ascii="Times New Roman" w:hAnsi="Times New Roman" w:cs="Times New Roman"/>
          <w:sz w:val="24"/>
          <w:szCs w:val="24"/>
        </w:rPr>
        <w:t xml:space="preserve"> implicita del linguaggio prodotto. Un modello capace di generare output convincenti ma caratterizzato da elevata instabilità logica può infatti risultare particolarmente problematico in ambienti decisionali ad alto contenuto informativo.</w:t>
      </w:r>
    </w:p>
    <w:p w14:paraId="2F88148A" w14:textId="77777777" w:rsidR="00395881" w:rsidRPr="00395881" w:rsidRDefault="00395881" w:rsidP="00395881">
      <w:pPr>
        <w:jc w:val="both"/>
        <w:rPr>
          <w:rFonts w:ascii="Times New Roman" w:hAnsi="Times New Roman" w:cs="Times New Roman"/>
          <w:b/>
          <w:bCs/>
          <w:sz w:val="24"/>
          <w:szCs w:val="24"/>
          <w:lang w:val="en-GB"/>
        </w:rPr>
      </w:pPr>
      <w:r w:rsidRPr="00395881">
        <w:rPr>
          <w:rFonts w:ascii="Times New Roman" w:hAnsi="Times New Roman" w:cs="Times New Roman"/>
          <w:b/>
          <w:bCs/>
          <w:sz w:val="24"/>
          <w:szCs w:val="24"/>
          <w:lang w:val="en-GB"/>
        </w:rPr>
        <w:t>5.5 Implications for Financial Forecasting and Market Efficiency</w:t>
      </w:r>
    </w:p>
    <w:p w14:paraId="1288BA5E"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Le criticità analizzate nelle sezioni precedenti assumono implicazioni particolarmente rilevanti se considerate alla luce delle caratteristiche strutturali dei mercati finanziari. In contesti caratterizzati da elevata efficienza informativa, rapidità di incorporazione delle notizie e intensa competizione algoritmica, anche modeste forme di </w:t>
      </w:r>
      <w:proofErr w:type="spellStart"/>
      <w:r w:rsidRPr="00395881">
        <w:rPr>
          <w:rFonts w:ascii="Times New Roman" w:hAnsi="Times New Roman" w:cs="Times New Roman"/>
          <w:sz w:val="24"/>
          <w:szCs w:val="24"/>
        </w:rPr>
        <w:t>instability</w:t>
      </w:r>
      <w:proofErr w:type="spellEnd"/>
      <w:r w:rsidRPr="00395881">
        <w:rPr>
          <w:rFonts w:ascii="Times New Roman" w:hAnsi="Times New Roman" w:cs="Times New Roman"/>
          <w:sz w:val="24"/>
          <w:szCs w:val="24"/>
        </w:rPr>
        <w:t xml:space="preserve"> inferenziale o miscalibration possono ridurre drasticamente il valore economico di un segnale previsionale.</w:t>
      </w:r>
    </w:p>
    <w:p w14:paraId="22625F86" w14:textId="7F4A094A"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La letteratura ha mostrato come i Large Language Models possano effettivamente estrarre contenuto informativo da dati testuali di natura economico-finanziaria. Lopez-Lira e Tang (2025), ad esempio, evidenziano che modelli linguistici general-</w:t>
      </w:r>
      <w:proofErr w:type="spellStart"/>
      <w:r w:rsidRPr="00395881">
        <w:rPr>
          <w:rFonts w:ascii="Times New Roman" w:hAnsi="Times New Roman" w:cs="Times New Roman"/>
          <w:sz w:val="24"/>
          <w:szCs w:val="24"/>
        </w:rPr>
        <w:t>purpose</w:t>
      </w:r>
      <w:proofErr w:type="spellEnd"/>
      <w:r w:rsidRPr="00395881">
        <w:rPr>
          <w:rFonts w:ascii="Times New Roman" w:hAnsi="Times New Roman" w:cs="Times New Roman"/>
          <w:sz w:val="24"/>
          <w:szCs w:val="24"/>
        </w:rPr>
        <w:t xml:space="preserve"> risultano in grado di interpretare headline finanziarie e generare segnali coerenti con i movimenti successivi di mercato. Tuttavia, </w:t>
      </w:r>
      <w:r w:rsidR="00FE66DD">
        <w:rPr>
          <w:rFonts w:ascii="Times New Roman" w:hAnsi="Times New Roman" w:cs="Times New Roman"/>
          <w:sz w:val="24"/>
          <w:szCs w:val="24"/>
        </w:rPr>
        <w:t>il</w:t>
      </w:r>
      <w:r w:rsidRPr="00395881">
        <w:rPr>
          <w:rFonts w:ascii="Times New Roman" w:hAnsi="Times New Roman" w:cs="Times New Roman"/>
          <w:sz w:val="24"/>
          <w:szCs w:val="24"/>
        </w:rPr>
        <w:t xml:space="preserve"> presente lavoro </w:t>
      </w:r>
      <w:r w:rsidR="00FE66DD">
        <w:rPr>
          <w:rFonts w:ascii="Times New Roman" w:hAnsi="Times New Roman" w:cs="Times New Roman"/>
          <w:sz w:val="24"/>
          <w:szCs w:val="24"/>
        </w:rPr>
        <w:t>suggerisce</w:t>
      </w:r>
      <w:r w:rsidRPr="00395881">
        <w:rPr>
          <w:rFonts w:ascii="Times New Roman" w:hAnsi="Times New Roman" w:cs="Times New Roman"/>
          <w:sz w:val="24"/>
          <w:szCs w:val="24"/>
        </w:rPr>
        <w:t xml:space="preserve"> che la capacità di produrre output plausibili non coincida necessariamente con una stabile capacità predittiva operativamente utilizzabile.</w:t>
      </w:r>
    </w:p>
    <w:p w14:paraId="32F75413"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In particolare, l’esperimento ha mostrato come gli LLM siano soggetti a frequenti oscillazioni interpretative, divergenze cross-session e incoerenze logiche interne che ne compromettono la replicabilità. Tale aspetto appare centrale dal punto di vista finanziario. Un sistema di forecasting può infatti risultare economicamente utile soltanto se il processo decisionale sottostante mantiene livelli sufficienti di stabilità, consistenza e riproducibilità nel tempo. La presenza di segnali altamente sensibili alle condizioni contestuali della sessione riduce invece la possibilità di trasformare l’output generato in una strategia sistematica robusta.</w:t>
      </w:r>
    </w:p>
    <w:p w14:paraId="55611FD0"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Le anomalie osservate sembrano inoltre suggerire che gli LLM tendano a operare principalmente attraverso la costruzione di narrative finanziarie plausibili piuttosto che mediante una reale modellizzazione causale delle dinamiche di mercato. In numerose occasioni, i modelli hanno mostrato la capacità di produrre spiegazioni economicamente convincenti anche quando le previsioni risultavano logicamente incoerenti o statisticamente fragili. Tale caratteristica può generare una pericolosa illusione di affidabilità, soprattutto in presenza di utenti non specializzati o in contesti decisionali caratterizzati da elevata complessità informativa.</w:t>
      </w:r>
    </w:p>
    <w:p w14:paraId="0A0E5046"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t xml:space="preserve">Dal punto di vista epistemologico, i risultati ottenuti sembrano pertanto indicare che gli LLM possiedano una forma di competenza prevalentemente linguistico-associativa, piuttosto che una reale capacità di </w:t>
      </w:r>
      <w:proofErr w:type="spellStart"/>
      <w:r w:rsidRPr="00395881">
        <w:rPr>
          <w:rFonts w:ascii="Times New Roman" w:hAnsi="Times New Roman" w:cs="Times New Roman"/>
          <w:sz w:val="24"/>
          <w:szCs w:val="24"/>
        </w:rPr>
        <w:t>reasoning</w:t>
      </w:r>
      <w:proofErr w:type="spellEnd"/>
      <w:r w:rsidRPr="00395881">
        <w:rPr>
          <w:rFonts w:ascii="Times New Roman" w:hAnsi="Times New Roman" w:cs="Times New Roman"/>
          <w:sz w:val="24"/>
          <w:szCs w:val="24"/>
        </w:rPr>
        <w:t xml:space="preserve"> finanziario stabile. I modelli appaiono estremamente efficaci nella simulazione del linguaggio dell’analisi finanziaria, ma significativamente meno affidabili nella preservazione di coerenza inferenziale tra task consecutivi o nel mantenimento di una rappresentazione consistente del contesto di mercato.</w:t>
      </w:r>
    </w:p>
    <w:p w14:paraId="622A3B82" w14:textId="77777777" w:rsidR="00395881" w:rsidRPr="00395881" w:rsidRDefault="00395881" w:rsidP="00395881">
      <w:pPr>
        <w:jc w:val="both"/>
        <w:rPr>
          <w:rFonts w:ascii="Times New Roman" w:hAnsi="Times New Roman" w:cs="Times New Roman"/>
          <w:sz w:val="24"/>
          <w:szCs w:val="24"/>
        </w:rPr>
      </w:pPr>
      <w:r w:rsidRPr="00395881">
        <w:rPr>
          <w:rFonts w:ascii="Times New Roman" w:hAnsi="Times New Roman" w:cs="Times New Roman"/>
          <w:sz w:val="24"/>
          <w:szCs w:val="24"/>
        </w:rPr>
        <w:lastRenderedPageBreak/>
        <w:t xml:space="preserve">Un ulteriore elemento rilevante riguarda il rapporto tra sofisticazione tecnologica e robustezza operativa. Contrariamente a quanto intuitivamente atteso, le versioni più avanzate dei modelli non hanno necessariamente mostrato una maggiore stabilità comportamentale. In diversi casi, l’introduzione di guardrails di sicurezza, filtri di </w:t>
      </w:r>
      <w:proofErr w:type="spellStart"/>
      <w:r w:rsidRPr="00395881">
        <w:rPr>
          <w:rFonts w:ascii="Times New Roman" w:hAnsi="Times New Roman" w:cs="Times New Roman"/>
          <w:sz w:val="24"/>
          <w:szCs w:val="24"/>
        </w:rPr>
        <w:t>alignment</w:t>
      </w:r>
      <w:proofErr w:type="spellEnd"/>
      <w:r w:rsidRPr="00395881">
        <w:rPr>
          <w:rFonts w:ascii="Times New Roman" w:hAnsi="Times New Roman" w:cs="Times New Roman"/>
          <w:sz w:val="24"/>
          <w:szCs w:val="24"/>
        </w:rPr>
        <w:t xml:space="preserve"> e policy conversazionali ha contribuito ad aumentare la variabilità dell’output e la frequenza dei blocchi operativi. Questo risultato suggerisce che l’ottimizzazione conversazionale degli LLM possa entrare in tensione con le esigenze di standardizzazione richieste dalle applicazioni quantitative in ambito finanziario.</w:t>
      </w:r>
    </w:p>
    <w:p w14:paraId="0939DF45" w14:textId="1C8961CA" w:rsidR="00395881" w:rsidRPr="00395881" w:rsidRDefault="00FE66DD" w:rsidP="00395881">
      <w:pPr>
        <w:jc w:val="both"/>
        <w:rPr>
          <w:rFonts w:ascii="Times New Roman" w:hAnsi="Times New Roman" w:cs="Times New Roman"/>
          <w:sz w:val="24"/>
          <w:szCs w:val="24"/>
        </w:rPr>
      </w:pPr>
      <w:r>
        <w:rPr>
          <w:rFonts w:ascii="Times New Roman" w:hAnsi="Times New Roman" w:cs="Times New Roman"/>
          <w:sz w:val="24"/>
          <w:szCs w:val="24"/>
        </w:rPr>
        <w:t>In questa prospettiva</w:t>
      </w:r>
      <w:r w:rsidR="00395881" w:rsidRPr="00395881">
        <w:rPr>
          <w:rFonts w:ascii="Times New Roman" w:hAnsi="Times New Roman" w:cs="Times New Roman"/>
          <w:sz w:val="24"/>
          <w:szCs w:val="24"/>
        </w:rPr>
        <w:t>, emerge quindi la necessità di interpretare con cautela i risultati della letteratura che attribuisce agli LLM capacità predittive superiori ai benchmark tradizionali. Sebbene tali modelli possano certamente rappresentare strumenti utili per attività di supporto informativo, sentiment analysis o sintesi documentale, il loro utilizzo diretto come motori autonomi di previsione finanziaria appare ancora limitato da significative criticità metodologiche e inferenziali.</w:t>
      </w:r>
    </w:p>
    <w:p w14:paraId="272AE5BC" w14:textId="2D985416" w:rsidR="004022CF" w:rsidRPr="00395881" w:rsidRDefault="004022CF" w:rsidP="00395881">
      <w:pPr>
        <w:jc w:val="both"/>
        <w:rPr>
          <w:rFonts w:ascii="Times New Roman" w:hAnsi="Times New Roman" w:cs="Times New Roman"/>
          <w:sz w:val="24"/>
          <w:szCs w:val="24"/>
        </w:rPr>
      </w:pPr>
    </w:p>
    <w:sectPr w:rsidR="004022CF" w:rsidRPr="0039588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90DC" w14:textId="77777777" w:rsidR="00B9131B" w:rsidRDefault="00B9131B" w:rsidP="00395881">
      <w:pPr>
        <w:spacing w:after="0" w:line="240" w:lineRule="auto"/>
      </w:pPr>
      <w:r>
        <w:separator/>
      </w:r>
    </w:p>
  </w:endnote>
  <w:endnote w:type="continuationSeparator" w:id="0">
    <w:p w14:paraId="101B2ED4" w14:textId="77777777" w:rsidR="00B9131B" w:rsidRDefault="00B9131B" w:rsidP="0039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5D7B" w14:textId="77777777" w:rsidR="00B9131B" w:rsidRDefault="00B9131B" w:rsidP="00395881">
      <w:pPr>
        <w:spacing w:after="0" w:line="240" w:lineRule="auto"/>
      </w:pPr>
      <w:r>
        <w:separator/>
      </w:r>
    </w:p>
  </w:footnote>
  <w:footnote w:type="continuationSeparator" w:id="0">
    <w:p w14:paraId="58DFDC4A" w14:textId="77777777" w:rsidR="00B9131B" w:rsidRDefault="00B9131B" w:rsidP="00395881">
      <w:pPr>
        <w:spacing w:after="0" w:line="240" w:lineRule="auto"/>
      </w:pPr>
      <w:r>
        <w:continuationSeparator/>
      </w:r>
    </w:p>
  </w:footnote>
  <w:footnote w:id="1">
    <w:p w14:paraId="0C39E5FC" w14:textId="77777777" w:rsidR="00395881" w:rsidRPr="00395881" w:rsidRDefault="00395881" w:rsidP="00395881">
      <w:pPr>
        <w:jc w:val="both"/>
        <w:rPr>
          <w:rFonts w:ascii="Times New Roman" w:hAnsi="Times New Roman" w:cs="Times New Roman"/>
          <w:sz w:val="24"/>
          <w:szCs w:val="24"/>
        </w:rPr>
      </w:pPr>
      <w:r>
        <w:rPr>
          <w:rStyle w:val="Rimandonotaapidipagina"/>
        </w:rPr>
        <w:footnoteRef/>
      </w:r>
      <w:r>
        <w:t xml:space="preserve"> </w:t>
      </w:r>
      <w:r w:rsidRPr="00395881">
        <w:rPr>
          <w:rFonts w:ascii="Times New Roman" w:hAnsi="Times New Roman" w:cs="Times New Roman"/>
          <w:sz w:val="24"/>
          <w:szCs w:val="24"/>
        </w:rPr>
        <w:t>L’espressione “</w:t>
      </w:r>
      <w:proofErr w:type="spellStart"/>
      <w:r w:rsidRPr="00395881">
        <w:rPr>
          <w:rFonts w:ascii="Times New Roman" w:hAnsi="Times New Roman" w:cs="Times New Roman"/>
          <w:sz w:val="24"/>
          <w:szCs w:val="24"/>
        </w:rPr>
        <w:t>stochastic</w:t>
      </w:r>
      <w:proofErr w:type="spellEnd"/>
      <w:r w:rsidRPr="00395881">
        <w:rPr>
          <w:rFonts w:ascii="Times New Roman" w:hAnsi="Times New Roman" w:cs="Times New Roman"/>
          <w:sz w:val="24"/>
          <w:szCs w:val="24"/>
        </w:rPr>
        <w:t xml:space="preserve"> </w:t>
      </w:r>
      <w:proofErr w:type="spellStart"/>
      <w:r w:rsidRPr="00395881">
        <w:rPr>
          <w:rFonts w:ascii="Times New Roman" w:hAnsi="Times New Roman" w:cs="Times New Roman"/>
          <w:sz w:val="24"/>
          <w:szCs w:val="24"/>
        </w:rPr>
        <w:t>parrots</w:t>
      </w:r>
      <w:proofErr w:type="spellEnd"/>
      <w:r w:rsidRPr="00395881">
        <w:rPr>
          <w:rFonts w:ascii="Times New Roman" w:hAnsi="Times New Roman" w:cs="Times New Roman"/>
          <w:sz w:val="24"/>
          <w:szCs w:val="24"/>
        </w:rPr>
        <w:t>” viene utilizzata da Bender et al. (2021) per descrivere sistemi linguistici che producono testo attraverso ricombinazione statistica di pattern appresi, senza una reale comprensione semantica del contenuto generato.</w:t>
      </w:r>
    </w:p>
    <w:p w14:paraId="4A88DAB7" w14:textId="2438AED8" w:rsidR="00395881" w:rsidRDefault="00395881">
      <w:pPr>
        <w:pStyle w:val="Testonotaapidipagina"/>
      </w:pPr>
    </w:p>
  </w:footnote>
  <w:footnote w:id="2">
    <w:p w14:paraId="7192362F" w14:textId="77777777" w:rsidR="00395881" w:rsidRPr="00395881" w:rsidRDefault="00395881" w:rsidP="00395881">
      <w:pPr>
        <w:jc w:val="both"/>
        <w:rPr>
          <w:rFonts w:ascii="Times New Roman" w:hAnsi="Times New Roman" w:cs="Times New Roman"/>
          <w:sz w:val="24"/>
          <w:szCs w:val="24"/>
        </w:rPr>
      </w:pPr>
      <w:r>
        <w:rPr>
          <w:rStyle w:val="Rimandonotaapidipagina"/>
        </w:rPr>
        <w:footnoteRef/>
      </w:r>
      <w:r>
        <w:t xml:space="preserve"> </w:t>
      </w:r>
      <w:r w:rsidRPr="00395881">
        <w:rPr>
          <w:rFonts w:ascii="Times New Roman" w:hAnsi="Times New Roman" w:cs="Times New Roman"/>
          <w:sz w:val="24"/>
          <w:szCs w:val="24"/>
        </w:rPr>
        <w:t>In alcune sessioni sperimentali sono state osservate stime di prezzo incompatibili con le quotazioni correnti di mercato, con differenze superiori al 50% rispetto ai livelli effettivamente osservabili.</w:t>
      </w:r>
    </w:p>
    <w:p w14:paraId="1B84CF8A" w14:textId="1135B02C" w:rsidR="00395881" w:rsidRDefault="00395881">
      <w:pPr>
        <w:pStyle w:val="Testonotaapidipagina"/>
      </w:pPr>
    </w:p>
  </w:footnote>
  <w:footnote w:id="3">
    <w:p w14:paraId="0FB13E89" w14:textId="777E65BF" w:rsidR="00395881" w:rsidRDefault="00395881">
      <w:pPr>
        <w:pStyle w:val="Testonotaapidipagina"/>
      </w:pPr>
      <w:r>
        <w:rPr>
          <w:rStyle w:val="Rimandonotaapidipagina"/>
        </w:rPr>
        <w:footnoteRef/>
      </w:r>
      <w:r>
        <w:t xml:space="preserve"> </w:t>
      </w:r>
      <w:r w:rsidRPr="00395881">
        <w:rPr>
          <w:rFonts w:ascii="Times New Roman" w:hAnsi="Times New Roman" w:cs="Times New Roman"/>
          <w:sz w:val="24"/>
          <w:szCs w:val="24"/>
        </w:rPr>
        <w:t>Tra gli esempi osservati figurano casi di selezione di società precedentemente appartenenti all’S&amp;P 500 ma rimosse dall’indice prima della finestra temporale considerata</w:t>
      </w:r>
      <w:r>
        <w:rPr>
          <w:rFonts w:ascii="Times New Roman" w:hAnsi="Times New Roman" w:cs="Times New Roman"/>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760C8"/>
    <w:multiLevelType w:val="multilevel"/>
    <w:tmpl w:val="4D74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82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B3"/>
    <w:rsid w:val="00202F64"/>
    <w:rsid w:val="003642D0"/>
    <w:rsid w:val="00395881"/>
    <w:rsid w:val="004022CF"/>
    <w:rsid w:val="00527EFD"/>
    <w:rsid w:val="0058662C"/>
    <w:rsid w:val="006C3F8B"/>
    <w:rsid w:val="007B27A0"/>
    <w:rsid w:val="008513D3"/>
    <w:rsid w:val="00B72143"/>
    <w:rsid w:val="00B9131B"/>
    <w:rsid w:val="00BB51B3"/>
    <w:rsid w:val="00CB3320"/>
    <w:rsid w:val="00D672CF"/>
    <w:rsid w:val="00EF29D6"/>
    <w:rsid w:val="00FE66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C31A"/>
  <w15:chartTrackingRefBased/>
  <w15:docId w15:val="{9F94D18E-4766-4A18-843E-58EC3B5D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B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B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B51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B51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B51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B51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B51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B51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B51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B51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B51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B51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B51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B51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B51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B51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B51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B51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BB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B51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B51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B51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B51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B51B3"/>
    <w:rPr>
      <w:i/>
      <w:iCs/>
      <w:color w:val="404040" w:themeColor="text1" w:themeTint="BF"/>
    </w:rPr>
  </w:style>
  <w:style w:type="paragraph" w:styleId="Paragrafoelenco">
    <w:name w:val="List Paragraph"/>
    <w:basedOn w:val="Normale"/>
    <w:uiPriority w:val="34"/>
    <w:qFormat/>
    <w:rsid w:val="00BB51B3"/>
    <w:pPr>
      <w:ind w:left="720"/>
      <w:contextualSpacing/>
    </w:pPr>
  </w:style>
  <w:style w:type="character" w:styleId="Enfasiintensa">
    <w:name w:val="Intense Emphasis"/>
    <w:basedOn w:val="Carpredefinitoparagrafo"/>
    <w:uiPriority w:val="21"/>
    <w:qFormat/>
    <w:rsid w:val="00BB51B3"/>
    <w:rPr>
      <w:i/>
      <w:iCs/>
      <w:color w:val="0F4761" w:themeColor="accent1" w:themeShade="BF"/>
    </w:rPr>
  </w:style>
  <w:style w:type="paragraph" w:styleId="Citazioneintensa">
    <w:name w:val="Intense Quote"/>
    <w:basedOn w:val="Normale"/>
    <w:next w:val="Normale"/>
    <w:link w:val="CitazioneintensaCarattere"/>
    <w:uiPriority w:val="30"/>
    <w:qFormat/>
    <w:rsid w:val="00BB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B51B3"/>
    <w:rPr>
      <w:i/>
      <w:iCs/>
      <w:color w:val="0F4761" w:themeColor="accent1" w:themeShade="BF"/>
    </w:rPr>
  </w:style>
  <w:style w:type="character" w:styleId="Riferimentointenso">
    <w:name w:val="Intense Reference"/>
    <w:basedOn w:val="Carpredefinitoparagrafo"/>
    <w:uiPriority w:val="32"/>
    <w:qFormat/>
    <w:rsid w:val="00BB51B3"/>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395881"/>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395881"/>
    <w:rPr>
      <w:sz w:val="20"/>
      <w:szCs w:val="20"/>
    </w:rPr>
  </w:style>
  <w:style w:type="character" w:styleId="Rimandonotaapidipagina">
    <w:name w:val="footnote reference"/>
    <w:basedOn w:val="Carpredefinitoparagrafo"/>
    <w:uiPriority w:val="99"/>
    <w:semiHidden/>
    <w:unhideWhenUsed/>
    <w:rsid w:val="00395881"/>
    <w:rPr>
      <w:vertAlign w:val="superscript"/>
    </w:rPr>
  </w:style>
  <w:style w:type="character" w:styleId="Testosegnaposto">
    <w:name w:val="Placeholder Text"/>
    <w:basedOn w:val="Carpredefinitoparagrafo"/>
    <w:uiPriority w:val="99"/>
    <w:semiHidden/>
    <w:rsid w:val="007B27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46A5E-E2B5-4D5B-BFD5-5AB8D332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3460</Words>
  <Characters>19727</Characters>
  <Application>Microsoft Office Word</Application>
  <DocSecurity>0</DocSecurity>
  <Lines>164</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5</cp:revision>
  <dcterms:created xsi:type="dcterms:W3CDTF">2026-05-15T17:10:00Z</dcterms:created>
  <dcterms:modified xsi:type="dcterms:W3CDTF">2026-05-17T12:52:00Z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88d04c05-16c2-49c1-8e1b-88cdb17dc879</vt:lpwstr>
  </property>
</Properties>
</file>