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92666" w14:textId="0D43312C" w:rsidR="00F8189E" w:rsidRDefault="00F8189E" w:rsidP="000250FE">
      <w:pPr>
        <w:pStyle w:val="Titolo1"/>
        <w:rPr>
          <w:rFonts w:ascii="Times New Roman" w:hAnsi="Times New Roman" w:cs="Times New Roman"/>
          <w:b/>
          <w:bCs/>
          <w:color w:val="auto"/>
          <w:sz w:val="32"/>
          <w:szCs w:val="32"/>
          <w:lang w:val="en-GB"/>
        </w:rPr>
      </w:pPr>
      <w:proofErr w:type="spellStart"/>
      <w:r w:rsidRPr="000250FE">
        <w:rPr>
          <w:rFonts w:ascii="Times New Roman" w:hAnsi="Times New Roman" w:cs="Times New Roman"/>
          <w:b/>
          <w:bCs/>
          <w:color w:val="auto"/>
          <w:sz w:val="32"/>
          <w:szCs w:val="32"/>
          <w:lang w:val="en-GB"/>
        </w:rPr>
        <w:t>Capitolo</w:t>
      </w:r>
      <w:proofErr w:type="spellEnd"/>
      <w:r w:rsidRPr="000250FE">
        <w:rPr>
          <w:rFonts w:ascii="Times New Roman" w:hAnsi="Times New Roman" w:cs="Times New Roman"/>
          <w:b/>
          <w:bCs/>
          <w:color w:val="auto"/>
          <w:sz w:val="32"/>
          <w:szCs w:val="32"/>
          <w:lang w:val="en-GB"/>
        </w:rPr>
        <w:t xml:space="preserve"> 3</w:t>
      </w:r>
      <w:r w:rsidR="000250FE" w:rsidRPr="000250FE">
        <w:rPr>
          <w:rFonts w:ascii="Times New Roman" w:hAnsi="Times New Roman" w:cs="Times New Roman"/>
          <w:b/>
          <w:bCs/>
          <w:color w:val="auto"/>
          <w:sz w:val="32"/>
          <w:szCs w:val="32"/>
          <w:lang w:val="en-GB"/>
        </w:rPr>
        <w:t>:</w:t>
      </w:r>
      <w:r w:rsidRPr="000250FE">
        <w:rPr>
          <w:rFonts w:ascii="Times New Roman" w:hAnsi="Times New Roman" w:cs="Times New Roman"/>
          <w:b/>
          <w:bCs/>
          <w:color w:val="auto"/>
          <w:sz w:val="32"/>
          <w:szCs w:val="32"/>
          <w:lang w:val="en-GB"/>
        </w:rPr>
        <w:t xml:space="preserve"> Research Design and Empirical Methodology</w:t>
      </w:r>
    </w:p>
    <w:p w14:paraId="0251E69C" w14:textId="77777777" w:rsidR="000250FE" w:rsidRPr="000250FE" w:rsidRDefault="000250FE" w:rsidP="000250FE">
      <w:pPr>
        <w:rPr>
          <w:lang w:val="en-GB"/>
        </w:rPr>
      </w:pPr>
    </w:p>
    <w:p w14:paraId="5222C356" w14:textId="77777777" w:rsidR="00F8189E" w:rsidRDefault="00F8189E" w:rsidP="000250FE">
      <w:pPr>
        <w:pStyle w:val="Titolo2"/>
        <w:spacing w:before="40" w:after="0"/>
        <w:rPr>
          <w:rFonts w:ascii="Times New Roman" w:hAnsi="Times New Roman" w:cs="Times New Roman"/>
          <w:b/>
          <w:bCs/>
          <w:i/>
          <w:iCs/>
          <w:color w:val="auto"/>
          <w:sz w:val="26"/>
          <w:szCs w:val="26"/>
        </w:rPr>
      </w:pPr>
      <w:r w:rsidRPr="000250FE">
        <w:rPr>
          <w:rFonts w:ascii="Times New Roman" w:hAnsi="Times New Roman" w:cs="Times New Roman"/>
          <w:b/>
          <w:bCs/>
          <w:i/>
          <w:iCs/>
          <w:color w:val="auto"/>
          <w:sz w:val="26"/>
          <w:szCs w:val="26"/>
        </w:rPr>
        <w:t>3.1 Research Design</w:t>
      </w:r>
    </w:p>
    <w:p w14:paraId="0718B561" w14:textId="77777777" w:rsidR="000250FE" w:rsidRPr="000250FE" w:rsidRDefault="000250FE" w:rsidP="000250FE"/>
    <w:p w14:paraId="1AACA17F" w14:textId="77777777" w:rsidR="00F8189E" w:rsidRPr="000250FE" w:rsidRDefault="00F8189E" w:rsidP="00481F32">
      <w:pPr>
        <w:spacing w:after="0" w:line="360" w:lineRule="auto"/>
        <w:ind w:firstLine="284"/>
        <w:jc w:val="both"/>
        <w:rPr>
          <w:rFonts w:ascii="Times New Roman" w:hAnsi="Times New Roman" w:cs="Times New Roman"/>
          <w:sz w:val="24"/>
          <w:szCs w:val="24"/>
        </w:rPr>
      </w:pPr>
      <w:r w:rsidRPr="000250FE">
        <w:rPr>
          <w:rFonts w:ascii="Times New Roman" w:hAnsi="Times New Roman" w:cs="Times New Roman"/>
          <w:sz w:val="24"/>
          <w:szCs w:val="24"/>
        </w:rPr>
        <w:t>Il presente studio analizza la capacità dei Large Language Models (LLMs) di generare previsioni informative sui rendimenti azionari di brevissimo periodo in un contesto operativo realistico. In particolare, la ricerca valuta se i segnali prodotti dai modelli linguistici siano in grado di anticipare la direzione e la magnitudine dei movimenti intraday dei titoli azionari e dell’indice di mercato, nonché di generare performance economicamente significative attraverso strategie di portafoglio costruite sui segnali previsivi generati dagli LLM.</w:t>
      </w:r>
    </w:p>
    <w:p w14:paraId="6BBC4426" w14:textId="77777777" w:rsidR="00F8189E" w:rsidRPr="000250FE" w:rsidRDefault="00F8189E" w:rsidP="00481F32">
      <w:pPr>
        <w:spacing w:after="0" w:line="360" w:lineRule="auto"/>
        <w:ind w:firstLine="284"/>
        <w:jc w:val="both"/>
        <w:rPr>
          <w:rFonts w:ascii="Times New Roman" w:hAnsi="Times New Roman" w:cs="Times New Roman"/>
          <w:sz w:val="24"/>
          <w:szCs w:val="24"/>
        </w:rPr>
      </w:pPr>
      <w:r w:rsidRPr="000250FE">
        <w:rPr>
          <w:rFonts w:ascii="Times New Roman" w:hAnsi="Times New Roman" w:cs="Times New Roman"/>
          <w:sz w:val="24"/>
          <w:szCs w:val="24"/>
        </w:rPr>
        <w:t>L’analisi si colloca all’interno della recente letteratura che studia l’applicazione dei sistemi di intelligenza artificiale ai mercati finanziari e ai processi di forecasting. Diversamente da numerosi contributi esistenti, basati prevalentemente su framework retrospettivi o su dataset costruiti ex post, il presente lavoro adotta un approccio real-time volto a replicare le effettive condizioni informative disponibili agli operatori di mercato al momento della formulazione delle previsioni (Cao et al., 2024).</w:t>
      </w:r>
    </w:p>
    <w:p w14:paraId="308F5CCB" w14:textId="3F3DFBEC" w:rsidR="00F8189E" w:rsidRPr="000250FE" w:rsidRDefault="00F8189E" w:rsidP="00481F32">
      <w:pPr>
        <w:spacing w:after="0" w:line="360" w:lineRule="auto"/>
        <w:ind w:firstLine="284"/>
        <w:jc w:val="both"/>
        <w:rPr>
          <w:rFonts w:ascii="Times New Roman" w:hAnsi="Times New Roman" w:cs="Times New Roman"/>
          <w:sz w:val="24"/>
          <w:szCs w:val="24"/>
        </w:rPr>
      </w:pPr>
      <w:r w:rsidRPr="000250FE">
        <w:rPr>
          <w:rFonts w:ascii="Times New Roman" w:hAnsi="Times New Roman" w:cs="Times New Roman"/>
          <w:sz w:val="24"/>
          <w:szCs w:val="24"/>
        </w:rPr>
        <w:t>L’elemento centrale del</w:t>
      </w:r>
      <w:r w:rsidR="00DA25DA" w:rsidRPr="000250FE">
        <w:rPr>
          <w:rFonts w:ascii="Times New Roman" w:hAnsi="Times New Roman" w:cs="Times New Roman"/>
          <w:sz w:val="24"/>
          <w:szCs w:val="24"/>
        </w:rPr>
        <w:t xml:space="preserve">la ricerca </w:t>
      </w:r>
      <w:r w:rsidRPr="000250FE">
        <w:rPr>
          <w:rFonts w:ascii="Times New Roman" w:hAnsi="Times New Roman" w:cs="Times New Roman"/>
          <w:sz w:val="24"/>
          <w:szCs w:val="24"/>
        </w:rPr>
        <w:t xml:space="preserve">consiste infatti nell’implementazione di un protocollo di interrogazione </w:t>
      </w:r>
      <w:r w:rsidR="00EF5C3A" w:rsidRPr="000250FE">
        <w:rPr>
          <w:rFonts w:ascii="Times New Roman" w:hAnsi="Times New Roman" w:cs="Times New Roman"/>
          <w:sz w:val="24"/>
          <w:szCs w:val="24"/>
        </w:rPr>
        <w:t>temporalmente coerente</w:t>
      </w:r>
      <w:r w:rsidRPr="000250FE">
        <w:rPr>
          <w:rFonts w:ascii="Times New Roman" w:hAnsi="Times New Roman" w:cs="Times New Roman"/>
          <w:sz w:val="24"/>
          <w:szCs w:val="24"/>
        </w:rPr>
        <w:t>, costruito in modo tale da eliminare fenomeni di look-</w:t>
      </w:r>
      <w:proofErr w:type="spellStart"/>
      <w:r w:rsidRPr="000250FE">
        <w:rPr>
          <w:rFonts w:ascii="Times New Roman" w:hAnsi="Times New Roman" w:cs="Times New Roman"/>
          <w:sz w:val="24"/>
          <w:szCs w:val="24"/>
        </w:rPr>
        <w:t>ahead</w:t>
      </w:r>
      <w:proofErr w:type="spellEnd"/>
      <w:r w:rsidRPr="000250FE">
        <w:rPr>
          <w:rFonts w:ascii="Times New Roman" w:hAnsi="Times New Roman" w:cs="Times New Roman"/>
          <w:sz w:val="24"/>
          <w:szCs w:val="24"/>
        </w:rPr>
        <w:t xml:space="preserve"> bias</w:t>
      </w:r>
      <w:r w:rsidR="00EF5C3A" w:rsidRPr="000250FE">
        <w:rPr>
          <w:rFonts w:ascii="Times New Roman" w:hAnsi="Times New Roman" w:cs="Times New Roman"/>
          <w:sz w:val="24"/>
          <w:szCs w:val="24"/>
        </w:rPr>
        <w:t>, cioè l’utilizzo di informazioni non ancora disponibili</w:t>
      </w:r>
      <w:r w:rsidRPr="000250FE">
        <w:rPr>
          <w:rFonts w:ascii="Times New Roman" w:hAnsi="Times New Roman" w:cs="Times New Roman"/>
          <w:sz w:val="24"/>
          <w:szCs w:val="24"/>
        </w:rPr>
        <w:t xml:space="preserve">. Tutte le interrogazioni ai modelli vengono effettuate prima dell’apertura della sessione di trading statunitense utilizzando esclusivamente informazioni pubblicamente disponibili al tempo </w:t>
      </w:r>
      <m:oMath>
        <m:r>
          <w:rPr>
            <w:rFonts w:ascii="Cambria Math" w:hAnsi="Cambria Math" w:cs="Times New Roman"/>
            <w:sz w:val="24"/>
            <w:szCs w:val="24"/>
          </w:rPr>
          <m:t>t</m:t>
        </m:r>
      </m:oMath>
      <w:r w:rsidRPr="000250FE">
        <w:rPr>
          <w:rFonts w:ascii="Times New Roman" w:hAnsi="Times New Roman" w:cs="Times New Roman"/>
          <w:sz w:val="24"/>
          <w:szCs w:val="24"/>
        </w:rPr>
        <w:t>. I rendimenti realizzati vengono successivamente calcolati mediante variazioni open-to-close osservate al termine della medesima giornata di mercato.</w:t>
      </w:r>
    </w:p>
    <w:p w14:paraId="06E79C4F" w14:textId="77777777" w:rsidR="00F8189E" w:rsidRPr="000250FE" w:rsidRDefault="00F8189E" w:rsidP="00481F32">
      <w:pPr>
        <w:spacing w:after="0" w:line="360" w:lineRule="auto"/>
        <w:ind w:firstLine="284"/>
        <w:jc w:val="both"/>
        <w:rPr>
          <w:rFonts w:ascii="Times New Roman" w:hAnsi="Times New Roman" w:cs="Times New Roman"/>
          <w:sz w:val="24"/>
          <w:szCs w:val="24"/>
        </w:rPr>
      </w:pPr>
      <w:r w:rsidRPr="000250FE">
        <w:rPr>
          <w:rFonts w:ascii="Times New Roman" w:hAnsi="Times New Roman" w:cs="Times New Roman"/>
          <w:sz w:val="24"/>
          <w:szCs w:val="24"/>
        </w:rPr>
        <w:t xml:space="preserve">L’obiettivo dell’analisi non consiste nel valutare la qualità linguistica o argomentativa dei modelli, bensì nel verificare se gli output generati contengano informazione economicamente utilizzabile in un contesto di forecasting finanziario intraday. In tale prospettiva, la ricerca si concentra su quattro dimensioni principali. In primo luogo, viene analizzata l’accuratezza direzionale delle previsioni attraverso misure di hit ratio applicate sia ai singoli titoli sia alle previsioni di market timing sull’indice S&amp;P 500. In secondo luogo, viene valutata la rilevanza economica dei segnali mediante la costruzione di portafogli long-short e l’analisi delle relative performance corrette per il rischio. In terzo luogo, viene esaminata la capacità dei modelli di stimare la magnitudine dei movimenti di prezzo tramite regressioni tra rendimenti previsti e </w:t>
      </w:r>
      <w:r w:rsidRPr="000250FE">
        <w:rPr>
          <w:rFonts w:ascii="Times New Roman" w:hAnsi="Times New Roman" w:cs="Times New Roman"/>
          <w:sz w:val="24"/>
          <w:szCs w:val="24"/>
        </w:rPr>
        <w:lastRenderedPageBreak/>
        <w:t>rendimenti realizzati. Infine, vengono implementate diverse procedure di robustezza finalizzate a verificare la stabilità dei risultati ottenuti.</w:t>
      </w:r>
    </w:p>
    <w:p w14:paraId="7E643DE4" w14:textId="77777777" w:rsidR="00F8189E" w:rsidRPr="000250FE" w:rsidRDefault="00F8189E" w:rsidP="00481F32">
      <w:pPr>
        <w:spacing w:after="0" w:line="360" w:lineRule="auto"/>
        <w:ind w:firstLine="284"/>
        <w:jc w:val="both"/>
        <w:rPr>
          <w:rFonts w:ascii="Times New Roman" w:hAnsi="Times New Roman" w:cs="Times New Roman"/>
          <w:sz w:val="24"/>
          <w:szCs w:val="24"/>
        </w:rPr>
      </w:pPr>
      <w:r w:rsidRPr="000250FE">
        <w:rPr>
          <w:rFonts w:ascii="Times New Roman" w:hAnsi="Times New Roman" w:cs="Times New Roman"/>
          <w:sz w:val="24"/>
          <w:szCs w:val="24"/>
        </w:rPr>
        <w:t>L’impostazione metodologica adottata si ispira ai recenti contributi che confrontano performance umane e sistemi di intelligenza artificiale nei processi di stock forecasting (Cao et al., 2024), pur differenziandosi in maniera sostanziale sotto il profilo dell’orizzonte temporale e del contesto operativo considerato. In particolare, mentre gran parte della letteratura esistente si concentra su previsioni di medio-lungo periodo o su framework costruiti ex post, il presente studio analizza esclusivamente segnali generati in tempo reale e riferiti a dinamiche di mercato giornaliere.</w:t>
      </w:r>
    </w:p>
    <w:p w14:paraId="66A740B2" w14:textId="77777777" w:rsidR="00F8189E" w:rsidRDefault="00F8189E" w:rsidP="00481F32">
      <w:pPr>
        <w:spacing w:after="0" w:line="360" w:lineRule="auto"/>
        <w:ind w:firstLine="284"/>
        <w:jc w:val="both"/>
        <w:rPr>
          <w:rFonts w:ascii="Times New Roman" w:hAnsi="Times New Roman" w:cs="Times New Roman"/>
          <w:sz w:val="24"/>
          <w:szCs w:val="24"/>
        </w:rPr>
      </w:pPr>
      <w:r w:rsidRPr="000250FE">
        <w:rPr>
          <w:rFonts w:ascii="Times New Roman" w:hAnsi="Times New Roman" w:cs="Times New Roman"/>
          <w:sz w:val="24"/>
          <w:szCs w:val="24"/>
        </w:rPr>
        <w:t>Coerentemente con tale impostazione, l’intero framework empirico è costruito per simulare un ambiente operativo realisticamente implementabile da un investitore. La struttura dei prompt, la tempistica delle interrogazioni, la selezione dell’universo investibile e la costruzione dei portafogli sono pertanto definite in modo uniforme e standardizzato al fine di garantire comparabilità tra modelli e coerenza temporale tra informazione disponibile e risultati osservati.</w:t>
      </w:r>
    </w:p>
    <w:p w14:paraId="696134F4" w14:textId="77777777" w:rsidR="000250FE" w:rsidRPr="000250FE" w:rsidRDefault="000250FE" w:rsidP="000250FE">
      <w:pPr>
        <w:spacing w:line="360" w:lineRule="auto"/>
        <w:jc w:val="both"/>
        <w:rPr>
          <w:rFonts w:ascii="Times New Roman" w:hAnsi="Times New Roman" w:cs="Times New Roman"/>
          <w:sz w:val="24"/>
          <w:szCs w:val="24"/>
        </w:rPr>
      </w:pPr>
    </w:p>
    <w:p w14:paraId="3D2BE18B" w14:textId="77777777" w:rsidR="00F8189E" w:rsidRDefault="00F8189E" w:rsidP="009663E6">
      <w:pPr>
        <w:pStyle w:val="Titolo2"/>
        <w:spacing w:before="40" w:after="0"/>
        <w:rPr>
          <w:rFonts w:ascii="Times New Roman" w:hAnsi="Times New Roman" w:cs="Times New Roman"/>
          <w:b/>
          <w:bCs/>
          <w:i/>
          <w:iCs/>
          <w:color w:val="auto"/>
          <w:sz w:val="26"/>
          <w:szCs w:val="26"/>
          <w:lang w:val="en-GB"/>
        </w:rPr>
      </w:pPr>
      <w:r w:rsidRPr="000250FE">
        <w:rPr>
          <w:rFonts w:ascii="Times New Roman" w:hAnsi="Times New Roman" w:cs="Times New Roman"/>
          <w:b/>
          <w:bCs/>
          <w:i/>
          <w:iCs/>
          <w:color w:val="auto"/>
          <w:sz w:val="26"/>
          <w:szCs w:val="26"/>
          <w:lang w:val="en-GB"/>
        </w:rPr>
        <w:t>3.2 Data Collection and Sample Construction</w:t>
      </w:r>
    </w:p>
    <w:p w14:paraId="71A803DE" w14:textId="77777777" w:rsidR="000250FE" w:rsidRPr="000250FE" w:rsidRDefault="000250FE" w:rsidP="000250FE">
      <w:pPr>
        <w:rPr>
          <w:lang w:val="en-GB"/>
        </w:rPr>
      </w:pPr>
    </w:p>
    <w:p w14:paraId="57787586" w14:textId="77777777" w:rsidR="00F8189E" w:rsidRDefault="00F8189E" w:rsidP="000250FE">
      <w:pPr>
        <w:pStyle w:val="Titolo2"/>
        <w:spacing w:before="40" w:after="0"/>
        <w:rPr>
          <w:rFonts w:ascii="Times New Roman" w:hAnsi="Times New Roman" w:cs="Times New Roman"/>
          <w:b/>
          <w:bCs/>
          <w:i/>
          <w:iCs/>
          <w:color w:val="auto"/>
          <w:sz w:val="26"/>
          <w:szCs w:val="26"/>
          <w:lang w:val="en-GB"/>
        </w:rPr>
      </w:pPr>
      <w:r w:rsidRPr="000250FE">
        <w:rPr>
          <w:rFonts w:ascii="Times New Roman" w:hAnsi="Times New Roman" w:cs="Times New Roman"/>
          <w:b/>
          <w:bCs/>
          <w:i/>
          <w:iCs/>
          <w:color w:val="auto"/>
          <w:sz w:val="26"/>
          <w:szCs w:val="26"/>
          <w:lang w:val="en-GB"/>
        </w:rPr>
        <w:t>3.2.1 Equity Universe and Market Data</w:t>
      </w:r>
    </w:p>
    <w:p w14:paraId="4FD75E79" w14:textId="77777777" w:rsidR="00481F32" w:rsidRPr="00481F32" w:rsidRDefault="00481F32" w:rsidP="00481F32">
      <w:pPr>
        <w:rPr>
          <w:lang w:val="en-GB"/>
        </w:rPr>
      </w:pPr>
    </w:p>
    <w:p w14:paraId="425FDB96" w14:textId="30863EAE" w:rsidR="00002ACD" w:rsidRPr="000250FE" w:rsidRDefault="00002ACD" w:rsidP="00481F32">
      <w:pPr>
        <w:spacing w:after="0" w:line="360" w:lineRule="auto"/>
        <w:ind w:firstLine="284"/>
        <w:jc w:val="both"/>
        <w:rPr>
          <w:rFonts w:ascii="Times New Roman" w:hAnsi="Times New Roman" w:cs="Times New Roman"/>
          <w:sz w:val="24"/>
          <w:szCs w:val="24"/>
        </w:rPr>
      </w:pPr>
      <w:r w:rsidRPr="000250FE">
        <w:rPr>
          <w:rFonts w:ascii="Times New Roman" w:hAnsi="Times New Roman" w:cs="Times New Roman"/>
          <w:sz w:val="24"/>
          <w:szCs w:val="24"/>
        </w:rPr>
        <w:t>Questa sezione descrive il processo di costruzione del dataset utilizzato per analizzare se tre Large Language Models (LLMs) — ChatGPT basato su GPT-5.</w:t>
      </w:r>
      <w:r w:rsidR="004F7B5D" w:rsidRPr="000250FE">
        <w:rPr>
          <w:rFonts w:ascii="Times New Roman" w:hAnsi="Times New Roman" w:cs="Times New Roman"/>
          <w:sz w:val="24"/>
          <w:szCs w:val="24"/>
        </w:rPr>
        <w:t>5</w:t>
      </w:r>
      <w:r w:rsidRPr="000250FE">
        <w:rPr>
          <w:rFonts w:ascii="Times New Roman" w:hAnsi="Times New Roman" w:cs="Times New Roman"/>
          <w:sz w:val="24"/>
          <w:szCs w:val="24"/>
        </w:rPr>
        <w:t xml:space="preserve"> nella versione ottimizzata per Go, ChatGPT basato su GPT-5.</w:t>
      </w:r>
      <w:r w:rsidR="004F7B5D" w:rsidRPr="000250FE">
        <w:rPr>
          <w:rFonts w:ascii="Times New Roman" w:hAnsi="Times New Roman" w:cs="Times New Roman"/>
          <w:sz w:val="24"/>
          <w:szCs w:val="24"/>
        </w:rPr>
        <w:t>5</w:t>
      </w:r>
      <w:r w:rsidRPr="000250FE">
        <w:rPr>
          <w:rFonts w:ascii="Times New Roman" w:hAnsi="Times New Roman" w:cs="Times New Roman"/>
          <w:sz w:val="24"/>
          <w:szCs w:val="24"/>
        </w:rPr>
        <w:t xml:space="preserve"> nella versione pubblica e Gemini 3.1 Pro — siano in grado di supportare gli investitori nei processi di decisione finanziaria e, più in generale, di formulare previsioni affidabili sui movimenti di breve periodo dei mercati azionari.</w:t>
      </w:r>
    </w:p>
    <w:p w14:paraId="7277DC6F" w14:textId="77777777" w:rsidR="00002ACD" w:rsidRPr="000250FE" w:rsidRDefault="00002ACD" w:rsidP="00481F32">
      <w:pPr>
        <w:spacing w:after="0" w:line="360" w:lineRule="auto"/>
        <w:ind w:firstLine="284"/>
        <w:jc w:val="both"/>
        <w:rPr>
          <w:rFonts w:ascii="Times New Roman" w:hAnsi="Times New Roman" w:cs="Times New Roman"/>
          <w:sz w:val="24"/>
          <w:szCs w:val="24"/>
        </w:rPr>
      </w:pPr>
      <w:r w:rsidRPr="000250FE">
        <w:rPr>
          <w:rFonts w:ascii="Times New Roman" w:hAnsi="Times New Roman" w:cs="Times New Roman"/>
          <w:sz w:val="24"/>
          <w:szCs w:val="24"/>
        </w:rPr>
        <w:t>Rispondere a tale domanda mediante analisi esclusivamente retrospettive risulta metodologicamente problematico. Nel contesto dei modelli linguistici generativi, infatti, non è possibile garantire con certezza che il sistema non utilizzi indirettamente informazioni future nella formulazione delle raccomandazioni prodotte ex post, introducendo così potenziali fenomeni di look-</w:t>
      </w:r>
      <w:proofErr w:type="spellStart"/>
      <w:r w:rsidRPr="000250FE">
        <w:rPr>
          <w:rFonts w:ascii="Times New Roman" w:hAnsi="Times New Roman" w:cs="Times New Roman"/>
          <w:sz w:val="24"/>
          <w:szCs w:val="24"/>
        </w:rPr>
        <w:t>ahead</w:t>
      </w:r>
      <w:proofErr w:type="spellEnd"/>
      <w:r w:rsidRPr="000250FE">
        <w:rPr>
          <w:rFonts w:ascii="Times New Roman" w:hAnsi="Times New Roman" w:cs="Times New Roman"/>
          <w:sz w:val="24"/>
          <w:szCs w:val="24"/>
        </w:rPr>
        <w:t xml:space="preserve"> bias. Per questa ragione, il presente studio adotta un framework sperimentale interamente real-time, nel quale tutte le interrogazioni ai modelli vengono effettuate prima dell’apertura della sessione di trading statunitense e le performance vengono valutate esclusivamente sulla base di rendimenti osservati successivamente.</w:t>
      </w:r>
    </w:p>
    <w:p w14:paraId="0B2B9582" w14:textId="65534366" w:rsidR="00002ACD" w:rsidRPr="000250FE" w:rsidRDefault="00002ACD" w:rsidP="00481F32">
      <w:pPr>
        <w:spacing w:after="0" w:line="360" w:lineRule="auto"/>
        <w:ind w:firstLine="284"/>
        <w:jc w:val="both"/>
        <w:rPr>
          <w:rFonts w:ascii="Times New Roman" w:hAnsi="Times New Roman" w:cs="Times New Roman"/>
          <w:sz w:val="24"/>
          <w:szCs w:val="24"/>
        </w:rPr>
      </w:pPr>
      <w:r w:rsidRPr="000250FE">
        <w:rPr>
          <w:rFonts w:ascii="Times New Roman" w:hAnsi="Times New Roman" w:cs="Times New Roman"/>
          <w:sz w:val="24"/>
          <w:szCs w:val="24"/>
        </w:rPr>
        <w:lastRenderedPageBreak/>
        <w:t>Il periodo di osservazione considerato nell’analisi si estende dal 30 gennaio 2026 al 31 maggio 2026. Durante tale intervallo temporale, le interrogazioni ai modelli vengono effettuate quotidianamente seguendo un protocollo standardizzato di prompt generation e raccolta dati.</w:t>
      </w:r>
    </w:p>
    <w:p w14:paraId="43418253" w14:textId="058CF1F9" w:rsidR="00F8189E" w:rsidRPr="000250FE" w:rsidRDefault="00F8189E" w:rsidP="00481F32">
      <w:pPr>
        <w:spacing w:after="0" w:line="360" w:lineRule="auto"/>
        <w:ind w:firstLine="284"/>
        <w:jc w:val="both"/>
        <w:rPr>
          <w:rFonts w:ascii="Times New Roman" w:hAnsi="Times New Roman" w:cs="Times New Roman"/>
          <w:sz w:val="24"/>
          <w:szCs w:val="24"/>
        </w:rPr>
      </w:pPr>
      <w:r w:rsidRPr="000250FE">
        <w:rPr>
          <w:rFonts w:ascii="Times New Roman" w:hAnsi="Times New Roman" w:cs="Times New Roman"/>
          <w:sz w:val="24"/>
          <w:szCs w:val="24"/>
        </w:rPr>
        <w:t>L’universo investibile utilizzato nell’analisi è costituito dai titoli appartenenti all’indice S&amp;P 500. La scelta di tale benchmark risponde a diverse esigenze metodologiche. In primo luogo, l’elevata liquidità dei titoli inclusi consente di ridurre il rischio che eventuali risultati siano influenzati da problemi di microstruttura o da anomalie riconducibili a scambi poco frequenti. In secondo luogo, la copertura informativa estremamente ampia associata alle large-cap statunitensi rappresenta un contesto particolarmente rilevante per valutare la capacità degli LLM di elaborare informazione pubblica già largamente diffusa e rapidamente incorporata nei prezzi di mercato.</w:t>
      </w:r>
    </w:p>
    <w:p w14:paraId="43319287" w14:textId="74F9615C" w:rsidR="00F8189E" w:rsidRPr="000250FE" w:rsidRDefault="00F8189E" w:rsidP="00481F32">
      <w:pPr>
        <w:spacing w:after="0" w:line="360" w:lineRule="auto"/>
        <w:ind w:firstLine="284"/>
        <w:jc w:val="both"/>
        <w:rPr>
          <w:rFonts w:ascii="Times New Roman" w:hAnsi="Times New Roman" w:cs="Times New Roman"/>
          <w:sz w:val="24"/>
          <w:szCs w:val="24"/>
        </w:rPr>
      </w:pPr>
      <w:r w:rsidRPr="000250FE">
        <w:rPr>
          <w:rFonts w:ascii="Times New Roman" w:hAnsi="Times New Roman" w:cs="Times New Roman"/>
          <w:sz w:val="24"/>
          <w:szCs w:val="24"/>
        </w:rPr>
        <w:t>I dati relativi ai prezzi di apertura, ai prezzi di chiusura e alla capitalizzazione di mercato dei titoli sono ottenuti tramite la piattaforma Refinitiv</w:t>
      </w:r>
      <w:r w:rsidR="002254EA" w:rsidRPr="000250FE">
        <w:rPr>
          <w:rStyle w:val="Rimandonotaapidipagina"/>
          <w:rFonts w:ascii="Times New Roman" w:hAnsi="Times New Roman" w:cs="Times New Roman"/>
          <w:sz w:val="24"/>
          <w:szCs w:val="24"/>
        </w:rPr>
        <w:footnoteReference w:id="1"/>
      </w:r>
      <w:r w:rsidRPr="000250FE">
        <w:rPr>
          <w:rFonts w:ascii="Times New Roman" w:hAnsi="Times New Roman" w:cs="Times New Roman"/>
          <w:sz w:val="24"/>
          <w:szCs w:val="24"/>
        </w:rPr>
        <w:t>. Il campione copre un periodo di osservazione giornaliero durante il quale vengono effettuate interrogazioni sistematiche ai modelli linguistici prima dell’apertura del mercato statunitense. Per ciascun titolo (i) e per ciascuna giornata (t), il rendimento intraday viene definito come:</w:t>
      </w:r>
    </w:p>
    <w:p w14:paraId="1BFF518C" w14:textId="37744C1F" w:rsidR="00F8189E" w:rsidRPr="000250FE" w:rsidRDefault="00000000" w:rsidP="00481F32">
      <w:pPr>
        <w:spacing w:after="0" w:line="360" w:lineRule="auto"/>
        <w:ind w:firstLine="284"/>
        <w:jc w:val="both"/>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i,t</m:t>
              </m:r>
            </m:sub>
          </m:sSub>
          <m:r>
            <w:rPr>
              <w:rFonts w:ascii="Cambria Math" w:hAnsi="Cambria Math" w:cs="Times New Roman"/>
              <w:sz w:val="24"/>
              <w:szCs w:val="24"/>
            </w:rPr>
            <m:t>=</m:t>
          </m:r>
          <m:f>
            <m:fPr>
              <m:ctrlPr>
                <w:rPr>
                  <w:rFonts w:ascii="Cambria Math" w:hAnsi="Cambria Math" w:cs="Times New Roman"/>
                  <w:i/>
                  <w:sz w:val="24"/>
                  <w:szCs w:val="24"/>
                </w:rPr>
              </m:ctrlPr>
            </m:fPr>
            <m:num>
              <m:sSubSup>
                <m:sSubSupPr>
                  <m:ctrlPr>
                    <w:rPr>
                      <w:rFonts w:ascii="Cambria Math" w:hAnsi="Cambria Math" w:cs="Times New Roman"/>
                      <w:i/>
                      <w:sz w:val="24"/>
                      <w:szCs w:val="24"/>
                    </w:rPr>
                  </m:ctrlPr>
                </m:sSubSupPr>
                <m:e>
                  <m:r>
                    <w:rPr>
                      <w:rFonts w:ascii="Cambria Math" w:hAnsi="Cambria Math" w:cs="Times New Roman"/>
                      <w:sz w:val="24"/>
                      <w:szCs w:val="24"/>
                    </w:rPr>
                    <m:t>P</m:t>
                  </m:r>
                </m:e>
                <m:sub>
                  <m:r>
                    <w:rPr>
                      <w:rFonts w:ascii="Cambria Math" w:hAnsi="Cambria Math" w:cs="Times New Roman"/>
                      <w:sz w:val="24"/>
                      <w:szCs w:val="24"/>
                    </w:rPr>
                    <m:t>i,t</m:t>
                  </m:r>
                </m:sub>
                <m:sup>
                  <m:r>
                    <w:rPr>
                      <w:rFonts w:ascii="Cambria Math" w:hAnsi="Cambria Math" w:cs="Times New Roman"/>
                      <w:sz w:val="24"/>
                      <w:szCs w:val="24"/>
                    </w:rPr>
                    <m:t>close</m:t>
                  </m:r>
                </m:sup>
              </m:sSubSup>
              <m: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P</m:t>
                  </m:r>
                </m:e>
                <m:sub>
                  <m:r>
                    <w:rPr>
                      <w:rFonts w:ascii="Cambria Math" w:hAnsi="Cambria Math" w:cs="Times New Roman"/>
                      <w:sz w:val="24"/>
                      <w:szCs w:val="24"/>
                    </w:rPr>
                    <m:t>i,t</m:t>
                  </m:r>
                </m:sub>
                <m:sup>
                  <m:r>
                    <w:rPr>
                      <w:rFonts w:ascii="Cambria Math" w:hAnsi="Cambria Math" w:cs="Times New Roman"/>
                      <w:sz w:val="24"/>
                      <w:szCs w:val="24"/>
                    </w:rPr>
                    <m:t>open</m:t>
                  </m:r>
                </m:sup>
              </m:sSubSup>
              <m:ctrlPr>
                <w:rPr>
                  <w:rFonts w:ascii="Cambria Math" w:eastAsiaTheme="minorEastAsia" w:hAnsi="Cambria Math" w:cs="Times New Roman"/>
                  <w:i/>
                  <w:sz w:val="24"/>
                  <w:szCs w:val="24"/>
                </w:rPr>
              </m:ctrlPr>
            </m:num>
            <m:den>
              <m:sSubSup>
                <m:sSubSupPr>
                  <m:ctrlPr>
                    <w:rPr>
                      <w:rFonts w:ascii="Cambria Math" w:hAnsi="Cambria Math" w:cs="Times New Roman"/>
                      <w:i/>
                      <w:sz w:val="24"/>
                      <w:szCs w:val="24"/>
                    </w:rPr>
                  </m:ctrlPr>
                </m:sSubSupPr>
                <m:e>
                  <m:r>
                    <w:rPr>
                      <w:rFonts w:ascii="Cambria Math" w:hAnsi="Cambria Math" w:cs="Times New Roman"/>
                      <w:sz w:val="24"/>
                      <w:szCs w:val="24"/>
                    </w:rPr>
                    <m:t>P</m:t>
                  </m:r>
                </m:e>
                <m:sub>
                  <m:r>
                    <w:rPr>
                      <w:rFonts w:ascii="Cambria Math" w:hAnsi="Cambria Math" w:cs="Times New Roman"/>
                      <w:sz w:val="24"/>
                      <w:szCs w:val="24"/>
                    </w:rPr>
                    <m:t>i,t</m:t>
                  </m:r>
                </m:sub>
                <m:sup>
                  <m:r>
                    <w:rPr>
                      <w:rFonts w:ascii="Cambria Math" w:hAnsi="Cambria Math" w:cs="Times New Roman"/>
                      <w:sz w:val="24"/>
                      <w:szCs w:val="24"/>
                    </w:rPr>
                    <m:t>open</m:t>
                  </m:r>
                </m:sup>
              </m:sSubSup>
            </m:den>
          </m:f>
        </m:oMath>
      </m:oMathPara>
    </w:p>
    <w:p w14:paraId="2805F418" w14:textId="276B2D02" w:rsidR="00F8189E" w:rsidRPr="000250FE" w:rsidRDefault="00F8189E" w:rsidP="00481F32">
      <w:pPr>
        <w:spacing w:after="0" w:line="360" w:lineRule="auto"/>
        <w:ind w:firstLine="284"/>
        <w:jc w:val="both"/>
        <w:rPr>
          <w:rFonts w:ascii="Times New Roman" w:eastAsiaTheme="minorEastAsia" w:hAnsi="Times New Roman" w:cs="Times New Roman"/>
          <w:sz w:val="24"/>
          <w:szCs w:val="24"/>
        </w:rPr>
      </w:pPr>
      <w:r w:rsidRPr="000250FE">
        <w:rPr>
          <w:rFonts w:ascii="Times New Roman" w:hAnsi="Times New Roman" w:cs="Times New Roman"/>
          <w:sz w:val="24"/>
          <w:szCs w:val="24"/>
        </w:rPr>
        <w:t xml:space="preserve">dove </w:t>
      </w:r>
      <m:oMath>
        <m:sSubSup>
          <m:sSubSupPr>
            <m:ctrlPr>
              <w:rPr>
                <w:rFonts w:ascii="Cambria Math" w:hAnsi="Cambria Math" w:cs="Times New Roman"/>
                <w:i/>
                <w:sz w:val="24"/>
                <w:szCs w:val="24"/>
              </w:rPr>
            </m:ctrlPr>
          </m:sSubSupPr>
          <m:e>
            <m:r>
              <w:rPr>
                <w:rFonts w:ascii="Cambria Math" w:hAnsi="Cambria Math" w:cs="Times New Roman"/>
                <w:sz w:val="24"/>
                <w:szCs w:val="24"/>
              </w:rPr>
              <m:t>P</m:t>
            </m:r>
          </m:e>
          <m:sub>
            <m:r>
              <w:rPr>
                <w:rFonts w:ascii="Cambria Math" w:hAnsi="Cambria Math" w:cs="Times New Roman"/>
                <w:sz w:val="24"/>
                <w:szCs w:val="24"/>
              </w:rPr>
              <m:t>i,t</m:t>
            </m:r>
          </m:sub>
          <m:sup>
            <m:r>
              <w:rPr>
                <w:rFonts w:ascii="Cambria Math" w:hAnsi="Cambria Math" w:cs="Times New Roman"/>
                <w:sz w:val="24"/>
                <w:szCs w:val="24"/>
              </w:rPr>
              <m:t>open</m:t>
            </m:r>
          </m:sup>
        </m:sSubSup>
      </m:oMath>
      <w:r w:rsidRPr="000250FE">
        <w:rPr>
          <w:rFonts w:ascii="Times New Roman" w:hAnsi="Times New Roman" w:cs="Times New Roman"/>
          <w:i/>
          <w:iCs/>
          <w:sz w:val="24"/>
          <w:szCs w:val="24"/>
        </w:rPr>
        <w:t xml:space="preserve"> </w:t>
      </w:r>
      <w:r w:rsidRPr="000250FE">
        <w:rPr>
          <w:rFonts w:ascii="Times New Roman" w:hAnsi="Times New Roman" w:cs="Times New Roman"/>
          <w:sz w:val="24"/>
          <w:szCs w:val="24"/>
        </w:rPr>
        <w:t>rappresenta il prezzo di apertura del titolo</w:t>
      </w:r>
      <w:r w:rsidRPr="000250FE">
        <w:rPr>
          <w:rFonts w:ascii="Times New Roman" w:hAnsi="Times New Roman" w:cs="Times New Roman"/>
          <w:i/>
          <w:iCs/>
          <w:sz w:val="24"/>
          <w:szCs w:val="24"/>
        </w:rPr>
        <w:t xml:space="preserve"> e </w:t>
      </w:r>
      <m:oMath>
        <m:sSubSup>
          <m:sSubSupPr>
            <m:ctrlPr>
              <w:rPr>
                <w:rFonts w:ascii="Cambria Math" w:hAnsi="Cambria Math" w:cs="Times New Roman"/>
                <w:i/>
                <w:sz w:val="24"/>
                <w:szCs w:val="24"/>
              </w:rPr>
            </m:ctrlPr>
          </m:sSubSupPr>
          <m:e>
            <m:r>
              <w:rPr>
                <w:rFonts w:ascii="Cambria Math" w:hAnsi="Cambria Math" w:cs="Times New Roman"/>
                <w:sz w:val="24"/>
                <w:szCs w:val="24"/>
              </w:rPr>
              <m:t>P</m:t>
            </m:r>
          </m:e>
          <m:sub>
            <m:r>
              <w:rPr>
                <w:rFonts w:ascii="Cambria Math" w:hAnsi="Cambria Math" w:cs="Times New Roman"/>
                <w:sz w:val="24"/>
                <w:szCs w:val="24"/>
              </w:rPr>
              <m:t>i,t</m:t>
            </m:r>
          </m:sub>
          <m:sup>
            <m:r>
              <w:rPr>
                <w:rFonts w:ascii="Cambria Math" w:hAnsi="Cambria Math" w:cs="Times New Roman"/>
                <w:sz w:val="24"/>
                <w:szCs w:val="24"/>
              </w:rPr>
              <m:t>close</m:t>
            </m:r>
          </m:sup>
        </m:sSubSup>
      </m:oMath>
      <w:r w:rsidRPr="000250FE">
        <w:rPr>
          <w:rFonts w:ascii="Times New Roman" w:hAnsi="Times New Roman" w:cs="Times New Roman"/>
          <w:sz w:val="24"/>
          <w:szCs w:val="24"/>
        </w:rPr>
        <w:t xml:space="preserve"> il prezzo di chiusura osservato al termine della medesima sessione di trading.</w:t>
      </w:r>
    </w:p>
    <w:p w14:paraId="077206E7" w14:textId="77777777" w:rsidR="00F8189E" w:rsidRPr="000250FE" w:rsidRDefault="00F8189E" w:rsidP="00481F32">
      <w:pPr>
        <w:spacing w:after="0" w:line="360" w:lineRule="auto"/>
        <w:ind w:firstLine="284"/>
        <w:jc w:val="both"/>
        <w:rPr>
          <w:rFonts w:ascii="Times New Roman" w:hAnsi="Times New Roman" w:cs="Times New Roman"/>
          <w:sz w:val="24"/>
          <w:szCs w:val="24"/>
        </w:rPr>
      </w:pPr>
      <w:r w:rsidRPr="000250FE">
        <w:rPr>
          <w:rFonts w:ascii="Times New Roman" w:hAnsi="Times New Roman" w:cs="Times New Roman"/>
          <w:sz w:val="24"/>
          <w:szCs w:val="24"/>
        </w:rPr>
        <w:t>L’utilizzo di rendimenti open-to-close risulta coerente con la struttura temporale del framework empirico adottato. Le previsioni generate dagli LLM vengono infatti formulate prima dell’apertura del mercato, mentre i rendimenti realizzati sono osservati esclusivamente successivamente alla chiusura della sessione giornaliera. Tale impostazione garantisce piena coerenza temporale tra informazione disponibile e variabili target, evitando contaminazioni informative derivanti dall’utilizzo di dati non osservabili ex ante.</w:t>
      </w:r>
    </w:p>
    <w:p w14:paraId="3C7F78A7" w14:textId="77777777" w:rsidR="00F8189E" w:rsidRPr="000250FE" w:rsidRDefault="00F8189E" w:rsidP="00481F32">
      <w:pPr>
        <w:spacing w:after="0" w:line="360" w:lineRule="auto"/>
        <w:ind w:firstLine="284"/>
        <w:jc w:val="both"/>
        <w:rPr>
          <w:rFonts w:ascii="Times New Roman" w:hAnsi="Times New Roman" w:cs="Times New Roman"/>
          <w:sz w:val="24"/>
          <w:szCs w:val="24"/>
        </w:rPr>
      </w:pPr>
      <w:r w:rsidRPr="000250FE">
        <w:rPr>
          <w:rFonts w:ascii="Times New Roman" w:hAnsi="Times New Roman" w:cs="Times New Roman"/>
          <w:sz w:val="24"/>
          <w:szCs w:val="24"/>
        </w:rPr>
        <w:t xml:space="preserve">Oltre ai dati azionari individuali, vengono raccolti anche i prezzi open e close dell’indice S&amp;P 500, successivamente utilizzati sia come benchmark di mercato sia per la costruzione del fattore di mercato nelle regressioni CAPM. Parallelamente, vengono acquisiti i fattori </w:t>
      </w:r>
      <w:r w:rsidRPr="000250FE">
        <w:rPr>
          <w:rFonts w:ascii="Times New Roman" w:hAnsi="Times New Roman" w:cs="Times New Roman"/>
          <w:sz w:val="24"/>
          <w:szCs w:val="24"/>
        </w:rPr>
        <w:lastRenderedPageBreak/>
        <w:t>giornalieri di Fama-French e il fattore Momentum necessari per le analisi multifattoriali di performance risk-</w:t>
      </w:r>
      <w:proofErr w:type="spellStart"/>
      <w:r w:rsidRPr="000250FE">
        <w:rPr>
          <w:rFonts w:ascii="Times New Roman" w:hAnsi="Times New Roman" w:cs="Times New Roman"/>
          <w:sz w:val="24"/>
          <w:szCs w:val="24"/>
        </w:rPr>
        <w:t>adjusted</w:t>
      </w:r>
      <w:proofErr w:type="spellEnd"/>
      <w:r w:rsidRPr="000250FE">
        <w:rPr>
          <w:rFonts w:ascii="Times New Roman" w:hAnsi="Times New Roman" w:cs="Times New Roman"/>
          <w:sz w:val="24"/>
          <w:szCs w:val="24"/>
        </w:rPr>
        <w:t>.</w:t>
      </w:r>
    </w:p>
    <w:p w14:paraId="517E0354" w14:textId="498D5881" w:rsidR="00002ACD" w:rsidRPr="000250FE" w:rsidRDefault="00002ACD" w:rsidP="000250FE">
      <w:pPr>
        <w:pStyle w:val="Didascalia"/>
        <w:keepNext/>
        <w:jc w:val="both"/>
        <w:rPr>
          <w:rFonts w:ascii="Times New Roman" w:hAnsi="Times New Roman" w:cs="Times New Roman"/>
          <w:color w:val="auto"/>
          <w:sz w:val="24"/>
          <w:szCs w:val="24"/>
        </w:rPr>
      </w:pPr>
      <w:proofErr w:type="spellStart"/>
      <w:r w:rsidRPr="000250FE">
        <w:rPr>
          <w:rFonts w:ascii="Times New Roman" w:hAnsi="Times New Roman" w:cs="Times New Roman"/>
          <w:color w:val="auto"/>
          <w:sz w:val="24"/>
          <w:szCs w:val="24"/>
          <w:lang w:val="en-GB"/>
        </w:rPr>
        <w:t>Tabella</w:t>
      </w:r>
      <w:proofErr w:type="spellEnd"/>
      <w:r w:rsidRPr="000250FE">
        <w:rPr>
          <w:rFonts w:ascii="Times New Roman" w:hAnsi="Times New Roman" w:cs="Times New Roman"/>
          <w:color w:val="auto"/>
          <w:sz w:val="24"/>
          <w:szCs w:val="24"/>
          <w:lang w:val="en-GB"/>
        </w:rPr>
        <w:t xml:space="preserve"> </w:t>
      </w:r>
      <w:r w:rsidRPr="000250FE">
        <w:rPr>
          <w:rFonts w:ascii="Times New Roman" w:hAnsi="Times New Roman" w:cs="Times New Roman"/>
          <w:color w:val="auto"/>
          <w:sz w:val="24"/>
          <w:szCs w:val="24"/>
        </w:rPr>
        <w:fldChar w:fldCharType="begin"/>
      </w:r>
      <w:r w:rsidRPr="000250FE">
        <w:rPr>
          <w:rFonts w:ascii="Times New Roman" w:hAnsi="Times New Roman" w:cs="Times New Roman"/>
          <w:color w:val="auto"/>
          <w:sz w:val="24"/>
          <w:szCs w:val="24"/>
          <w:lang w:val="en-GB"/>
        </w:rPr>
        <w:instrText xml:space="preserve"> SEQ Tabella \* ARABIC </w:instrText>
      </w:r>
      <w:r w:rsidRPr="000250FE">
        <w:rPr>
          <w:rFonts w:ascii="Times New Roman" w:hAnsi="Times New Roman" w:cs="Times New Roman"/>
          <w:color w:val="auto"/>
          <w:sz w:val="24"/>
          <w:szCs w:val="24"/>
        </w:rPr>
        <w:fldChar w:fldCharType="separate"/>
      </w:r>
      <w:r w:rsidRPr="000250FE">
        <w:rPr>
          <w:rFonts w:ascii="Times New Roman" w:hAnsi="Times New Roman" w:cs="Times New Roman"/>
          <w:noProof/>
          <w:color w:val="auto"/>
          <w:sz w:val="24"/>
          <w:szCs w:val="24"/>
          <w:lang w:val="en-GB"/>
        </w:rPr>
        <w:t>1</w:t>
      </w:r>
      <w:r w:rsidRPr="000250FE">
        <w:rPr>
          <w:rFonts w:ascii="Times New Roman" w:hAnsi="Times New Roman" w:cs="Times New Roman"/>
          <w:color w:val="auto"/>
          <w:sz w:val="24"/>
          <w:szCs w:val="24"/>
        </w:rPr>
        <w:fldChar w:fldCharType="end"/>
      </w:r>
    </w:p>
    <w:p w14:paraId="64B855E4" w14:textId="0CFDFAE8" w:rsidR="00002ACD" w:rsidRPr="000250FE" w:rsidRDefault="00002ACD" w:rsidP="000250FE">
      <w:pPr>
        <w:jc w:val="both"/>
        <w:rPr>
          <w:rFonts w:ascii="Times New Roman" w:hAnsi="Times New Roman" w:cs="Times New Roman"/>
          <w:i/>
          <w:iCs/>
          <w:sz w:val="24"/>
          <w:szCs w:val="24"/>
          <w:lang w:val="en-GB"/>
        </w:rPr>
      </w:pPr>
      <w:r w:rsidRPr="000250FE">
        <w:rPr>
          <w:rFonts w:ascii="Times New Roman" w:hAnsi="Times New Roman" w:cs="Times New Roman"/>
          <w:i/>
          <w:iCs/>
          <w:sz w:val="24"/>
          <w:szCs w:val="24"/>
          <w:lang w:val="en-GB"/>
        </w:rPr>
        <w:t>Summary of Data Sources</w:t>
      </w:r>
    </w:p>
    <w:tbl>
      <w:tblPr>
        <w:tblStyle w:val="Grigliatabella"/>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3014"/>
        <w:gridCol w:w="3029"/>
        <w:gridCol w:w="3027"/>
      </w:tblGrid>
      <w:tr w:rsidR="00033660" w:rsidRPr="000250FE" w14:paraId="33FD477B" w14:textId="77777777" w:rsidTr="00033660">
        <w:tc>
          <w:tcPr>
            <w:tcW w:w="3209" w:type="dxa"/>
          </w:tcPr>
          <w:p w14:paraId="19DFCDDB" w14:textId="5E982D42" w:rsidR="00033660" w:rsidRPr="000250FE" w:rsidRDefault="00033660" w:rsidP="000250FE">
            <w:pPr>
              <w:jc w:val="both"/>
              <w:rPr>
                <w:rFonts w:ascii="Times New Roman" w:hAnsi="Times New Roman" w:cs="Times New Roman"/>
                <w:b/>
                <w:bCs/>
                <w:sz w:val="24"/>
                <w:szCs w:val="24"/>
                <w:lang w:val="en-GB"/>
              </w:rPr>
            </w:pPr>
            <w:r w:rsidRPr="000250FE">
              <w:rPr>
                <w:rFonts w:ascii="Times New Roman" w:hAnsi="Times New Roman" w:cs="Times New Roman"/>
                <w:b/>
                <w:bCs/>
                <w:sz w:val="24"/>
                <w:szCs w:val="24"/>
                <w:lang w:val="en-GB"/>
              </w:rPr>
              <w:t>Dataset</w:t>
            </w:r>
          </w:p>
        </w:tc>
        <w:tc>
          <w:tcPr>
            <w:tcW w:w="3209" w:type="dxa"/>
          </w:tcPr>
          <w:p w14:paraId="39E90B5F" w14:textId="77BE6F3C" w:rsidR="00033660" w:rsidRPr="000250FE" w:rsidRDefault="00033660" w:rsidP="000250FE">
            <w:pPr>
              <w:jc w:val="both"/>
              <w:rPr>
                <w:rFonts w:ascii="Times New Roman" w:hAnsi="Times New Roman" w:cs="Times New Roman"/>
                <w:b/>
                <w:bCs/>
                <w:sz w:val="24"/>
                <w:szCs w:val="24"/>
                <w:lang w:val="en-GB"/>
              </w:rPr>
            </w:pPr>
            <w:proofErr w:type="spellStart"/>
            <w:r w:rsidRPr="000250FE">
              <w:rPr>
                <w:rFonts w:ascii="Times New Roman" w:hAnsi="Times New Roman" w:cs="Times New Roman"/>
                <w:b/>
                <w:bCs/>
                <w:sz w:val="24"/>
                <w:szCs w:val="24"/>
                <w:lang w:val="en-GB"/>
              </w:rPr>
              <w:t>Variabili</w:t>
            </w:r>
            <w:proofErr w:type="spellEnd"/>
            <w:r w:rsidRPr="000250FE">
              <w:rPr>
                <w:rFonts w:ascii="Times New Roman" w:hAnsi="Times New Roman" w:cs="Times New Roman"/>
                <w:b/>
                <w:bCs/>
                <w:sz w:val="24"/>
                <w:szCs w:val="24"/>
                <w:lang w:val="en-GB"/>
              </w:rPr>
              <w:t xml:space="preserve"> </w:t>
            </w:r>
            <w:proofErr w:type="spellStart"/>
            <w:r w:rsidRPr="000250FE">
              <w:rPr>
                <w:rFonts w:ascii="Times New Roman" w:hAnsi="Times New Roman" w:cs="Times New Roman"/>
                <w:b/>
                <w:bCs/>
                <w:sz w:val="24"/>
                <w:szCs w:val="24"/>
                <w:lang w:val="en-GB"/>
              </w:rPr>
              <w:t>Principali</w:t>
            </w:r>
            <w:proofErr w:type="spellEnd"/>
          </w:p>
        </w:tc>
        <w:tc>
          <w:tcPr>
            <w:tcW w:w="3210" w:type="dxa"/>
          </w:tcPr>
          <w:p w14:paraId="3C6619EC" w14:textId="55EEF7FF" w:rsidR="00033660" w:rsidRPr="000250FE" w:rsidRDefault="00033660" w:rsidP="000250FE">
            <w:pPr>
              <w:jc w:val="both"/>
              <w:rPr>
                <w:rFonts w:ascii="Times New Roman" w:hAnsi="Times New Roman" w:cs="Times New Roman"/>
                <w:b/>
                <w:bCs/>
                <w:sz w:val="24"/>
                <w:szCs w:val="24"/>
                <w:lang w:val="en-GB"/>
              </w:rPr>
            </w:pPr>
            <w:r w:rsidRPr="000250FE">
              <w:rPr>
                <w:rFonts w:ascii="Times New Roman" w:hAnsi="Times New Roman" w:cs="Times New Roman"/>
                <w:b/>
                <w:bCs/>
                <w:sz w:val="24"/>
                <w:szCs w:val="24"/>
                <w:lang w:val="en-GB"/>
              </w:rPr>
              <w:t>Fonte</w:t>
            </w:r>
          </w:p>
        </w:tc>
      </w:tr>
      <w:tr w:rsidR="00033660" w:rsidRPr="000250FE" w14:paraId="5D15C29E" w14:textId="77777777" w:rsidTr="00033660">
        <w:tc>
          <w:tcPr>
            <w:tcW w:w="3209" w:type="dxa"/>
          </w:tcPr>
          <w:p w14:paraId="16ABFDDF" w14:textId="3421FF99" w:rsidR="00033660" w:rsidRPr="000250FE" w:rsidRDefault="00033660" w:rsidP="000250FE">
            <w:pPr>
              <w:jc w:val="both"/>
              <w:rPr>
                <w:rFonts w:ascii="Times New Roman" w:hAnsi="Times New Roman" w:cs="Times New Roman"/>
                <w:sz w:val="24"/>
                <w:szCs w:val="24"/>
                <w:lang w:val="en-GB"/>
              </w:rPr>
            </w:pPr>
            <w:r w:rsidRPr="000250FE">
              <w:rPr>
                <w:rFonts w:ascii="Times New Roman" w:hAnsi="Times New Roman" w:cs="Times New Roman"/>
                <w:sz w:val="24"/>
                <w:szCs w:val="24"/>
              </w:rPr>
              <w:t xml:space="preserve">S&amp;P 500 </w:t>
            </w:r>
            <w:proofErr w:type="spellStart"/>
            <w:r w:rsidRPr="000250FE">
              <w:rPr>
                <w:rFonts w:ascii="Times New Roman" w:hAnsi="Times New Roman" w:cs="Times New Roman"/>
                <w:sz w:val="24"/>
                <w:szCs w:val="24"/>
              </w:rPr>
              <w:t>constituents</w:t>
            </w:r>
            <w:proofErr w:type="spellEnd"/>
          </w:p>
        </w:tc>
        <w:tc>
          <w:tcPr>
            <w:tcW w:w="3209" w:type="dxa"/>
          </w:tcPr>
          <w:p w14:paraId="5F3712BA" w14:textId="770A2A40" w:rsidR="00033660" w:rsidRPr="000250FE" w:rsidRDefault="00033660" w:rsidP="000250FE">
            <w:pPr>
              <w:jc w:val="both"/>
              <w:rPr>
                <w:rFonts w:ascii="Times New Roman" w:hAnsi="Times New Roman" w:cs="Times New Roman"/>
                <w:sz w:val="24"/>
                <w:szCs w:val="24"/>
                <w:lang w:val="en-GB"/>
              </w:rPr>
            </w:pPr>
            <w:r w:rsidRPr="000250FE">
              <w:rPr>
                <w:rFonts w:ascii="Times New Roman" w:hAnsi="Times New Roman" w:cs="Times New Roman"/>
                <w:sz w:val="24"/>
                <w:szCs w:val="24"/>
                <w:lang w:val="en-GB"/>
              </w:rPr>
              <w:t>Open price, close price, market capitalization</w:t>
            </w:r>
          </w:p>
        </w:tc>
        <w:tc>
          <w:tcPr>
            <w:tcW w:w="3210" w:type="dxa"/>
          </w:tcPr>
          <w:p w14:paraId="5ED644AE" w14:textId="3081CBCB" w:rsidR="00033660" w:rsidRPr="000250FE" w:rsidRDefault="00033660" w:rsidP="000250FE">
            <w:pPr>
              <w:jc w:val="both"/>
              <w:rPr>
                <w:rFonts w:ascii="Times New Roman" w:hAnsi="Times New Roman" w:cs="Times New Roman"/>
                <w:sz w:val="24"/>
                <w:szCs w:val="24"/>
                <w:lang w:val="en-GB"/>
              </w:rPr>
            </w:pPr>
            <w:proofErr w:type="spellStart"/>
            <w:r w:rsidRPr="000250FE">
              <w:rPr>
                <w:rFonts w:ascii="Times New Roman" w:hAnsi="Times New Roman" w:cs="Times New Roman"/>
                <w:sz w:val="24"/>
                <w:szCs w:val="24"/>
                <w:lang w:val="en-GB"/>
              </w:rPr>
              <w:t>Refinitive</w:t>
            </w:r>
            <w:proofErr w:type="spellEnd"/>
          </w:p>
        </w:tc>
      </w:tr>
      <w:tr w:rsidR="00033660" w:rsidRPr="000250FE" w14:paraId="4C61EA9F" w14:textId="77777777" w:rsidTr="00033660">
        <w:tc>
          <w:tcPr>
            <w:tcW w:w="3209" w:type="dxa"/>
          </w:tcPr>
          <w:p w14:paraId="26D80775" w14:textId="5A0F4FD6" w:rsidR="00033660" w:rsidRPr="000250FE" w:rsidRDefault="00033660" w:rsidP="000250FE">
            <w:pPr>
              <w:jc w:val="both"/>
              <w:rPr>
                <w:rFonts w:ascii="Times New Roman" w:hAnsi="Times New Roman" w:cs="Times New Roman"/>
                <w:sz w:val="24"/>
                <w:szCs w:val="24"/>
                <w:lang w:val="en-GB"/>
              </w:rPr>
            </w:pPr>
            <w:r w:rsidRPr="000250FE">
              <w:rPr>
                <w:rFonts w:ascii="Times New Roman" w:hAnsi="Times New Roman" w:cs="Times New Roman"/>
                <w:sz w:val="24"/>
                <w:szCs w:val="24"/>
              </w:rPr>
              <w:t>S&amp;P 500 Index</w:t>
            </w:r>
          </w:p>
        </w:tc>
        <w:tc>
          <w:tcPr>
            <w:tcW w:w="3209" w:type="dxa"/>
          </w:tcPr>
          <w:p w14:paraId="48A2E819" w14:textId="2A74707D" w:rsidR="00033660" w:rsidRPr="000250FE" w:rsidRDefault="00033660" w:rsidP="000250FE">
            <w:pPr>
              <w:jc w:val="both"/>
              <w:rPr>
                <w:rFonts w:ascii="Times New Roman" w:hAnsi="Times New Roman" w:cs="Times New Roman"/>
                <w:sz w:val="24"/>
                <w:szCs w:val="24"/>
              </w:rPr>
            </w:pPr>
            <w:r w:rsidRPr="000250FE">
              <w:rPr>
                <w:rFonts w:ascii="Times New Roman" w:hAnsi="Times New Roman" w:cs="Times New Roman"/>
                <w:sz w:val="24"/>
                <w:szCs w:val="24"/>
              </w:rPr>
              <w:t>Prezzi open e close dell’indice</w:t>
            </w:r>
          </w:p>
        </w:tc>
        <w:tc>
          <w:tcPr>
            <w:tcW w:w="3210" w:type="dxa"/>
          </w:tcPr>
          <w:p w14:paraId="2CAEE3B2" w14:textId="0D6D5F92" w:rsidR="00033660" w:rsidRPr="000250FE" w:rsidRDefault="00033660" w:rsidP="000250FE">
            <w:pPr>
              <w:jc w:val="both"/>
              <w:rPr>
                <w:rFonts w:ascii="Times New Roman" w:hAnsi="Times New Roman" w:cs="Times New Roman"/>
                <w:sz w:val="24"/>
                <w:szCs w:val="24"/>
              </w:rPr>
            </w:pPr>
            <w:proofErr w:type="spellStart"/>
            <w:r w:rsidRPr="000250FE">
              <w:rPr>
                <w:rFonts w:ascii="Times New Roman" w:hAnsi="Times New Roman" w:cs="Times New Roman"/>
                <w:sz w:val="24"/>
                <w:szCs w:val="24"/>
              </w:rPr>
              <w:t>Refinitive</w:t>
            </w:r>
            <w:proofErr w:type="spellEnd"/>
          </w:p>
        </w:tc>
      </w:tr>
      <w:tr w:rsidR="00033660" w:rsidRPr="000250FE" w14:paraId="6B9F2B06" w14:textId="77777777" w:rsidTr="00033660">
        <w:tc>
          <w:tcPr>
            <w:tcW w:w="3209" w:type="dxa"/>
          </w:tcPr>
          <w:p w14:paraId="6372B020" w14:textId="664900B2" w:rsidR="00033660" w:rsidRPr="000250FE" w:rsidRDefault="00033660" w:rsidP="000250FE">
            <w:pPr>
              <w:jc w:val="both"/>
              <w:rPr>
                <w:rFonts w:ascii="Times New Roman" w:hAnsi="Times New Roman" w:cs="Times New Roman"/>
                <w:sz w:val="24"/>
                <w:szCs w:val="24"/>
                <w:lang w:val="en-GB"/>
              </w:rPr>
            </w:pPr>
            <w:r w:rsidRPr="000250FE">
              <w:rPr>
                <w:rFonts w:ascii="Times New Roman" w:hAnsi="Times New Roman" w:cs="Times New Roman"/>
                <w:sz w:val="24"/>
                <w:szCs w:val="24"/>
              </w:rPr>
              <w:t>Treasury Bill 1-Month</w:t>
            </w:r>
          </w:p>
        </w:tc>
        <w:tc>
          <w:tcPr>
            <w:tcW w:w="3209" w:type="dxa"/>
          </w:tcPr>
          <w:p w14:paraId="41DB97B6" w14:textId="090421B3" w:rsidR="00033660" w:rsidRPr="000250FE" w:rsidRDefault="00033660" w:rsidP="000250FE">
            <w:pPr>
              <w:jc w:val="both"/>
              <w:rPr>
                <w:rFonts w:ascii="Times New Roman" w:hAnsi="Times New Roman" w:cs="Times New Roman"/>
                <w:sz w:val="24"/>
                <w:szCs w:val="24"/>
                <w:lang w:val="en-GB"/>
              </w:rPr>
            </w:pPr>
            <w:r w:rsidRPr="000250FE">
              <w:rPr>
                <w:rFonts w:ascii="Times New Roman" w:hAnsi="Times New Roman" w:cs="Times New Roman"/>
                <w:sz w:val="24"/>
                <w:szCs w:val="24"/>
              </w:rPr>
              <w:t xml:space="preserve">Risk-free rate </w:t>
            </w:r>
          </w:p>
        </w:tc>
        <w:tc>
          <w:tcPr>
            <w:tcW w:w="3210" w:type="dxa"/>
          </w:tcPr>
          <w:p w14:paraId="20580406" w14:textId="1FECAD91" w:rsidR="00033660" w:rsidRPr="000250FE" w:rsidRDefault="00033660" w:rsidP="000250FE">
            <w:pPr>
              <w:jc w:val="both"/>
              <w:rPr>
                <w:rFonts w:ascii="Times New Roman" w:hAnsi="Times New Roman" w:cs="Times New Roman"/>
                <w:sz w:val="24"/>
                <w:szCs w:val="24"/>
                <w:lang w:val="en-GB"/>
              </w:rPr>
            </w:pPr>
            <w:r w:rsidRPr="000250FE">
              <w:rPr>
                <w:rFonts w:ascii="Times New Roman" w:hAnsi="Times New Roman" w:cs="Times New Roman"/>
                <w:sz w:val="24"/>
                <w:szCs w:val="24"/>
                <w:lang w:val="en-GB"/>
              </w:rPr>
              <w:t>FRED</w:t>
            </w:r>
          </w:p>
        </w:tc>
      </w:tr>
      <w:tr w:rsidR="00033660" w:rsidRPr="000250FE" w14:paraId="4783A948" w14:textId="77777777" w:rsidTr="00033660">
        <w:tc>
          <w:tcPr>
            <w:tcW w:w="3209" w:type="dxa"/>
          </w:tcPr>
          <w:p w14:paraId="54428502" w14:textId="34C487D1" w:rsidR="00033660" w:rsidRPr="000250FE" w:rsidRDefault="00033660" w:rsidP="000250FE">
            <w:pPr>
              <w:jc w:val="both"/>
              <w:rPr>
                <w:rFonts w:ascii="Times New Roman" w:hAnsi="Times New Roman" w:cs="Times New Roman"/>
                <w:sz w:val="24"/>
                <w:szCs w:val="24"/>
                <w:lang w:val="en-GB"/>
              </w:rPr>
            </w:pPr>
            <w:r w:rsidRPr="000250FE">
              <w:rPr>
                <w:rFonts w:ascii="Times New Roman" w:hAnsi="Times New Roman" w:cs="Times New Roman"/>
                <w:sz w:val="24"/>
                <w:szCs w:val="24"/>
              </w:rPr>
              <w:t xml:space="preserve">Fama-French </w:t>
            </w:r>
            <w:proofErr w:type="spellStart"/>
            <w:r w:rsidRPr="000250FE">
              <w:rPr>
                <w:rFonts w:ascii="Times New Roman" w:hAnsi="Times New Roman" w:cs="Times New Roman"/>
                <w:sz w:val="24"/>
                <w:szCs w:val="24"/>
              </w:rPr>
              <w:t>Factors</w:t>
            </w:r>
            <w:proofErr w:type="spellEnd"/>
          </w:p>
        </w:tc>
        <w:tc>
          <w:tcPr>
            <w:tcW w:w="3209" w:type="dxa"/>
          </w:tcPr>
          <w:p w14:paraId="16F57313" w14:textId="4D7B79FE" w:rsidR="00033660" w:rsidRPr="000250FE" w:rsidRDefault="00033660" w:rsidP="000250FE">
            <w:pPr>
              <w:jc w:val="both"/>
              <w:rPr>
                <w:rFonts w:ascii="Times New Roman" w:hAnsi="Times New Roman" w:cs="Times New Roman"/>
                <w:sz w:val="24"/>
                <w:szCs w:val="24"/>
                <w:lang w:val="en-GB"/>
              </w:rPr>
            </w:pPr>
            <w:r w:rsidRPr="000250FE">
              <w:rPr>
                <w:rFonts w:ascii="Times New Roman" w:hAnsi="Times New Roman" w:cs="Times New Roman"/>
                <w:sz w:val="24"/>
                <w:szCs w:val="24"/>
                <w:lang w:val="en-GB"/>
              </w:rPr>
              <w:t>MKT-RF, SMB, HML</w:t>
            </w:r>
          </w:p>
        </w:tc>
        <w:tc>
          <w:tcPr>
            <w:tcW w:w="3210" w:type="dxa"/>
          </w:tcPr>
          <w:p w14:paraId="614C4F1B" w14:textId="1030EF91" w:rsidR="00033660" w:rsidRPr="000250FE" w:rsidRDefault="00033660" w:rsidP="000250FE">
            <w:pPr>
              <w:jc w:val="both"/>
              <w:rPr>
                <w:rFonts w:ascii="Times New Roman" w:hAnsi="Times New Roman" w:cs="Times New Roman"/>
                <w:sz w:val="24"/>
                <w:szCs w:val="24"/>
                <w:lang w:val="en-GB"/>
              </w:rPr>
            </w:pPr>
            <w:r w:rsidRPr="000250FE">
              <w:rPr>
                <w:rFonts w:ascii="Times New Roman" w:hAnsi="Times New Roman" w:cs="Times New Roman"/>
                <w:sz w:val="24"/>
                <w:szCs w:val="24"/>
              </w:rPr>
              <w:t>Kenneth French Data Library</w:t>
            </w:r>
          </w:p>
        </w:tc>
      </w:tr>
      <w:tr w:rsidR="00033660" w:rsidRPr="000250FE" w14:paraId="447A50D0" w14:textId="77777777" w:rsidTr="00033660">
        <w:tc>
          <w:tcPr>
            <w:tcW w:w="3209" w:type="dxa"/>
          </w:tcPr>
          <w:p w14:paraId="4A6E94B6" w14:textId="21F0EEAF" w:rsidR="00033660" w:rsidRPr="000250FE" w:rsidRDefault="00033660" w:rsidP="000250FE">
            <w:pPr>
              <w:jc w:val="both"/>
              <w:rPr>
                <w:rFonts w:ascii="Times New Roman" w:hAnsi="Times New Roman" w:cs="Times New Roman"/>
                <w:sz w:val="24"/>
                <w:szCs w:val="24"/>
                <w:lang w:val="en-GB"/>
              </w:rPr>
            </w:pPr>
            <w:r w:rsidRPr="000250FE">
              <w:rPr>
                <w:rFonts w:ascii="Times New Roman" w:hAnsi="Times New Roman" w:cs="Times New Roman"/>
                <w:sz w:val="24"/>
                <w:szCs w:val="24"/>
              </w:rPr>
              <w:t>Momentum Factor</w:t>
            </w:r>
          </w:p>
        </w:tc>
        <w:tc>
          <w:tcPr>
            <w:tcW w:w="3209" w:type="dxa"/>
          </w:tcPr>
          <w:p w14:paraId="0F4BE023" w14:textId="3FE11640" w:rsidR="00033660" w:rsidRPr="000250FE" w:rsidRDefault="00033660" w:rsidP="000250FE">
            <w:pPr>
              <w:jc w:val="both"/>
              <w:rPr>
                <w:rFonts w:ascii="Times New Roman" w:hAnsi="Times New Roman" w:cs="Times New Roman"/>
                <w:sz w:val="24"/>
                <w:szCs w:val="24"/>
                <w:lang w:val="en-GB"/>
              </w:rPr>
            </w:pPr>
            <w:r w:rsidRPr="000250FE">
              <w:rPr>
                <w:rFonts w:ascii="Times New Roman" w:hAnsi="Times New Roman" w:cs="Times New Roman"/>
                <w:sz w:val="24"/>
                <w:szCs w:val="24"/>
                <w:lang w:val="en-GB"/>
              </w:rPr>
              <w:t>MOM</w:t>
            </w:r>
          </w:p>
        </w:tc>
        <w:tc>
          <w:tcPr>
            <w:tcW w:w="3210" w:type="dxa"/>
          </w:tcPr>
          <w:p w14:paraId="6CE26645" w14:textId="3861E25B" w:rsidR="00033660" w:rsidRPr="000250FE" w:rsidRDefault="00033660" w:rsidP="000250FE">
            <w:pPr>
              <w:jc w:val="both"/>
              <w:rPr>
                <w:rFonts w:ascii="Times New Roman" w:hAnsi="Times New Roman" w:cs="Times New Roman"/>
                <w:sz w:val="24"/>
                <w:szCs w:val="24"/>
                <w:lang w:val="en-GB"/>
              </w:rPr>
            </w:pPr>
            <w:r w:rsidRPr="000250FE">
              <w:rPr>
                <w:rFonts w:ascii="Times New Roman" w:hAnsi="Times New Roman" w:cs="Times New Roman"/>
                <w:sz w:val="24"/>
                <w:szCs w:val="24"/>
              </w:rPr>
              <w:t>Kenneth French Data Library</w:t>
            </w:r>
          </w:p>
        </w:tc>
      </w:tr>
      <w:tr w:rsidR="00033660" w:rsidRPr="000250FE" w14:paraId="2C697C24" w14:textId="77777777" w:rsidTr="00033660">
        <w:tc>
          <w:tcPr>
            <w:tcW w:w="3209" w:type="dxa"/>
          </w:tcPr>
          <w:p w14:paraId="21020D45" w14:textId="01CC5C40" w:rsidR="00033660" w:rsidRPr="000250FE" w:rsidRDefault="00033660" w:rsidP="000250FE">
            <w:pPr>
              <w:jc w:val="both"/>
              <w:rPr>
                <w:rFonts w:ascii="Times New Roman" w:hAnsi="Times New Roman" w:cs="Times New Roman"/>
                <w:sz w:val="24"/>
                <w:szCs w:val="24"/>
                <w:lang w:val="en-GB"/>
              </w:rPr>
            </w:pPr>
            <w:r w:rsidRPr="000250FE">
              <w:rPr>
                <w:rFonts w:ascii="Times New Roman" w:hAnsi="Times New Roman" w:cs="Times New Roman"/>
                <w:sz w:val="24"/>
                <w:szCs w:val="24"/>
              </w:rPr>
              <w:t>LLM Forecasts</w:t>
            </w:r>
          </w:p>
        </w:tc>
        <w:tc>
          <w:tcPr>
            <w:tcW w:w="3209" w:type="dxa"/>
          </w:tcPr>
          <w:p w14:paraId="66C3C8EF" w14:textId="2DE62C10" w:rsidR="00033660" w:rsidRPr="000250FE" w:rsidRDefault="00033660" w:rsidP="000250FE">
            <w:pPr>
              <w:jc w:val="both"/>
              <w:rPr>
                <w:rFonts w:ascii="Times New Roman" w:hAnsi="Times New Roman" w:cs="Times New Roman"/>
                <w:sz w:val="24"/>
                <w:szCs w:val="24"/>
                <w:lang w:val="en-GB"/>
              </w:rPr>
            </w:pPr>
            <w:r w:rsidRPr="000250FE">
              <w:rPr>
                <w:rFonts w:ascii="Times New Roman" w:hAnsi="Times New Roman" w:cs="Times New Roman"/>
                <w:sz w:val="24"/>
                <w:szCs w:val="24"/>
                <w:lang w:val="en-GB"/>
              </w:rPr>
              <w:t>Long picks, short picks, market direction, target prices</w:t>
            </w:r>
          </w:p>
        </w:tc>
        <w:tc>
          <w:tcPr>
            <w:tcW w:w="3210" w:type="dxa"/>
          </w:tcPr>
          <w:p w14:paraId="000073DC" w14:textId="770E441D" w:rsidR="00033660" w:rsidRPr="000250FE" w:rsidRDefault="00033660" w:rsidP="000250FE">
            <w:pPr>
              <w:jc w:val="both"/>
              <w:rPr>
                <w:rFonts w:ascii="Times New Roman" w:hAnsi="Times New Roman" w:cs="Times New Roman"/>
                <w:sz w:val="24"/>
                <w:szCs w:val="24"/>
                <w:lang w:val="en-GB"/>
              </w:rPr>
            </w:pPr>
            <w:r w:rsidRPr="000250FE">
              <w:rPr>
                <w:rFonts w:ascii="Times New Roman" w:hAnsi="Times New Roman" w:cs="Times New Roman"/>
                <w:sz w:val="24"/>
                <w:szCs w:val="24"/>
              </w:rPr>
              <w:t>Elaborazione propria</w:t>
            </w:r>
          </w:p>
        </w:tc>
      </w:tr>
    </w:tbl>
    <w:p w14:paraId="1EF8E5D0" w14:textId="4E5FFC30" w:rsidR="00B7084B" w:rsidRPr="000250FE" w:rsidRDefault="00B7084B" w:rsidP="000250FE">
      <w:pPr>
        <w:jc w:val="both"/>
        <w:rPr>
          <w:rFonts w:ascii="Times New Roman" w:hAnsi="Times New Roman" w:cs="Times New Roman"/>
          <w:sz w:val="24"/>
          <w:szCs w:val="24"/>
        </w:rPr>
      </w:pPr>
      <w:r w:rsidRPr="000250FE">
        <w:rPr>
          <w:rFonts w:ascii="Times New Roman" w:hAnsi="Times New Roman" w:cs="Times New Roman"/>
          <w:i/>
          <w:iCs/>
          <w:sz w:val="24"/>
          <w:szCs w:val="24"/>
        </w:rPr>
        <w:t>Fonte:</w:t>
      </w:r>
      <w:r w:rsidRPr="000250FE">
        <w:rPr>
          <w:rFonts w:ascii="Times New Roman" w:hAnsi="Times New Roman" w:cs="Times New Roman"/>
          <w:sz w:val="24"/>
          <w:szCs w:val="24"/>
        </w:rPr>
        <w:t xml:space="preserve"> elaborazione propria.</w:t>
      </w:r>
    </w:p>
    <w:p w14:paraId="01446302" w14:textId="77777777" w:rsidR="00F8189E" w:rsidRDefault="00F8189E" w:rsidP="00481F32">
      <w:pPr>
        <w:spacing w:after="0" w:line="360" w:lineRule="auto"/>
        <w:ind w:firstLine="284"/>
        <w:jc w:val="both"/>
        <w:rPr>
          <w:rFonts w:ascii="Times New Roman" w:hAnsi="Times New Roman" w:cs="Times New Roman"/>
          <w:sz w:val="24"/>
          <w:szCs w:val="24"/>
        </w:rPr>
      </w:pPr>
      <w:r w:rsidRPr="000250FE">
        <w:rPr>
          <w:rFonts w:ascii="Times New Roman" w:hAnsi="Times New Roman" w:cs="Times New Roman"/>
          <w:sz w:val="24"/>
          <w:szCs w:val="24"/>
        </w:rPr>
        <w:t xml:space="preserve">La capitalizzazione di mercato dei singoli titoli viene inoltre utilizzata nella costruzione dei portafogli value </w:t>
      </w:r>
      <w:proofErr w:type="spellStart"/>
      <w:r w:rsidRPr="000250FE">
        <w:rPr>
          <w:rFonts w:ascii="Times New Roman" w:hAnsi="Times New Roman" w:cs="Times New Roman"/>
          <w:sz w:val="24"/>
          <w:szCs w:val="24"/>
        </w:rPr>
        <w:t>weighted</w:t>
      </w:r>
      <w:proofErr w:type="spellEnd"/>
      <w:r w:rsidRPr="000250FE">
        <w:rPr>
          <w:rFonts w:ascii="Times New Roman" w:hAnsi="Times New Roman" w:cs="Times New Roman"/>
          <w:sz w:val="24"/>
          <w:szCs w:val="24"/>
        </w:rPr>
        <w:t>, consentendo di confrontare differenti schemi di ponderazione e di verificare se la rilevanza economica dei segnali vari in funzione della metodologia di allocazione adottata.</w:t>
      </w:r>
    </w:p>
    <w:p w14:paraId="64945998" w14:textId="77777777" w:rsidR="00481F32" w:rsidRPr="000250FE" w:rsidRDefault="00481F32" w:rsidP="000250FE">
      <w:pPr>
        <w:jc w:val="both"/>
        <w:rPr>
          <w:rFonts w:ascii="Times New Roman" w:hAnsi="Times New Roman" w:cs="Times New Roman"/>
          <w:sz w:val="24"/>
          <w:szCs w:val="24"/>
        </w:rPr>
      </w:pPr>
    </w:p>
    <w:p w14:paraId="3796EA04" w14:textId="70455F5C" w:rsidR="00F8189E" w:rsidRPr="00481F32" w:rsidRDefault="00F8189E" w:rsidP="009663E6">
      <w:pPr>
        <w:pStyle w:val="Titolo2"/>
        <w:spacing w:before="40" w:after="0"/>
        <w:rPr>
          <w:rFonts w:ascii="Times New Roman" w:hAnsi="Times New Roman" w:cs="Times New Roman"/>
          <w:b/>
          <w:bCs/>
          <w:i/>
          <w:iCs/>
          <w:color w:val="auto"/>
          <w:sz w:val="26"/>
          <w:szCs w:val="26"/>
        </w:rPr>
      </w:pPr>
      <w:r w:rsidRPr="00481F32">
        <w:rPr>
          <w:rFonts w:ascii="Times New Roman" w:hAnsi="Times New Roman" w:cs="Times New Roman"/>
          <w:b/>
          <w:bCs/>
          <w:i/>
          <w:iCs/>
          <w:color w:val="auto"/>
          <w:sz w:val="26"/>
          <w:szCs w:val="26"/>
        </w:rPr>
        <w:t>3.2.2 Real-Time Information Environment</w:t>
      </w:r>
    </w:p>
    <w:p w14:paraId="289C3206" w14:textId="77777777" w:rsidR="00481F32" w:rsidRPr="000250FE" w:rsidRDefault="00481F32" w:rsidP="000250FE">
      <w:pPr>
        <w:jc w:val="both"/>
        <w:rPr>
          <w:rFonts w:ascii="Times New Roman" w:hAnsi="Times New Roman" w:cs="Times New Roman"/>
          <w:b/>
          <w:bCs/>
          <w:sz w:val="24"/>
          <w:szCs w:val="24"/>
        </w:rPr>
      </w:pPr>
    </w:p>
    <w:p w14:paraId="339C6E53" w14:textId="77777777" w:rsidR="00F8189E" w:rsidRPr="000250FE" w:rsidRDefault="00F8189E" w:rsidP="00481F32">
      <w:pPr>
        <w:spacing w:after="0" w:line="360" w:lineRule="auto"/>
        <w:ind w:firstLine="284"/>
        <w:jc w:val="both"/>
        <w:rPr>
          <w:rFonts w:ascii="Times New Roman" w:hAnsi="Times New Roman" w:cs="Times New Roman"/>
          <w:sz w:val="24"/>
          <w:szCs w:val="24"/>
        </w:rPr>
      </w:pPr>
      <w:r w:rsidRPr="000250FE">
        <w:rPr>
          <w:rFonts w:ascii="Times New Roman" w:hAnsi="Times New Roman" w:cs="Times New Roman"/>
          <w:sz w:val="24"/>
          <w:szCs w:val="24"/>
        </w:rPr>
        <w:t>Uno degli aspetti centrali del presente studio riguarda la costruzione di un ambiente informativo realistico e temporalmente coerente. A differenza di numerosi lavori presenti nella letteratura, nei quali le previsioni vengono generate retrospettivamente utilizzando dataset costruiti ex post, il framework adottato implementa un protocollo di interrogazione real-time finalizzato a replicare le effettive condizioni operative affrontate dagli investitori nel processo decisionale quotidiano.</w:t>
      </w:r>
    </w:p>
    <w:p w14:paraId="1341476A" w14:textId="77777777" w:rsidR="00F8189E" w:rsidRPr="000250FE" w:rsidRDefault="00F8189E" w:rsidP="00481F32">
      <w:pPr>
        <w:spacing w:after="0" w:line="360" w:lineRule="auto"/>
        <w:ind w:firstLine="284"/>
        <w:jc w:val="both"/>
        <w:rPr>
          <w:rFonts w:ascii="Times New Roman" w:hAnsi="Times New Roman" w:cs="Times New Roman"/>
          <w:sz w:val="24"/>
          <w:szCs w:val="24"/>
        </w:rPr>
      </w:pPr>
      <w:r w:rsidRPr="000250FE">
        <w:rPr>
          <w:rFonts w:ascii="Times New Roman" w:hAnsi="Times New Roman" w:cs="Times New Roman"/>
          <w:sz w:val="24"/>
          <w:szCs w:val="24"/>
        </w:rPr>
        <w:t>Tutte le interrogazioni ai modelli linguistici vengono effettuate prima dell’apertura della sessione di trading statunitense. Di conseguenza, gli LLM possono accedere esclusivamente a informazioni pubblicamente disponibili al momento dell’interrogazione. I rendimenti utilizzati per valutare l’accuratezza delle previsioni vengono invece osservati soltanto successivamente, al termine della giornata di mercato. Tale struttura elimina potenziali fenomeni di look-</w:t>
      </w:r>
      <w:proofErr w:type="spellStart"/>
      <w:r w:rsidRPr="000250FE">
        <w:rPr>
          <w:rFonts w:ascii="Times New Roman" w:hAnsi="Times New Roman" w:cs="Times New Roman"/>
          <w:sz w:val="24"/>
          <w:szCs w:val="24"/>
        </w:rPr>
        <w:t>ahead</w:t>
      </w:r>
      <w:proofErr w:type="spellEnd"/>
      <w:r w:rsidRPr="000250FE">
        <w:rPr>
          <w:rFonts w:ascii="Times New Roman" w:hAnsi="Times New Roman" w:cs="Times New Roman"/>
          <w:sz w:val="24"/>
          <w:szCs w:val="24"/>
        </w:rPr>
        <w:t xml:space="preserve"> bias e </w:t>
      </w:r>
      <w:proofErr w:type="spellStart"/>
      <w:r w:rsidRPr="000250FE">
        <w:rPr>
          <w:rFonts w:ascii="Times New Roman" w:hAnsi="Times New Roman" w:cs="Times New Roman"/>
          <w:sz w:val="24"/>
          <w:szCs w:val="24"/>
        </w:rPr>
        <w:t>hindsight</w:t>
      </w:r>
      <w:proofErr w:type="spellEnd"/>
      <w:r w:rsidRPr="000250FE">
        <w:rPr>
          <w:rFonts w:ascii="Times New Roman" w:hAnsi="Times New Roman" w:cs="Times New Roman"/>
          <w:sz w:val="24"/>
          <w:szCs w:val="24"/>
        </w:rPr>
        <w:t xml:space="preserve"> bias, garantendo che nessuna informazione futura possa influenzare il processo previsionale.</w:t>
      </w:r>
    </w:p>
    <w:p w14:paraId="4A5D5824" w14:textId="77777777" w:rsidR="00F8189E" w:rsidRPr="000250FE" w:rsidRDefault="00F8189E" w:rsidP="00481F32">
      <w:pPr>
        <w:spacing w:after="0" w:line="360" w:lineRule="auto"/>
        <w:ind w:firstLine="284"/>
        <w:jc w:val="both"/>
        <w:rPr>
          <w:rFonts w:ascii="Times New Roman" w:hAnsi="Times New Roman" w:cs="Times New Roman"/>
          <w:sz w:val="24"/>
          <w:szCs w:val="24"/>
        </w:rPr>
      </w:pPr>
      <w:r w:rsidRPr="000250FE">
        <w:rPr>
          <w:rFonts w:ascii="Times New Roman" w:hAnsi="Times New Roman" w:cs="Times New Roman"/>
          <w:sz w:val="24"/>
          <w:szCs w:val="24"/>
        </w:rPr>
        <w:lastRenderedPageBreak/>
        <w:t>L’importanza di tale impostazione metodologica risulta particolarmente rilevante nel contesto degli LLM. Molte applicazioni di modelli linguistici ai mercati finanziari presentano infatti criticità legate alla difficoltà di identificare con precisione il set informativo realmente disponibile al momento della previsione. In presenza di sistemi addestrati su grandi quantità di dati storici e contenuti web, il rischio di contaminazione informativa può risultare elevato, specialmente quando l’analisi viene effettuata retrospettivamente. Il presente studio affronta tale problematica attraverso un framework operativo costruito interamente in tempo reale.</w:t>
      </w:r>
    </w:p>
    <w:p w14:paraId="7A0B447A" w14:textId="6125BE14" w:rsidR="00F8189E" w:rsidRPr="000250FE" w:rsidRDefault="00F8189E" w:rsidP="00481F32">
      <w:pPr>
        <w:spacing w:after="0" w:line="360" w:lineRule="auto"/>
        <w:ind w:firstLine="284"/>
        <w:jc w:val="both"/>
        <w:rPr>
          <w:rFonts w:ascii="Times New Roman" w:hAnsi="Times New Roman" w:cs="Times New Roman"/>
          <w:sz w:val="24"/>
          <w:szCs w:val="24"/>
        </w:rPr>
      </w:pPr>
      <w:r w:rsidRPr="000250FE">
        <w:rPr>
          <w:rFonts w:ascii="Times New Roman" w:hAnsi="Times New Roman" w:cs="Times New Roman"/>
          <w:sz w:val="24"/>
          <w:szCs w:val="24"/>
        </w:rPr>
        <w:t xml:space="preserve">Al fine di valutare il possibile impatto della memoria conversazionale e della personalizzazione delle risposte, l’analisi distingue inoltre tra differenti configurazioni operative dei modelli. In particolare, vengono considerate sia interrogazioni effettuate in modalità </w:t>
      </w:r>
      <w:proofErr w:type="spellStart"/>
      <w:r w:rsidRPr="000250FE">
        <w:rPr>
          <w:rFonts w:ascii="Times New Roman" w:hAnsi="Times New Roman" w:cs="Times New Roman"/>
          <w:sz w:val="24"/>
          <w:szCs w:val="24"/>
        </w:rPr>
        <w:t>logged</w:t>
      </w:r>
      <w:proofErr w:type="spellEnd"/>
      <w:r w:rsidRPr="000250FE">
        <w:rPr>
          <w:rFonts w:ascii="Times New Roman" w:hAnsi="Times New Roman" w:cs="Times New Roman"/>
          <w:sz w:val="24"/>
          <w:szCs w:val="24"/>
        </w:rPr>
        <w:t xml:space="preserve"> sia interrogazioni realizzate in modalità no</w:t>
      </w:r>
      <w:r w:rsidR="00604369" w:rsidRPr="000250FE">
        <w:rPr>
          <w:rFonts w:ascii="Times New Roman" w:hAnsi="Times New Roman" w:cs="Times New Roman"/>
          <w:sz w:val="24"/>
          <w:szCs w:val="24"/>
        </w:rPr>
        <w:t xml:space="preserve"> </w:t>
      </w:r>
      <w:proofErr w:type="spellStart"/>
      <w:r w:rsidRPr="000250FE">
        <w:rPr>
          <w:rFonts w:ascii="Times New Roman" w:hAnsi="Times New Roman" w:cs="Times New Roman"/>
          <w:sz w:val="24"/>
          <w:szCs w:val="24"/>
        </w:rPr>
        <w:t>logged</w:t>
      </w:r>
      <w:proofErr w:type="spellEnd"/>
      <w:r w:rsidRPr="000250FE">
        <w:rPr>
          <w:rFonts w:ascii="Times New Roman" w:hAnsi="Times New Roman" w:cs="Times New Roman"/>
          <w:sz w:val="24"/>
          <w:szCs w:val="24"/>
        </w:rPr>
        <w:t>. Tale distinzione consente di verificare se la presenza di memoria conversazionale o di eventuali forme di adattamento contestuale influenzi la qualità dei segnali generati.</w:t>
      </w:r>
    </w:p>
    <w:p w14:paraId="1D4EEFA3" w14:textId="77777777" w:rsidR="00F8189E" w:rsidRPr="000250FE" w:rsidRDefault="00F8189E" w:rsidP="00481F32">
      <w:pPr>
        <w:spacing w:after="0" w:line="360" w:lineRule="auto"/>
        <w:ind w:firstLine="284"/>
        <w:jc w:val="both"/>
        <w:rPr>
          <w:rFonts w:ascii="Times New Roman" w:hAnsi="Times New Roman" w:cs="Times New Roman"/>
          <w:sz w:val="24"/>
          <w:szCs w:val="24"/>
        </w:rPr>
      </w:pPr>
      <w:r w:rsidRPr="000250FE">
        <w:rPr>
          <w:rFonts w:ascii="Times New Roman" w:hAnsi="Times New Roman" w:cs="Times New Roman"/>
          <w:sz w:val="24"/>
          <w:szCs w:val="24"/>
        </w:rPr>
        <w:t>Per garantire uniformità metodologica, tutte le interrogazioni vengono effettuate seguendo una struttura standardizzata sia nella tempistica sia nella formulazione dei prompt. I modelli ricevono richieste formulate in maniera coerente e neutrale, evitando modifiche linguistiche che possano alterare artificialmente il comportamento dell’algoritmo. Questa standardizzazione risulta essenziale per assicurare comparabilità cross-model e consistenza empirica lungo l’intero periodo campionario.</w:t>
      </w:r>
    </w:p>
    <w:p w14:paraId="784C08AB" w14:textId="77777777" w:rsidR="00F8189E" w:rsidRDefault="00F8189E" w:rsidP="00481F32">
      <w:pPr>
        <w:spacing w:after="0" w:line="360" w:lineRule="auto"/>
        <w:ind w:firstLine="284"/>
        <w:jc w:val="both"/>
        <w:rPr>
          <w:rFonts w:ascii="Times New Roman" w:hAnsi="Times New Roman" w:cs="Times New Roman"/>
          <w:sz w:val="24"/>
          <w:szCs w:val="24"/>
        </w:rPr>
      </w:pPr>
      <w:r w:rsidRPr="000250FE">
        <w:rPr>
          <w:rFonts w:ascii="Times New Roman" w:hAnsi="Times New Roman" w:cs="Times New Roman"/>
          <w:sz w:val="24"/>
          <w:szCs w:val="24"/>
        </w:rPr>
        <w:t>Infine, l’intero protocollo di raccolta dati è progettato per simulare un ambiente realisticamente implementabile in un contesto di trading operativo. L’obiettivo non consiste pertanto nel massimizzare artificialmente le performance previsive dei modelli, bensì nel valutare se segnali generati in condizioni informative realistiche possano contenere contenuto informativo economicamente rilevante.</w:t>
      </w:r>
    </w:p>
    <w:p w14:paraId="6918E117" w14:textId="77777777" w:rsidR="00481F32" w:rsidRPr="000250FE" w:rsidRDefault="00481F32" w:rsidP="00481F32">
      <w:pPr>
        <w:spacing w:line="360" w:lineRule="auto"/>
        <w:ind w:firstLine="709"/>
        <w:jc w:val="both"/>
        <w:rPr>
          <w:rFonts w:ascii="Times New Roman" w:hAnsi="Times New Roman" w:cs="Times New Roman"/>
          <w:sz w:val="24"/>
          <w:szCs w:val="24"/>
        </w:rPr>
      </w:pPr>
    </w:p>
    <w:p w14:paraId="4A39A6FC" w14:textId="77777777" w:rsidR="00F8189E" w:rsidRPr="00481F32" w:rsidRDefault="00F8189E" w:rsidP="009663E6">
      <w:pPr>
        <w:pStyle w:val="Titolo2"/>
        <w:spacing w:before="40" w:after="0"/>
        <w:rPr>
          <w:rFonts w:ascii="Times New Roman" w:hAnsi="Times New Roman" w:cs="Times New Roman"/>
          <w:b/>
          <w:bCs/>
          <w:i/>
          <w:iCs/>
          <w:color w:val="auto"/>
          <w:sz w:val="26"/>
          <w:szCs w:val="26"/>
        </w:rPr>
      </w:pPr>
      <w:r w:rsidRPr="00481F32">
        <w:rPr>
          <w:rFonts w:ascii="Times New Roman" w:hAnsi="Times New Roman" w:cs="Times New Roman"/>
          <w:b/>
          <w:bCs/>
          <w:i/>
          <w:iCs/>
          <w:color w:val="auto"/>
          <w:sz w:val="26"/>
          <w:szCs w:val="26"/>
        </w:rPr>
        <w:t>3.2.3 Forecast Dataset Construction</w:t>
      </w:r>
    </w:p>
    <w:p w14:paraId="21BEBD5B" w14:textId="77777777" w:rsidR="00481F32" w:rsidRPr="000250FE" w:rsidRDefault="00481F32" w:rsidP="000250FE">
      <w:pPr>
        <w:jc w:val="both"/>
        <w:rPr>
          <w:rFonts w:ascii="Times New Roman" w:hAnsi="Times New Roman" w:cs="Times New Roman"/>
          <w:b/>
          <w:bCs/>
          <w:sz w:val="24"/>
          <w:szCs w:val="24"/>
        </w:rPr>
      </w:pPr>
    </w:p>
    <w:p w14:paraId="20C7FC9F" w14:textId="77777777" w:rsidR="00F8189E" w:rsidRPr="000250FE" w:rsidRDefault="00F8189E" w:rsidP="00481F32">
      <w:pPr>
        <w:spacing w:after="0" w:line="360" w:lineRule="auto"/>
        <w:ind w:firstLine="284"/>
        <w:jc w:val="both"/>
        <w:rPr>
          <w:rFonts w:ascii="Times New Roman" w:hAnsi="Times New Roman" w:cs="Times New Roman"/>
          <w:sz w:val="24"/>
          <w:szCs w:val="24"/>
        </w:rPr>
      </w:pPr>
      <w:r w:rsidRPr="000250FE">
        <w:rPr>
          <w:rFonts w:ascii="Times New Roman" w:hAnsi="Times New Roman" w:cs="Times New Roman"/>
          <w:sz w:val="24"/>
          <w:szCs w:val="24"/>
        </w:rPr>
        <w:t>Il dataset finale delle previsioni viene costruito aggregando differenti tipologie di output generati dai modelli linguistici nel corso del periodo di osservazione. In particolare, il framework empirico considera quattro categorie principali di previsioni: selezioni long, selezioni short, previsioni di market timing sull’indice S&amp;P 500 e stime quantitative del prezzo futuro dei titoli.</w:t>
      </w:r>
    </w:p>
    <w:p w14:paraId="333328E5" w14:textId="77777777" w:rsidR="00F8189E" w:rsidRPr="000250FE" w:rsidRDefault="00F8189E" w:rsidP="00481F32">
      <w:pPr>
        <w:spacing w:after="0" w:line="360" w:lineRule="auto"/>
        <w:ind w:firstLine="284"/>
        <w:jc w:val="both"/>
        <w:rPr>
          <w:rFonts w:ascii="Times New Roman" w:hAnsi="Times New Roman" w:cs="Times New Roman"/>
          <w:sz w:val="24"/>
          <w:szCs w:val="24"/>
        </w:rPr>
      </w:pPr>
      <w:r w:rsidRPr="000250FE">
        <w:rPr>
          <w:rFonts w:ascii="Times New Roman" w:hAnsi="Times New Roman" w:cs="Times New Roman"/>
          <w:sz w:val="24"/>
          <w:szCs w:val="24"/>
        </w:rPr>
        <w:lastRenderedPageBreak/>
        <w:t>Per quanto riguarda le selezioni azionarie, ai modelli viene richiesto di identificare, prima dell’apertura del mercato, i titoli con la maggiore probabilità di sovraperformare o sottoperformare nel corso della medesima giornata di trading. I modelli producono quindi ranking ordinati di titoli associati a segnali previsivi positivi o negativi. Le previsioni vengono successivamente archiviate insieme alle informazioni relative alla data dell’interrogazione, al modello utilizzato e al ranking assegnato.</w:t>
      </w:r>
    </w:p>
    <w:p w14:paraId="4CB49775" w14:textId="77777777" w:rsidR="00F8189E" w:rsidRPr="000250FE" w:rsidRDefault="00F8189E" w:rsidP="00481F32">
      <w:pPr>
        <w:spacing w:after="0" w:line="360" w:lineRule="auto"/>
        <w:ind w:firstLine="284"/>
        <w:jc w:val="both"/>
        <w:rPr>
          <w:rFonts w:ascii="Times New Roman" w:hAnsi="Times New Roman" w:cs="Times New Roman"/>
          <w:sz w:val="24"/>
          <w:szCs w:val="24"/>
        </w:rPr>
      </w:pPr>
      <w:r w:rsidRPr="000250FE">
        <w:rPr>
          <w:rFonts w:ascii="Times New Roman" w:hAnsi="Times New Roman" w:cs="Times New Roman"/>
          <w:sz w:val="24"/>
          <w:szCs w:val="24"/>
        </w:rPr>
        <w:t>Al fine di garantire uniformità nella costruzione dei portafogli, l’analisi considera esclusivamente osservazioni complete contenenti il numero richiesto di selezioni giornaliere. Tale procedura consente di mantenere costante la struttura del dataset ed evitare distorsioni derivanti da output incompleti o da variazioni nel numero di titoli selezionati dai modelli.</w:t>
      </w:r>
    </w:p>
    <w:p w14:paraId="47233B2B" w14:textId="77777777" w:rsidR="00F8189E" w:rsidRPr="000250FE" w:rsidRDefault="00F8189E" w:rsidP="00481F32">
      <w:pPr>
        <w:spacing w:after="0" w:line="360" w:lineRule="auto"/>
        <w:ind w:firstLine="284"/>
        <w:jc w:val="both"/>
        <w:rPr>
          <w:rFonts w:ascii="Times New Roman" w:hAnsi="Times New Roman" w:cs="Times New Roman"/>
          <w:sz w:val="24"/>
          <w:szCs w:val="24"/>
        </w:rPr>
      </w:pPr>
      <w:r w:rsidRPr="000250FE">
        <w:rPr>
          <w:rFonts w:ascii="Times New Roman" w:hAnsi="Times New Roman" w:cs="Times New Roman"/>
          <w:sz w:val="24"/>
          <w:szCs w:val="24"/>
        </w:rPr>
        <w:t>Parallelamente alle selezioni long e short, viene costruito un dataset dedicato alle previsioni di market timing relative all’indice S&amp;P 500. In questo caso, gli LLM sono chiamati a prevedere la direzione giornaliera del mercato azionario statunitense, classificando il rendimento atteso dell’indice come positivo o negativo. Le previsioni vengono successivamente confrontate con il rendimento open-to-close effettivamente realizzato dall’indice.</w:t>
      </w:r>
    </w:p>
    <w:p w14:paraId="2DA1CE64" w14:textId="77777777" w:rsidR="00F8189E" w:rsidRPr="000250FE" w:rsidRDefault="00F8189E" w:rsidP="00481F32">
      <w:pPr>
        <w:spacing w:after="0" w:line="360" w:lineRule="auto"/>
        <w:ind w:firstLine="284"/>
        <w:jc w:val="both"/>
        <w:rPr>
          <w:rFonts w:ascii="Times New Roman" w:hAnsi="Times New Roman" w:cs="Times New Roman"/>
          <w:sz w:val="24"/>
          <w:szCs w:val="24"/>
        </w:rPr>
      </w:pPr>
      <w:r w:rsidRPr="000250FE">
        <w:rPr>
          <w:rFonts w:ascii="Times New Roman" w:hAnsi="Times New Roman" w:cs="Times New Roman"/>
          <w:sz w:val="24"/>
          <w:szCs w:val="24"/>
        </w:rPr>
        <w:t>Una terza componente del dataset riguarda le previsioni quantitative di prezzo. Ai modelli viene richiesto di stimare il prezzo futuro di specifici titoli al termine della sessione di trading. Tali previsioni consentono di analizzare non soltanto la correttezza direzionale dei segnali generati, ma anche la capacità degli LLM di stimare la magnitudine dei movimenti di mercato. Le stime di prezzo vengono trasformate in rendimenti previsti e successivamente confrontate con i rendimenti effettivamente osservati.</w:t>
      </w:r>
    </w:p>
    <w:p w14:paraId="3377B024" w14:textId="77777777" w:rsidR="00F8189E" w:rsidRDefault="00F8189E" w:rsidP="00481F32">
      <w:pPr>
        <w:spacing w:after="0" w:line="360" w:lineRule="auto"/>
        <w:ind w:firstLine="284"/>
        <w:jc w:val="both"/>
        <w:rPr>
          <w:rFonts w:ascii="Times New Roman" w:hAnsi="Times New Roman" w:cs="Times New Roman"/>
          <w:sz w:val="24"/>
          <w:szCs w:val="24"/>
        </w:rPr>
      </w:pPr>
      <w:r w:rsidRPr="000250FE">
        <w:rPr>
          <w:rFonts w:ascii="Times New Roman" w:hAnsi="Times New Roman" w:cs="Times New Roman"/>
          <w:sz w:val="24"/>
          <w:szCs w:val="24"/>
        </w:rPr>
        <w:t>L’intero processo di costruzione del dataset viene implementato seguendo criteri di coerenza temporale e standardizzazione operativa. Ogni osservazione contiene esclusivamente informazioni disponibili ex ante e viene associata ai corrispondenti dati di mercato realizzati successivamente alla chiusura della sessione. Tale struttura consente di costruire un framework empirico coerente con un contesto di trading realisticamente implementabile e comparabile tra differenti configurazioni dei modelli linguistici.</w:t>
      </w:r>
    </w:p>
    <w:p w14:paraId="65D427A1" w14:textId="77777777" w:rsidR="00481F32" w:rsidRPr="000250FE" w:rsidRDefault="00481F32" w:rsidP="009663E6">
      <w:pPr>
        <w:spacing w:line="360" w:lineRule="auto"/>
        <w:jc w:val="both"/>
        <w:rPr>
          <w:rFonts w:ascii="Times New Roman" w:hAnsi="Times New Roman" w:cs="Times New Roman"/>
          <w:sz w:val="24"/>
          <w:szCs w:val="24"/>
        </w:rPr>
      </w:pPr>
    </w:p>
    <w:p w14:paraId="11AD1871" w14:textId="77777777" w:rsidR="00F8189E" w:rsidRPr="00481F32" w:rsidRDefault="00F8189E" w:rsidP="009663E6">
      <w:pPr>
        <w:pStyle w:val="Titolo2"/>
        <w:spacing w:before="40" w:after="0"/>
        <w:rPr>
          <w:rFonts w:ascii="Times New Roman" w:hAnsi="Times New Roman" w:cs="Times New Roman"/>
          <w:b/>
          <w:bCs/>
          <w:i/>
          <w:iCs/>
          <w:color w:val="auto"/>
          <w:sz w:val="26"/>
          <w:szCs w:val="26"/>
          <w:lang w:val="en-GB"/>
        </w:rPr>
      </w:pPr>
      <w:r w:rsidRPr="00481F32">
        <w:rPr>
          <w:rFonts w:ascii="Times New Roman" w:hAnsi="Times New Roman" w:cs="Times New Roman"/>
          <w:b/>
          <w:bCs/>
          <w:i/>
          <w:iCs/>
          <w:color w:val="auto"/>
          <w:sz w:val="26"/>
          <w:szCs w:val="26"/>
          <w:lang w:val="en-GB"/>
        </w:rPr>
        <w:t>3.3 LLM Forecast Generation</w:t>
      </w:r>
    </w:p>
    <w:p w14:paraId="2288F31C" w14:textId="77777777" w:rsidR="00481F32" w:rsidRPr="00481F32" w:rsidRDefault="00481F32" w:rsidP="009663E6">
      <w:pPr>
        <w:pStyle w:val="Titolo2"/>
        <w:spacing w:before="0" w:after="160"/>
        <w:rPr>
          <w:rFonts w:ascii="Times New Roman" w:hAnsi="Times New Roman" w:cs="Times New Roman"/>
          <w:b/>
          <w:bCs/>
          <w:i/>
          <w:iCs/>
          <w:color w:val="auto"/>
          <w:sz w:val="26"/>
          <w:szCs w:val="26"/>
          <w:lang w:val="en-GB"/>
        </w:rPr>
      </w:pPr>
    </w:p>
    <w:p w14:paraId="388F65D7" w14:textId="77777777" w:rsidR="00F8189E" w:rsidRPr="00481F32" w:rsidRDefault="00F8189E" w:rsidP="009663E6">
      <w:pPr>
        <w:pStyle w:val="Titolo2"/>
        <w:spacing w:before="40" w:after="0"/>
        <w:rPr>
          <w:rFonts w:ascii="Times New Roman" w:hAnsi="Times New Roman" w:cs="Times New Roman"/>
          <w:b/>
          <w:bCs/>
          <w:i/>
          <w:iCs/>
          <w:color w:val="auto"/>
          <w:sz w:val="26"/>
          <w:szCs w:val="26"/>
          <w:lang w:val="en-GB"/>
        </w:rPr>
      </w:pPr>
      <w:r w:rsidRPr="00481F32">
        <w:rPr>
          <w:rFonts w:ascii="Times New Roman" w:hAnsi="Times New Roman" w:cs="Times New Roman"/>
          <w:b/>
          <w:bCs/>
          <w:i/>
          <w:iCs/>
          <w:color w:val="auto"/>
          <w:sz w:val="26"/>
          <w:szCs w:val="26"/>
          <w:lang w:val="en-GB"/>
        </w:rPr>
        <w:t>3.3.1 Prompt Structure and Standardization</w:t>
      </w:r>
    </w:p>
    <w:p w14:paraId="7D9B4FC4" w14:textId="77777777" w:rsidR="00481F32" w:rsidRPr="000250FE" w:rsidRDefault="00481F32" w:rsidP="000250FE">
      <w:pPr>
        <w:jc w:val="both"/>
        <w:rPr>
          <w:rFonts w:ascii="Times New Roman" w:hAnsi="Times New Roman" w:cs="Times New Roman"/>
          <w:b/>
          <w:bCs/>
          <w:sz w:val="24"/>
          <w:szCs w:val="24"/>
          <w:lang w:val="en-GB"/>
        </w:rPr>
      </w:pPr>
    </w:p>
    <w:p w14:paraId="7042CB2F" w14:textId="77777777" w:rsidR="00F8189E" w:rsidRPr="000250FE" w:rsidRDefault="00F8189E" w:rsidP="00481F32">
      <w:pPr>
        <w:spacing w:after="0" w:line="360" w:lineRule="auto"/>
        <w:ind w:firstLine="284"/>
        <w:jc w:val="both"/>
        <w:rPr>
          <w:rFonts w:ascii="Times New Roman" w:hAnsi="Times New Roman" w:cs="Times New Roman"/>
          <w:sz w:val="24"/>
          <w:szCs w:val="24"/>
        </w:rPr>
      </w:pPr>
      <w:r w:rsidRPr="000250FE">
        <w:rPr>
          <w:rFonts w:ascii="Times New Roman" w:hAnsi="Times New Roman" w:cs="Times New Roman"/>
          <w:sz w:val="24"/>
          <w:szCs w:val="24"/>
        </w:rPr>
        <w:lastRenderedPageBreak/>
        <w:t>La qualità e la comparabilità delle previsioni generate dagli LLM dipendono in misura significativa dalla struttura dei prompt utilizzati nel processo di interrogazione. Per tale ragione, il presente studio adotta un framework di prompt standardizzati finalizzato a minimizzare variazioni artificiali nelle risposte dei modelli e a garantire uniformità metodologica lungo l’intero periodo campionario.</w:t>
      </w:r>
    </w:p>
    <w:p w14:paraId="4D79C15C" w14:textId="77777777" w:rsidR="00F8189E" w:rsidRPr="000250FE" w:rsidRDefault="00F8189E" w:rsidP="00481F32">
      <w:pPr>
        <w:spacing w:after="0" w:line="360" w:lineRule="auto"/>
        <w:ind w:firstLine="284"/>
        <w:jc w:val="both"/>
        <w:rPr>
          <w:rFonts w:ascii="Times New Roman" w:hAnsi="Times New Roman" w:cs="Times New Roman"/>
          <w:sz w:val="24"/>
          <w:szCs w:val="24"/>
        </w:rPr>
      </w:pPr>
      <w:r w:rsidRPr="000250FE">
        <w:rPr>
          <w:rFonts w:ascii="Times New Roman" w:hAnsi="Times New Roman" w:cs="Times New Roman"/>
          <w:sz w:val="24"/>
          <w:szCs w:val="24"/>
        </w:rPr>
        <w:t>Tutte le interrogazioni vengono formulate utilizzando una struttura linguistica coerente e neutrale. I prompt specificano chiaramente il task richiesto, l’orizzonte temporale della previsione e il formato dell’output desiderato, evitando formulazioni ambigue o eccessivamente suggestive che possano influenzare il comportamento del modello. L’obiettivo non consiste nel massimizzare artificialmente le performance previsive attraverso tecniche avanzate di prompt engineering, bensì nel costruire un framework stabile e replicabile per la valutazione empirica delle capacità informative degli LLM.</w:t>
      </w:r>
    </w:p>
    <w:p w14:paraId="52FBC6DB" w14:textId="77777777" w:rsidR="00F8189E" w:rsidRPr="000250FE" w:rsidRDefault="00F8189E" w:rsidP="00481F32">
      <w:pPr>
        <w:spacing w:after="0" w:line="360" w:lineRule="auto"/>
        <w:ind w:firstLine="284"/>
        <w:jc w:val="both"/>
        <w:rPr>
          <w:rFonts w:ascii="Times New Roman" w:hAnsi="Times New Roman" w:cs="Times New Roman"/>
          <w:sz w:val="24"/>
          <w:szCs w:val="24"/>
        </w:rPr>
      </w:pPr>
      <w:r w:rsidRPr="000250FE">
        <w:rPr>
          <w:rFonts w:ascii="Times New Roman" w:hAnsi="Times New Roman" w:cs="Times New Roman"/>
          <w:sz w:val="24"/>
          <w:szCs w:val="24"/>
        </w:rPr>
        <w:t>Nel caso delle selezioni azionarie, i modelli ricevono richieste volte a identificare i titoli con la maggiore probabilità di registrare performance positive o negative nel corso della sessione giornaliera. Le risposte vengono strutturate sotto forma di ranking ordinati, consentendo successivamente la costruzione di differenti strategie di portafoglio. Analogamente, per le attività di market timing, i prompt richiedono una classificazione binaria della direzione attesa dell’indice S&amp;P 500.</w:t>
      </w:r>
    </w:p>
    <w:p w14:paraId="200890A2" w14:textId="77777777" w:rsidR="00F8189E" w:rsidRPr="000250FE" w:rsidRDefault="00F8189E" w:rsidP="00481F32">
      <w:pPr>
        <w:spacing w:after="0" w:line="360" w:lineRule="auto"/>
        <w:ind w:firstLine="284"/>
        <w:jc w:val="both"/>
        <w:rPr>
          <w:rFonts w:ascii="Times New Roman" w:hAnsi="Times New Roman" w:cs="Times New Roman"/>
          <w:sz w:val="24"/>
          <w:szCs w:val="24"/>
        </w:rPr>
      </w:pPr>
      <w:r w:rsidRPr="000250FE">
        <w:rPr>
          <w:rFonts w:ascii="Times New Roman" w:hAnsi="Times New Roman" w:cs="Times New Roman"/>
          <w:sz w:val="24"/>
          <w:szCs w:val="24"/>
        </w:rPr>
        <w:t>Per le previsioni quantitative di prezzo, i modelli sono invece chiamati a fornire una stima numerica del prezzo atteso al termine della giornata di trading. Tali output consentono di valutare la capacità degli LLM di stimare non soltanto il segno dei movimenti di mercato, ma anche la loro intensità relativa.</w:t>
      </w:r>
    </w:p>
    <w:p w14:paraId="03A15EDD" w14:textId="77777777" w:rsidR="00F8189E" w:rsidRPr="000250FE" w:rsidRDefault="00F8189E" w:rsidP="00481F32">
      <w:pPr>
        <w:spacing w:after="0" w:line="360" w:lineRule="auto"/>
        <w:ind w:firstLine="284"/>
        <w:jc w:val="both"/>
        <w:rPr>
          <w:rFonts w:ascii="Times New Roman" w:hAnsi="Times New Roman" w:cs="Times New Roman"/>
          <w:sz w:val="24"/>
          <w:szCs w:val="24"/>
        </w:rPr>
      </w:pPr>
      <w:r w:rsidRPr="000250FE">
        <w:rPr>
          <w:rFonts w:ascii="Times New Roman" w:hAnsi="Times New Roman" w:cs="Times New Roman"/>
          <w:sz w:val="24"/>
          <w:szCs w:val="24"/>
        </w:rPr>
        <w:t>La standardizzazione dei prompt assume un ruolo metodologicamente centrale anche sotto il profilo della comparabilità cross-model. Tutti i modelli vengono interrogati utilizzando richieste semanticamente equivalenti, riducendo il rischio che eventuali differenze nei risultati siano attribuibili a variazioni linguistiche anziché a reali differenze nelle capacità previsive dei sistemi analizzati.</w:t>
      </w:r>
    </w:p>
    <w:p w14:paraId="60C0E6C0" w14:textId="44F76DF4" w:rsidR="00F8189E" w:rsidRPr="000250FE" w:rsidRDefault="00F8189E" w:rsidP="00481F32">
      <w:pPr>
        <w:spacing w:after="0" w:line="360" w:lineRule="auto"/>
        <w:ind w:firstLine="284"/>
        <w:jc w:val="both"/>
        <w:rPr>
          <w:rFonts w:ascii="Times New Roman" w:hAnsi="Times New Roman" w:cs="Times New Roman"/>
          <w:sz w:val="24"/>
          <w:szCs w:val="24"/>
        </w:rPr>
      </w:pPr>
      <w:r w:rsidRPr="000250FE">
        <w:rPr>
          <w:rFonts w:ascii="Times New Roman" w:hAnsi="Times New Roman" w:cs="Times New Roman"/>
          <w:sz w:val="24"/>
          <w:szCs w:val="24"/>
        </w:rPr>
        <w:t>Per ragioni di sintesi espositiva, il testo principale riporta esclusivamente la struttura generale dei prompt utilizzati. Le versioni integrali delle interrogazioni vengono invece riportate in Appendice</w:t>
      </w:r>
      <w:r w:rsidR="004335F1" w:rsidRPr="000250FE">
        <w:rPr>
          <w:rFonts w:ascii="Times New Roman" w:hAnsi="Times New Roman" w:cs="Times New Roman"/>
          <w:sz w:val="24"/>
          <w:szCs w:val="24"/>
        </w:rPr>
        <w:t xml:space="preserve"> A</w:t>
      </w:r>
      <w:r w:rsidR="00783906" w:rsidRPr="000250FE">
        <w:rPr>
          <w:rStyle w:val="Rimandonotaapidipagina"/>
          <w:rFonts w:ascii="Times New Roman" w:hAnsi="Times New Roman" w:cs="Times New Roman"/>
          <w:sz w:val="24"/>
          <w:szCs w:val="24"/>
        </w:rPr>
        <w:footnoteReference w:id="2"/>
      </w:r>
      <w:r w:rsidRPr="000250FE">
        <w:rPr>
          <w:rFonts w:ascii="Times New Roman" w:hAnsi="Times New Roman" w:cs="Times New Roman"/>
          <w:sz w:val="24"/>
          <w:szCs w:val="24"/>
        </w:rPr>
        <w:t>.</w:t>
      </w:r>
    </w:p>
    <w:p w14:paraId="2A07FB9E" w14:textId="261A585E" w:rsidR="00F8189E" w:rsidRDefault="00F8189E" w:rsidP="009663E6">
      <w:pPr>
        <w:pStyle w:val="Titolo2"/>
        <w:spacing w:before="40" w:after="0"/>
        <w:rPr>
          <w:rFonts w:ascii="Times New Roman" w:hAnsi="Times New Roman" w:cs="Times New Roman"/>
          <w:b/>
          <w:bCs/>
          <w:i/>
          <w:iCs/>
          <w:color w:val="auto"/>
          <w:sz w:val="26"/>
          <w:szCs w:val="26"/>
        </w:rPr>
      </w:pPr>
      <w:r w:rsidRPr="00481F32">
        <w:rPr>
          <w:rFonts w:ascii="Times New Roman" w:hAnsi="Times New Roman" w:cs="Times New Roman"/>
          <w:b/>
          <w:bCs/>
          <w:i/>
          <w:iCs/>
          <w:color w:val="auto"/>
          <w:sz w:val="26"/>
          <w:szCs w:val="26"/>
        </w:rPr>
        <w:lastRenderedPageBreak/>
        <w:t xml:space="preserve">3.3.2 Model </w:t>
      </w:r>
      <w:proofErr w:type="spellStart"/>
      <w:r w:rsidRPr="00481F32">
        <w:rPr>
          <w:rFonts w:ascii="Times New Roman" w:hAnsi="Times New Roman" w:cs="Times New Roman"/>
          <w:b/>
          <w:bCs/>
          <w:i/>
          <w:iCs/>
          <w:color w:val="auto"/>
          <w:sz w:val="26"/>
          <w:szCs w:val="26"/>
        </w:rPr>
        <w:t>Configurations</w:t>
      </w:r>
      <w:proofErr w:type="spellEnd"/>
    </w:p>
    <w:p w14:paraId="5D9248E2" w14:textId="77777777" w:rsidR="00481F32" w:rsidRPr="00481F32" w:rsidRDefault="00481F32" w:rsidP="00481F32"/>
    <w:p w14:paraId="0F4C9A98" w14:textId="77777777" w:rsidR="00F8189E" w:rsidRPr="000250FE" w:rsidRDefault="00F8189E" w:rsidP="00481F32">
      <w:pPr>
        <w:spacing w:after="0" w:line="360" w:lineRule="auto"/>
        <w:ind w:firstLine="284"/>
        <w:jc w:val="both"/>
        <w:rPr>
          <w:rFonts w:ascii="Times New Roman" w:hAnsi="Times New Roman" w:cs="Times New Roman"/>
          <w:sz w:val="24"/>
          <w:szCs w:val="24"/>
        </w:rPr>
      </w:pPr>
      <w:r w:rsidRPr="000250FE">
        <w:rPr>
          <w:rFonts w:ascii="Times New Roman" w:hAnsi="Times New Roman" w:cs="Times New Roman"/>
          <w:sz w:val="24"/>
          <w:szCs w:val="24"/>
        </w:rPr>
        <w:t>L’analisi empirica considera differenti configurazioni operative di modelli linguistici di ultima generazione, selezionate con l’obiettivo di confrontare comportamenti previsivi eterogenei all’interno di un framework metodologicamente uniforme. I modelli vengono interrogati quotidianamente seguendo la medesima struttura operativa, così da garantire piena comparabilità tra gli output generati.</w:t>
      </w:r>
    </w:p>
    <w:p w14:paraId="08D3638F" w14:textId="77777777" w:rsidR="00F8189E" w:rsidRPr="000250FE" w:rsidRDefault="00F8189E" w:rsidP="00481F32">
      <w:pPr>
        <w:spacing w:after="0" w:line="360" w:lineRule="auto"/>
        <w:ind w:firstLine="284"/>
        <w:jc w:val="both"/>
        <w:rPr>
          <w:rFonts w:ascii="Times New Roman" w:hAnsi="Times New Roman" w:cs="Times New Roman"/>
          <w:sz w:val="24"/>
          <w:szCs w:val="24"/>
        </w:rPr>
      </w:pPr>
      <w:r w:rsidRPr="000250FE">
        <w:rPr>
          <w:rFonts w:ascii="Times New Roman" w:hAnsi="Times New Roman" w:cs="Times New Roman"/>
          <w:sz w:val="24"/>
          <w:szCs w:val="24"/>
        </w:rPr>
        <w:t xml:space="preserve">Le diverse configurazioni analizzate si distinguono principalmente per modalità di accesso, presenza o assenza di memoria conversazionale e differente livello di personalizzazione dell’interazione. In particolare, una parte delle interrogazioni viene effettuata in modalità </w:t>
      </w:r>
      <w:proofErr w:type="spellStart"/>
      <w:r w:rsidRPr="000250FE">
        <w:rPr>
          <w:rFonts w:ascii="Times New Roman" w:hAnsi="Times New Roman" w:cs="Times New Roman"/>
          <w:sz w:val="24"/>
          <w:szCs w:val="24"/>
        </w:rPr>
        <w:t>logged</w:t>
      </w:r>
      <w:proofErr w:type="spellEnd"/>
      <w:r w:rsidRPr="000250FE">
        <w:rPr>
          <w:rFonts w:ascii="Times New Roman" w:hAnsi="Times New Roman" w:cs="Times New Roman"/>
          <w:sz w:val="24"/>
          <w:szCs w:val="24"/>
        </w:rPr>
        <w:t>, mentre un secondo insieme di interrogazioni viene realizzato in modalità non-</w:t>
      </w:r>
      <w:proofErr w:type="spellStart"/>
      <w:r w:rsidRPr="000250FE">
        <w:rPr>
          <w:rFonts w:ascii="Times New Roman" w:hAnsi="Times New Roman" w:cs="Times New Roman"/>
          <w:sz w:val="24"/>
          <w:szCs w:val="24"/>
        </w:rPr>
        <w:t>logged</w:t>
      </w:r>
      <w:proofErr w:type="spellEnd"/>
      <w:r w:rsidRPr="000250FE">
        <w:rPr>
          <w:rFonts w:ascii="Times New Roman" w:hAnsi="Times New Roman" w:cs="Times New Roman"/>
          <w:sz w:val="24"/>
          <w:szCs w:val="24"/>
        </w:rPr>
        <w:t>. Tale distinzione consente di verificare se eventuali meccanismi di contestualizzazione, memorizzazione delle interazioni precedenti o personalizzazione dell’esperienza utente possano influenzare la qualità delle previsioni finanziarie generate.</w:t>
      </w:r>
    </w:p>
    <w:p w14:paraId="309F0A1D" w14:textId="77777777" w:rsidR="00F8189E" w:rsidRPr="000250FE" w:rsidRDefault="00F8189E" w:rsidP="00481F32">
      <w:pPr>
        <w:spacing w:after="0" w:line="360" w:lineRule="auto"/>
        <w:ind w:firstLine="284"/>
        <w:jc w:val="both"/>
        <w:rPr>
          <w:rFonts w:ascii="Times New Roman" w:hAnsi="Times New Roman" w:cs="Times New Roman"/>
          <w:sz w:val="24"/>
          <w:szCs w:val="24"/>
        </w:rPr>
      </w:pPr>
      <w:r w:rsidRPr="000250FE">
        <w:rPr>
          <w:rFonts w:ascii="Times New Roman" w:hAnsi="Times New Roman" w:cs="Times New Roman"/>
          <w:sz w:val="24"/>
          <w:szCs w:val="24"/>
        </w:rPr>
        <w:t>L’utilizzo di differenti configurazioni operative risponde inoltre all’esigenza di valutare la stabilità dei segnali prodotti dagli LLM in contesti applicativi differenti. In presenza di sistemi caratterizzati da componenti probabilistiche e da elevata sensibilità al contesto conversazionale, la replicabilità delle risposte rappresenta infatti un elemento metodologicamente rilevante. Per tale ragione, il presente studio adotta procedure standardizzate di interrogazione finalizzate a limitare il più possibile variazioni non controllate negli output.</w:t>
      </w:r>
    </w:p>
    <w:p w14:paraId="6053D7F8" w14:textId="77777777" w:rsidR="00F8189E" w:rsidRPr="000250FE" w:rsidRDefault="00F8189E" w:rsidP="00481F32">
      <w:pPr>
        <w:spacing w:after="0" w:line="360" w:lineRule="auto"/>
        <w:ind w:firstLine="284"/>
        <w:jc w:val="both"/>
        <w:rPr>
          <w:rFonts w:ascii="Times New Roman" w:hAnsi="Times New Roman" w:cs="Times New Roman"/>
          <w:sz w:val="24"/>
          <w:szCs w:val="24"/>
        </w:rPr>
      </w:pPr>
      <w:r w:rsidRPr="000250FE">
        <w:rPr>
          <w:rFonts w:ascii="Times New Roman" w:hAnsi="Times New Roman" w:cs="Times New Roman"/>
          <w:sz w:val="24"/>
          <w:szCs w:val="24"/>
        </w:rPr>
        <w:t>È importante sottolineare come l’obiettivo dell’analisi non consista nel confrontare architetture computazionali differenti sotto il profilo tecnico-informatico. Il focus della ricerca rimane esclusivamente economico-finanziario e riguarda la capacità dei modelli di produrre segnali informativi utilizzabili in un contesto di trading intraday. Le differenti configurazioni vengono pertanto considerate come varianti operative di sistemi previsivi, piuttosto che come oggetto autonomo di analisi ingegneristica.</w:t>
      </w:r>
    </w:p>
    <w:p w14:paraId="0B913258" w14:textId="77777777" w:rsidR="00F8189E" w:rsidRDefault="00F8189E" w:rsidP="00481F32">
      <w:pPr>
        <w:spacing w:after="0" w:line="360" w:lineRule="auto"/>
        <w:ind w:firstLine="284"/>
        <w:jc w:val="both"/>
        <w:rPr>
          <w:rFonts w:ascii="Times New Roman" w:hAnsi="Times New Roman" w:cs="Times New Roman"/>
          <w:sz w:val="24"/>
          <w:szCs w:val="24"/>
        </w:rPr>
      </w:pPr>
      <w:r w:rsidRPr="000250FE">
        <w:rPr>
          <w:rFonts w:ascii="Times New Roman" w:hAnsi="Times New Roman" w:cs="Times New Roman"/>
          <w:sz w:val="24"/>
          <w:szCs w:val="24"/>
        </w:rPr>
        <w:t>Tutte le previsioni generate vengono archiviate quotidianamente insieme alle informazioni relative al modello utilizzato, alla data dell’interrogazione e alla tipologia di task richiesto. Tale struttura consente di costruire un dataset panel coerente, successivamente utilizzato nelle analisi di accuratezza direzionale, performance di portafoglio e valutazione risk-</w:t>
      </w:r>
      <w:proofErr w:type="spellStart"/>
      <w:r w:rsidRPr="000250FE">
        <w:rPr>
          <w:rFonts w:ascii="Times New Roman" w:hAnsi="Times New Roman" w:cs="Times New Roman"/>
          <w:sz w:val="24"/>
          <w:szCs w:val="24"/>
        </w:rPr>
        <w:t>adjusted</w:t>
      </w:r>
      <w:proofErr w:type="spellEnd"/>
      <w:r w:rsidRPr="000250FE">
        <w:rPr>
          <w:rFonts w:ascii="Times New Roman" w:hAnsi="Times New Roman" w:cs="Times New Roman"/>
          <w:sz w:val="24"/>
          <w:szCs w:val="24"/>
        </w:rPr>
        <w:t>.</w:t>
      </w:r>
    </w:p>
    <w:p w14:paraId="6FB25210" w14:textId="77777777" w:rsidR="00481F32" w:rsidRPr="000250FE" w:rsidRDefault="00481F32" w:rsidP="00481F32">
      <w:pPr>
        <w:spacing w:line="360" w:lineRule="auto"/>
        <w:ind w:firstLine="284"/>
        <w:jc w:val="both"/>
        <w:rPr>
          <w:rFonts w:ascii="Times New Roman" w:hAnsi="Times New Roman" w:cs="Times New Roman"/>
          <w:sz w:val="24"/>
          <w:szCs w:val="24"/>
        </w:rPr>
      </w:pPr>
    </w:p>
    <w:p w14:paraId="5C450700" w14:textId="77777777" w:rsidR="00F8189E" w:rsidRPr="00481F32" w:rsidRDefault="00F8189E" w:rsidP="009663E6">
      <w:pPr>
        <w:pStyle w:val="Titolo2"/>
        <w:spacing w:before="40" w:after="0"/>
        <w:rPr>
          <w:rFonts w:ascii="Times New Roman" w:hAnsi="Times New Roman" w:cs="Times New Roman"/>
          <w:b/>
          <w:bCs/>
          <w:i/>
          <w:iCs/>
          <w:color w:val="auto"/>
          <w:sz w:val="26"/>
          <w:szCs w:val="26"/>
        </w:rPr>
      </w:pPr>
      <w:r w:rsidRPr="00481F32">
        <w:rPr>
          <w:rFonts w:ascii="Times New Roman" w:hAnsi="Times New Roman" w:cs="Times New Roman"/>
          <w:b/>
          <w:bCs/>
          <w:i/>
          <w:iCs/>
          <w:color w:val="auto"/>
          <w:sz w:val="26"/>
          <w:szCs w:val="26"/>
        </w:rPr>
        <w:t xml:space="preserve">3.3.3 Timing </w:t>
      </w:r>
      <w:proofErr w:type="spellStart"/>
      <w:r w:rsidRPr="00481F32">
        <w:rPr>
          <w:rFonts w:ascii="Times New Roman" w:hAnsi="Times New Roman" w:cs="Times New Roman"/>
          <w:b/>
          <w:bCs/>
          <w:i/>
          <w:iCs/>
          <w:color w:val="auto"/>
          <w:sz w:val="26"/>
          <w:szCs w:val="26"/>
        </w:rPr>
        <w:t>Consistency</w:t>
      </w:r>
      <w:proofErr w:type="spellEnd"/>
      <w:r w:rsidRPr="00481F32">
        <w:rPr>
          <w:rFonts w:ascii="Times New Roman" w:hAnsi="Times New Roman" w:cs="Times New Roman"/>
          <w:b/>
          <w:bCs/>
          <w:i/>
          <w:iCs/>
          <w:color w:val="auto"/>
          <w:sz w:val="26"/>
          <w:szCs w:val="26"/>
        </w:rPr>
        <w:t xml:space="preserve"> and Information Control</w:t>
      </w:r>
    </w:p>
    <w:p w14:paraId="3E3C534F" w14:textId="77777777" w:rsidR="00481F32" w:rsidRPr="000250FE" w:rsidRDefault="00481F32" w:rsidP="000250FE">
      <w:pPr>
        <w:jc w:val="both"/>
        <w:rPr>
          <w:rFonts w:ascii="Times New Roman" w:hAnsi="Times New Roman" w:cs="Times New Roman"/>
          <w:b/>
          <w:bCs/>
          <w:sz w:val="24"/>
          <w:szCs w:val="24"/>
        </w:rPr>
      </w:pPr>
    </w:p>
    <w:p w14:paraId="5F2A6B35" w14:textId="77777777" w:rsidR="00F8189E" w:rsidRPr="000250FE" w:rsidRDefault="00F8189E" w:rsidP="00481F32">
      <w:pPr>
        <w:spacing w:after="0" w:line="360" w:lineRule="auto"/>
        <w:ind w:firstLine="284"/>
        <w:jc w:val="both"/>
        <w:rPr>
          <w:rFonts w:ascii="Times New Roman" w:hAnsi="Times New Roman" w:cs="Times New Roman"/>
          <w:sz w:val="24"/>
          <w:szCs w:val="24"/>
        </w:rPr>
      </w:pPr>
      <w:r w:rsidRPr="000250FE">
        <w:rPr>
          <w:rFonts w:ascii="Times New Roman" w:hAnsi="Times New Roman" w:cs="Times New Roman"/>
          <w:sz w:val="24"/>
          <w:szCs w:val="24"/>
        </w:rPr>
        <w:lastRenderedPageBreak/>
        <w:t>La coerenza temporale tra informazione disponibile, generazione delle previsioni e osservazione dei rendimenti realizzati costituisce uno degli elementi metodologici fondamentali del presente studio. L’intero framework empirico viene infatti costruito imponendo rigorosi vincoli di timing finalizzati a garantire la piena separazione tra informazioni ex ante e risultati osservati ex post.</w:t>
      </w:r>
    </w:p>
    <w:p w14:paraId="795FB2C8" w14:textId="77777777" w:rsidR="00F8189E" w:rsidRPr="000250FE" w:rsidRDefault="00F8189E" w:rsidP="00481F32">
      <w:pPr>
        <w:spacing w:after="0" w:line="360" w:lineRule="auto"/>
        <w:ind w:firstLine="284"/>
        <w:jc w:val="both"/>
        <w:rPr>
          <w:rFonts w:ascii="Times New Roman" w:hAnsi="Times New Roman" w:cs="Times New Roman"/>
          <w:sz w:val="24"/>
          <w:szCs w:val="24"/>
        </w:rPr>
      </w:pPr>
      <w:r w:rsidRPr="000250FE">
        <w:rPr>
          <w:rFonts w:ascii="Times New Roman" w:hAnsi="Times New Roman" w:cs="Times New Roman"/>
          <w:sz w:val="24"/>
          <w:szCs w:val="24"/>
        </w:rPr>
        <w:t>Tutte le interrogazioni ai modelli linguistici vengono effettuate prima dell’apertura della sessione di trading statunitense. Di conseguenza, gli LLM possono utilizzare esclusivamente informazioni pubbliche disponibili al momento dell’interrogazione, senza alcun accesso ai movimenti di prezzo che si realizzeranno successivamente nel corso della giornata. I rendimenti effettivi vengono infatti calcolati soltanto dopo la chiusura del mercato utilizzando prezzi open-to-close osservati ex post.</w:t>
      </w:r>
    </w:p>
    <w:p w14:paraId="675A9D63" w14:textId="77777777" w:rsidR="00F8189E" w:rsidRPr="000250FE" w:rsidRDefault="00F8189E" w:rsidP="00481F32">
      <w:pPr>
        <w:spacing w:after="0" w:line="360" w:lineRule="auto"/>
        <w:ind w:firstLine="284"/>
        <w:jc w:val="both"/>
        <w:rPr>
          <w:rFonts w:ascii="Times New Roman" w:hAnsi="Times New Roman" w:cs="Times New Roman"/>
          <w:sz w:val="24"/>
          <w:szCs w:val="24"/>
        </w:rPr>
      </w:pPr>
      <w:r w:rsidRPr="000250FE">
        <w:rPr>
          <w:rFonts w:ascii="Times New Roman" w:hAnsi="Times New Roman" w:cs="Times New Roman"/>
          <w:sz w:val="24"/>
          <w:szCs w:val="24"/>
        </w:rPr>
        <w:t>Questa struttura temporale consente di eliminare potenziali fenomeni di contaminazione informativa frequentemente presenti nei framework retrospettivi. In particolare, l’utilizzo di dati costruiti ex post può introdurre inconsistenze temporali difficilmente osservabili, specialmente nel contesto dei modelli linguistici addestrati su grandi quantità di contenuti web e informazioni storiche. Il presente studio affronta tale problematica mediante un protocollo di raccolta dati interamente implementato in tempo reale.</w:t>
      </w:r>
    </w:p>
    <w:p w14:paraId="1A54CD30" w14:textId="77777777" w:rsidR="00F8189E" w:rsidRPr="000250FE" w:rsidRDefault="00F8189E" w:rsidP="00481F32">
      <w:pPr>
        <w:spacing w:after="0" w:line="360" w:lineRule="auto"/>
        <w:ind w:firstLine="284"/>
        <w:jc w:val="both"/>
        <w:rPr>
          <w:rFonts w:ascii="Times New Roman" w:hAnsi="Times New Roman" w:cs="Times New Roman"/>
          <w:sz w:val="24"/>
          <w:szCs w:val="24"/>
        </w:rPr>
      </w:pPr>
      <w:r w:rsidRPr="000250FE">
        <w:rPr>
          <w:rFonts w:ascii="Times New Roman" w:hAnsi="Times New Roman" w:cs="Times New Roman"/>
          <w:sz w:val="24"/>
          <w:szCs w:val="24"/>
        </w:rPr>
        <w:t>La tempistica delle interrogazioni viene inoltre mantenuta costante lungo l’intero periodo campionario. Tale scelta riduce il rischio che differenze nei risultati siano influenzate da variazioni nel set informativo disponibile ai modelli in differenti momenti della giornata. Allo stesso modo, la struttura dei prompt e l’universo investibile rimangono invariati durante tutto il periodo di osservazione, contribuendo a preservare stabilità metodologica e comparabilità empirica.</w:t>
      </w:r>
    </w:p>
    <w:p w14:paraId="42506555" w14:textId="77777777" w:rsidR="00F8189E" w:rsidRPr="000250FE" w:rsidRDefault="00F8189E" w:rsidP="00481F32">
      <w:pPr>
        <w:spacing w:after="0" w:line="360" w:lineRule="auto"/>
        <w:ind w:firstLine="284"/>
        <w:jc w:val="both"/>
        <w:rPr>
          <w:rFonts w:ascii="Times New Roman" w:hAnsi="Times New Roman" w:cs="Times New Roman"/>
          <w:sz w:val="24"/>
          <w:szCs w:val="24"/>
        </w:rPr>
      </w:pPr>
      <w:r w:rsidRPr="000250FE">
        <w:rPr>
          <w:rFonts w:ascii="Times New Roman" w:hAnsi="Times New Roman" w:cs="Times New Roman"/>
          <w:sz w:val="24"/>
          <w:szCs w:val="24"/>
        </w:rPr>
        <w:t>Il framework adottato risulta coerente con la logica utilizzata nei più recenti studi che confrontano sistemi di intelligenza artificiale e forecasting finanziario in contesti realistici (Cao et al., 2024). Tuttavia, il presente lavoro estende tale impostazione a un orizzonte intraday, caratterizzato da maggiore rumorosità informativa, tempi di incorporazione delle notizie significativamente più rapidi e livelli di efficienza di mercato particolarmente elevati.</w:t>
      </w:r>
    </w:p>
    <w:p w14:paraId="214C3EE1" w14:textId="3E8FA36C" w:rsidR="00F8189E" w:rsidRDefault="00F8189E" w:rsidP="00481F32">
      <w:pPr>
        <w:spacing w:after="0" w:line="360" w:lineRule="auto"/>
        <w:ind w:firstLine="284"/>
        <w:jc w:val="both"/>
        <w:rPr>
          <w:rFonts w:ascii="Times New Roman" w:hAnsi="Times New Roman" w:cs="Times New Roman"/>
          <w:sz w:val="24"/>
          <w:szCs w:val="24"/>
        </w:rPr>
      </w:pPr>
      <w:r w:rsidRPr="000250FE">
        <w:rPr>
          <w:rFonts w:ascii="Times New Roman" w:hAnsi="Times New Roman" w:cs="Times New Roman"/>
          <w:sz w:val="24"/>
          <w:szCs w:val="24"/>
        </w:rPr>
        <w:t xml:space="preserve">La rigorosa separazione tra informazioni disponibili al tempo </w:t>
      </w:r>
      <m:oMath>
        <m:r>
          <w:rPr>
            <w:rFonts w:ascii="Cambria Math" w:hAnsi="Cambria Math" w:cs="Times New Roman"/>
            <w:sz w:val="24"/>
            <w:szCs w:val="24"/>
          </w:rPr>
          <m:t>t</m:t>
        </m:r>
      </m:oMath>
      <w:r w:rsidRPr="000250FE">
        <w:rPr>
          <w:rFonts w:ascii="Times New Roman" w:hAnsi="Times New Roman" w:cs="Times New Roman"/>
          <w:sz w:val="24"/>
          <w:szCs w:val="24"/>
        </w:rPr>
        <w:t xml:space="preserve"> e rendimenti osservati successivamente rappresenta quindi una condizione essenziale per valutare in modo credibile il contenuto informativo dei segnali generati dagli LLM. In assenza di tale controllo temporale, eventuali risultati positivi potrebbero riflettere semplicemente fenomeni di leakage informativo o contaminazioni ex post piuttosto che reale capacità previsiva.</w:t>
      </w:r>
    </w:p>
    <w:p w14:paraId="4FBF657F" w14:textId="77777777" w:rsidR="00481F32" w:rsidRPr="000250FE" w:rsidRDefault="00481F32" w:rsidP="00481F32">
      <w:pPr>
        <w:spacing w:after="0" w:line="360" w:lineRule="auto"/>
        <w:ind w:firstLine="284"/>
        <w:jc w:val="both"/>
        <w:rPr>
          <w:rFonts w:ascii="Times New Roman" w:hAnsi="Times New Roman" w:cs="Times New Roman"/>
          <w:sz w:val="24"/>
          <w:szCs w:val="24"/>
        </w:rPr>
      </w:pPr>
    </w:p>
    <w:p w14:paraId="42AEA6E6" w14:textId="77777777" w:rsidR="00F8189E" w:rsidRPr="00481F32" w:rsidRDefault="00F8189E" w:rsidP="009663E6">
      <w:pPr>
        <w:pStyle w:val="Titolo2"/>
        <w:spacing w:before="40" w:after="0"/>
        <w:rPr>
          <w:rFonts w:ascii="Times New Roman" w:hAnsi="Times New Roman" w:cs="Times New Roman"/>
          <w:b/>
          <w:bCs/>
          <w:i/>
          <w:iCs/>
          <w:color w:val="auto"/>
          <w:sz w:val="26"/>
          <w:szCs w:val="26"/>
        </w:rPr>
      </w:pPr>
      <w:r w:rsidRPr="00481F32">
        <w:rPr>
          <w:rFonts w:ascii="Times New Roman" w:hAnsi="Times New Roman" w:cs="Times New Roman"/>
          <w:b/>
          <w:bCs/>
          <w:i/>
          <w:iCs/>
          <w:color w:val="auto"/>
          <w:sz w:val="26"/>
          <w:szCs w:val="26"/>
        </w:rPr>
        <w:lastRenderedPageBreak/>
        <w:t>3.4 Portfolio Construction</w:t>
      </w:r>
    </w:p>
    <w:p w14:paraId="79DB9D3C" w14:textId="77777777" w:rsidR="00481F32" w:rsidRPr="00481F32" w:rsidRDefault="00481F32" w:rsidP="00481F32">
      <w:pPr>
        <w:pStyle w:val="Titolo2"/>
        <w:rPr>
          <w:rFonts w:ascii="Times New Roman" w:hAnsi="Times New Roman" w:cs="Times New Roman"/>
          <w:b/>
          <w:bCs/>
          <w:i/>
          <w:iCs/>
          <w:color w:val="auto"/>
          <w:sz w:val="26"/>
          <w:szCs w:val="26"/>
        </w:rPr>
      </w:pPr>
    </w:p>
    <w:p w14:paraId="41459428" w14:textId="77777777" w:rsidR="00F8189E" w:rsidRPr="00481F32" w:rsidRDefault="00F8189E" w:rsidP="009663E6">
      <w:pPr>
        <w:pStyle w:val="Titolo2"/>
        <w:spacing w:before="40" w:after="0"/>
        <w:rPr>
          <w:rFonts w:ascii="Times New Roman" w:hAnsi="Times New Roman" w:cs="Times New Roman"/>
          <w:b/>
          <w:bCs/>
          <w:i/>
          <w:iCs/>
          <w:color w:val="auto"/>
          <w:sz w:val="26"/>
          <w:szCs w:val="26"/>
        </w:rPr>
      </w:pPr>
      <w:r w:rsidRPr="00481F32">
        <w:rPr>
          <w:rFonts w:ascii="Times New Roman" w:hAnsi="Times New Roman" w:cs="Times New Roman"/>
          <w:b/>
          <w:bCs/>
          <w:i/>
          <w:iCs/>
          <w:color w:val="auto"/>
          <w:sz w:val="26"/>
          <w:szCs w:val="26"/>
        </w:rPr>
        <w:t>3.4.1 Trading Signal Construction</w:t>
      </w:r>
    </w:p>
    <w:p w14:paraId="26CAF722" w14:textId="77777777" w:rsidR="00481F32" w:rsidRPr="000250FE" w:rsidRDefault="00481F32" w:rsidP="000250FE">
      <w:pPr>
        <w:jc w:val="both"/>
        <w:rPr>
          <w:rFonts w:ascii="Times New Roman" w:hAnsi="Times New Roman" w:cs="Times New Roman"/>
          <w:b/>
          <w:bCs/>
          <w:sz w:val="24"/>
          <w:szCs w:val="24"/>
        </w:rPr>
      </w:pPr>
    </w:p>
    <w:p w14:paraId="25518AC4" w14:textId="77777777" w:rsidR="00F8189E" w:rsidRPr="000250FE" w:rsidRDefault="00F8189E" w:rsidP="00481F32">
      <w:pPr>
        <w:spacing w:after="0" w:line="360" w:lineRule="auto"/>
        <w:ind w:firstLine="284"/>
        <w:jc w:val="both"/>
        <w:rPr>
          <w:rFonts w:ascii="Times New Roman" w:hAnsi="Times New Roman" w:cs="Times New Roman"/>
          <w:sz w:val="24"/>
          <w:szCs w:val="24"/>
        </w:rPr>
      </w:pPr>
      <w:r w:rsidRPr="000250FE">
        <w:rPr>
          <w:rFonts w:ascii="Times New Roman" w:hAnsi="Times New Roman" w:cs="Times New Roman"/>
          <w:sz w:val="24"/>
          <w:szCs w:val="24"/>
        </w:rPr>
        <w:t>Le previsioni generate dai modelli linguistici vengono successivamente trasformate in segnali operativi utilizzabili per la costruzione di strategie di portafoglio intraday. L’obiettivo di tale procedura consiste nel valutare se eventuali capacità previsive degli LLM possano tradursi in risultati economicamente rilevanti in un contesto di trading realisticamente implementabile.</w:t>
      </w:r>
    </w:p>
    <w:p w14:paraId="44453893" w14:textId="77777777" w:rsidR="00F8189E" w:rsidRPr="000250FE" w:rsidRDefault="00F8189E" w:rsidP="00481F32">
      <w:pPr>
        <w:spacing w:after="0" w:line="360" w:lineRule="auto"/>
        <w:ind w:firstLine="284"/>
        <w:jc w:val="both"/>
        <w:rPr>
          <w:rFonts w:ascii="Times New Roman" w:hAnsi="Times New Roman" w:cs="Times New Roman"/>
          <w:sz w:val="24"/>
          <w:szCs w:val="24"/>
        </w:rPr>
      </w:pPr>
      <w:r w:rsidRPr="000250FE">
        <w:rPr>
          <w:rFonts w:ascii="Times New Roman" w:hAnsi="Times New Roman" w:cs="Times New Roman"/>
          <w:sz w:val="24"/>
          <w:szCs w:val="24"/>
        </w:rPr>
        <w:t>Nel caso delle selezioni azionarie, ciascun modello produce quotidianamente una lista ordinata di titoli associati a segnali previsivi positivi o negativi. I titoli selezionati vengono successivamente classificati come posizioni long o short sulla base della direzione attesa del rendimento intraday. Per le selezioni positive, il framework assume l’apertura di posizioni long all’inizio della sessione di trading e la chiusura delle stesse al termine della giornata. Simmetricamente, per le selezioni negative viene simulata l’apertura di posizioni short mantenute esclusivamente durante l’orizzonte intraday considerato.</w:t>
      </w:r>
    </w:p>
    <w:p w14:paraId="2E984229" w14:textId="77777777" w:rsidR="00F8189E" w:rsidRPr="000250FE" w:rsidRDefault="00F8189E" w:rsidP="00481F32">
      <w:pPr>
        <w:spacing w:after="0" w:line="360" w:lineRule="auto"/>
        <w:ind w:firstLine="284"/>
        <w:jc w:val="both"/>
        <w:rPr>
          <w:rFonts w:ascii="Times New Roman" w:hAnsi="Times New Roman" w:cs="Times New Roman"/>
          <w:sz w:val="24"/>
          <w:szCs w:val="24"/>
        </w:rPr>
      </w:pPr>
      <w:r w:rsidRPr="000250FE">
        <w:rPr>
          <w:rFonts w:ascii="Times New Roman" w:hAnsi="Times New Roman" w:cs="Times New Roman"/>
          <w:sz w:val="24"/>
          <w:szCs w:val="24"/>
        </w:rPr>
        <w:t>Al fine di garantire omogeneità nella costruzione dei portafogli, l’analisi considera esclusivamente giornate contenenti il numero completo di selezioni richieste dal protocollo di interrogazione. Questa scelta metodologica consente di mantenere costante la struttura dei portafogli lungo l’intero periodo campionario ed evitare distorsioni riconducibili a osservazioni incomplete.</w:t>
      </w:r>
    </w:p>
    <w:p w14:paraId="222EE1CF" w14:textId="77777777" w:rsidR="00F8189E" w:rsidRPr="000250FE" w:rsidRDefault="00F8189E" w:rsidP="00481F32">
      <w:pPr>
        <w:spacing w:after="0" w:line="360" w:lineRule="auto"/>
        <w:ind w:firstLine="284"/>
        <w:jc w:val="both"/>
        <w:rPr>
          <w:rFonts w:ascii="Times New Roman" w:hAnsi="Times New Roman" w:cs="Times New Roman"/>
          <w:sz w:val="24"/>
          <w:szCs w:val="24"/>
        </w:rPr>
      </w:pPr>
      <w:r w:rsidRPr="000250FE">
        <w:rPr>
          <w:rFonts w:ascii="Times New Roman" w:hAnsi="Times New Roman" w:cs="Times New Roman"/>
          <w:sz w:val="24"/>
          <w:szCs w:val="24"/>
        </w:rPr>
        <w:t>Per ogni titolo selezionato viene successivamente calcolato il rendimento open-to-close realizzato nel corso della giornata di trading. Nel caso delle posizioni short, i rendimenti vengono trasformati assumendo una relazione inversa rispetto alla variazione di prezzo osservata, così da rendere comparabili le performance delle differenti tipologie di segnale.</w:t>
      </w:r>
    </w:p>
    <w:p w14:paraId="7B997D8A" w14:textId="77777777" w:rsidR="00F8189E" w:rsidRDefault="00F8189E" w:rsidP="00481F32">
      <w:pPr>
        <w:spacing w:after="0" w:line="360" w:lineRule="auto"/>
        <w:ind w:firstLine="284"/>
        <w:jc w:val="both"/>
        <w:rPr>
          <w:rFonts w:ascii="Times New Roman" w:hAnsi="Times New Roman" w:cs="Times New Roman"/>
          <w:sz w:val="24"/>
          <w:szCs w:val="24"/>
        </w:rPr>
      </w:pPr>
      <w:r w:rsidRPr="000250FE">
        <w:rPr>
          <w:rFonts w:ascii="Times New Roman" w:hAnsi="Times New Roman" w:cs="Times New Roman"/>
          <w:sz w:val="24"/>
          <w:szCs w:val="24"/>
        </w:rPr>
        <w:t>Parallelamente alle strategie cross-sectional sui singoli titoli, il framework considera anche segnali di market timing relativi all’indice S&amp;P 500. In questo caso, i modelli producono previsioni binarie sulla direzione giornaliera del mercato azionario statunitense, successivamente confrontate con il segno del rendimento intraday effettivamente realizzato dall’indice.</w:t>
      </w:r>
    </w:p>
    <w:p w14:paraId="7E27F377" w14:textId="77777777" w:rsidR="00481F32" w:rsidRPr="000250FE" w:rsidRDefault="00481F32" w:rsidP="00481F32">
      <w:pPr>
        <w:spacing w:line="360" w:lineRule="auto"/>
        <w:ind w:firstLine="284"/>
        <w:jc w:val="both"/>
        <w:rPr>
          <w:rFonts w:ascii="Times New Roman" w:hAnsi="Times New Roman" w:cs="Times New Roman"/>
          <w:sz w:val="24"/>
          <w:szCs w:val="24"/>
        </w:rPr>
      </w:pPr>
    </w:p>
    <w:p w14:paraId="4A7211F1" w14:textId="77777777" w:rsidR="00F8189E" w:rsidRPr="009663E6" w:rsidRDefault="00F8189E" w:rsidP="009663E6">
      <w:pPr>
        <w:pStyle w:val="Titolo2"/>
        <w:spacing w:before="40" w:after="0"/>
        <w:rPr>
          <w:rStyle w:val="Enfasidelicata"/>
          <w:rFonts w:ascii="Times New Roman" w:hAnsi="Times New Roman" w:cs="Times New Roman"/>
          <w:b/>
          <w:bCs/>
          <w:color w:val="auto"/>
          <w:sz w:val="26"/>
          <w:szCs w:val="26"/>
        </w:rPr>
      </w:pPr>
      <w:r w:rsidRPr="009663E6">
        <w:rPr>
          <w:rStyle w:val="Enfasidelicata"/>
          <w:rFonts w:ascii="Times New Roman" w:hAnsi="Times New Roman" w:cs="Times New Roman"/>
          <w:b/>
          <w:bCs/>
          <w:color w:val="auto"/>
          <w:sz w:val="26"/>
          <w:szCs w:val="26"/>
        </w:rPr>
        <w:t xml:space="preserve">3.4.2 Portfolio </w:t>
      </w:r>
      <w:proofErr w:type="spellStart"/>
      <w:r w:rsidRPr="009663E6">
        <w:rPr>
          <w:rStyle w:val="Enfasidelicata"/>
          <w:rFonts w:ascii="Times New Roman" w:hAnsi="Times New Roman" w:cs="Times New Roman"/>
          <w:b/>
          <w:bCs/>
          <w:color w:val="auto"/>
          <w:sz w:val="26"/>
          <w:szCs w:val="26"/>
        </w:rPr>
        <w:t>Weighting</w:t>
      </w:r>
      <w:proofErr w:type="spellEnd"/>
      <w:r w:rsidRPr="009663E6">
        <w:rPr>
          <w:rStyle w:val="Enfasidelicata"/>
          <w:rFonts w:ascii="Times New Roman" w:hAnsi="Times New Roman" w:cs="Times New Roman"/>
          <w:b/>
          <w:bCs/>
          <w:color w:val="auto"/>
          <w:sz w:val="26"/>
          <w:szCs w:val="26"/>
        </w:rPr>
        <w:t xml:space="preserve"> </w:t>
      </w:r>
      <w:proofErr w:type="spellStart"/>
      <w:r w:rsidRPr="009663E6">
        <w:rPr>
          <w:rStyle w:val="Enfasidelicata"/>
          <w:rFonts w:ascii="Times New Roman" w:hAnsi="Times New Roman" w:cs="Times New Roman"/>
          <w:b/>
          <w:bCs/>
          <w:color w:val="auto"/>
          <w:sz w:val="26"/>
          <w:szCs w:val="26"/>
        </w:rPr>
        <w:t>Schemes</w:t>
      </w:r>
      <w:proofErr w:type="spellEnd"/>
    </w:p>
    <w:p w14:paraId="57985657" w14:textId="77777777" w:rsidR="009663E6" w:rsidRPr="000250FE" w:rsidRDefault="009663E6" w:rsidP="000250FE">
      <w:pPr>
        <w:jc w:val="both"/>
        <w:rPr>
          <w:rFonts w:ascii="Times New Roman" w:hAnsi="Times New Roman" w:cs="Times New Roman"/>
          <w:b/>
          <w:bCs/>
          <w:sz w:val="24"/>
          <w:szCs w:val="24"/>
        </w:rPr>
      </w:pPr>
    </w:p>
    <w:p w14:paraId="1527194E" w14:textId="77777777" w:rsidR="00F8189E" w:rsidRPr="000250FE" w:rsidRDefault="00F8189E" w:rsidP="009663E6">
      <w:pPr>
        <w:spacing w:after="0" w:line="360" w:lineRule="auto"/>
        <w:ind w:firstLine="284"/>
        <w:jc w:val="both"/>
        <w:rPr>
          <w:rFonts w:ascii="Times New Roman" w:hAnsi="Times New Roman" w:cs="Times New Roman"/>
          <w:sz w:val="24"/>
          <w:szCs w:val="24"/>
        </w:rPr>
      </w:pPr>
      <w:r w:rsidRPr="000250FE">
        <w:rPr>
          <w:rFonts w:ascii="Times New Roman" w:hAnsi="Times New Roman" w:cs="Times New Roman"/>
          <w:sz w:val="24"/>
          <w:szCs w:val="24"/>
        </w:rPr>
        <w:lastRenderedPageBreak/>
        <w:t xml:space="preserve">Al fine di valutare la robustezza economica dei segnali generati dagli LLM, l’analisi implementa tre differenti metodologie di ponderazione dei portafogli: </w:t>
      </w:r>
      <w:proofErr w:type="spellStart"/>
      <w:r w:rsidRPr="000250FE">
        <w:rPr>
          <w:rFonts w:ascii="Times New Roman" w:hAnsi="Times New Roman" w:cs="Times New Roman"/>
          <w:sz w:val="24"/>
          <w:szCs w:val="24"/>
        </w:rPr>
        <w:t>equally</w:t>
      </w:r>
      <w:proofErr w:type="spellEnd"/>
      <w:r w:rsidRPr="000250FE">
        <w:rPr>
          <w:rFonts w:ascii="Times New Roman" w:hAnsi="Times New Roman" w:cs="Times New Roman"/>
          <w:sz w:val="24"/>
          <w:szCs w:val="24"/>
        </w:rPr>
        <w:t xml:space="preserve"> </w:t>
      </w:r>
      <w:proofErr w:type="spellStart"/>
      <w:r w:rsidRPr="000250FE">
        <w:rPr>
          <w:rFonts w:ascii="Times New Roman" w:hAnsi="Times New Roman" w:cs="Times New Roman"/>
          <w:sz w:val="24"/>
          <w:szCs w:val="24"/>
        </w:rPr>
        <w:t>weighted</w:t>
      </w:r>
      <w:proofErr w:type="spellEnd"/>
      <w:r w:rsidRPr="000250FE">
        <w:rPr>
          <w:rFonts w:ascii="Times New Roman" w:hAnsi="Times New Roman" w:cs="Times New Roman"/>
          <w:sz w:val="24"/>
          <w:szCs w:val="24"/>
        </w:rPr>
        <w:t xml:space="preserve"> (EW), </w:t>
      </w:r>
      <w:proofErr w:type="spellStart"/>
      <w:r w:rsidRPr="000250FE">
        <w:rPr>
          <w:rFonts w:ascii="Times New Roman" w:hAnsi="Times New Roman" w:cs="Times New Roman"/>
          <w:sz w:val="24"/>
          <w:szCs w:val="24"/>
        </w:rPr>
        <w:t>signal</w:t>
      </w:r>
      <w:proofErr w:type="spellEnd"/>
      <w:r w:rsidRPr="000250FE">
        <w:rPr>
          <w:rFonts w:ascii="Times New Roman" w:hAnsi="Times New Roman" w:cs="Times New Roman"/>
          <w:sz w:val="24"/>
          <w:szCs w:val="24"/>
        </w:rPr>
        <w:t xml:space="preserve"> </w:t>
      </w:r>
      <w:proofErr w:type="spellStart"/>
      <w:r w:rsidRPr="000250FE">
        <w:rPr>
          <w:rFonts w:ascii="Times New Roman" w:hAnsi="Times New Roman" w:cs="Times New Roman"/>
          <w:sz w:val="24"/>
          <w:szCs w:val="24"/>
        </w:rPr>
        <w:t>weighted</w:t>
      </w:r>
      <w:proofErr w:type="spellEnd"/>
      <w:r w:rsidRPr="000250FE">
        <w:rPr>
          <w:rFonts w:ascii="Times New Roman" w:hAnsi="Times New Roman" w:cs="Times New Roman"/>
          <w:sz w:val="24"/>
          <w:szCs w:val="24"/>
        </w:rPr>
        <w:t xml:space="preserve"> (SW) e value </w:t>
      </w:r>
      <w:proofErr w:type="spellStart"/>
      <w:r w:rsidRPr="000250FE">
        <w:rPr>
          <w:rFonts w:ascii="Times New Roman" w:hAnsi="Times New Roman" w:cs="Times New Roman"/>
          <w:sz w:val="24"/>
          <w:szCs w:val="24"/>
        </w:rPr>
        <w:t>weighted</w:t>
      </w:r>
      <w:proofErr w:type="spellEnd"/>
      <w:r w:rsidRPr="000250FE">
        <w:rPr>
          <w:rFonts w:ascii="Times New Roman" w:hAnsi="Times New Roman" w:cs="Times New Roman"/>
          <w:sz w:val="24"/>
          <w:szCs w:val="24"/>
        </w:rPr>
        <w:t xml:space="preserve"> (VW).</w:t>
      </w:r>
    </w:p>
    <w:p w14:paraId="18027525" w14:textId="77777777" w:rsidR="00F8189E" w:rsidRPr="000250FE" w:rsidRDefault="00F8189E" w:rsidP="009663E6">
      <w:pPr>
        <w:spacing w:after="0" w:line="360" w:lineRule="auto"/>
        <w:ind w:firstLine="284"/>
        <w:jc w:val="both"/>
        <w:rPr>
          <w:rFonts w:ascii="Times New Roman" w:hAnsi="Times New Roman" w:cs="Times New Roman"/>
          <w:sz w:val="24"/>
          <w:szCs w:val="24"/>
        </w:rPr>
      </w:pPr>
      <w:r w:rsidRPr="000250FE">
        <w:rPr>
          <w:rFonts w:ascii="Times New Roman" w:hAnsi="Times New Roman" w:cs="Times New Roman"/>
          <w:sz w:val="24"/>
          <w:szCs w:val="24"/>
        </w:rPr>
        <w:t xml:space="preserve">Nel portafoglio </w:t>
      </w:r>
      <w:proofErr w:type="spellStart"/>
      <w:r w:rsidRPr="000250FE">
        <w:rPr>
          <w:rFonts w:ascii="Times New Roman" w:hAnsi="Times New Roman" w:cs="Times New Roman"/>
          <w:sz w:val="24"/>
          <w:szCs w:val="24"/>
        </w:rPr>
        <w:t>equally</w:t>
      </w:r>
      <w:proofErr w:type="spellEnd"/>
      <w:r w:rsidRPr="000250FE">
        <w:rPr>
          <w:rFonts w:ascii="Times New Roman" w:hAnsi="Times New Roman" w:cs="Times New Roman"/>
          <w:sz w:val="24"/>
          <w:szCs w:val="24"/>
        </w:rPr>
        <w:t xml:space="preserve"> </w:t>
      </w:r>
      <w:proofErr w:type="spellStart"/>
      <w:r w:rsidRPr="000250FE">
        <w:rPr>
          <w:rFonts w:ascii="Times New Roman" w:hAnsi="Times New Roman" w:cs="Times New Roman"/>
          <w:sz w:val="24"/>
          <w:szCs w:val="24"/>
        </w:rPr>
        <w:t>weighted</w:t>
      </w:r>
      <w:proofErr w:type="spellEnd"/>
      <w:r w:rsidRPr="000250FE">
        <w:rPr>
          <w:rFonts w:ascii="Times New Roman" w:hAnsi="Times New Roman" w:cs="Times New Roman"/>
          <w:sz w:val="24"/>
          <w:szCs w:val="24"/>
        </w:rPr>
        <w:t>, ciascun titolo selezionato riceve un peso identico all’interno della strategia. Tale approccio consente di isolare il contenuto informativo medio dei segnali senza introdurre effetti derivanti dalla dimensione delle imprese o dall’intensità del ranking assegnato dai modelli.</w:t>
      </w:r>
    </w:p>
    <w:p w14:paraId="3154BB93" w14:textId="77777777" w:rsidR="00F8189E" w:rsidRPr="000250FE" w:rsidRDefault="00F8189E" w:rsidP="009663E6">
      <w:pPr>
        <w:spacing w:after="0" w:line="360" w:lineRule="auto"/>
        <w:ind w:firstLine="284"/>
        <w:jc w:val="both"/>
        <w:rPr>
          <w:rFonts w:ascii="Times New Roman" w:hAnsi="Times New Roman" w:cs="Times New Roman"/>
          <w:sz w:val="24"/>
          <w:szCs w:val="24"/>
        </w:rPr>
      </w:pPr>
      <w:r w:rsidRPr="000250FE">
        <w:rPr>
          <w:rFonts w:ascii="Times New Roman" w:hAnsi="Times New Roman" w:cs="Times New Roman"/>
          <w:sz w:val="24"/>
          <w:szCs w:val="24"/>
        </w:rPr>
        <w:t xml:space="preserve">Nel caso del portafoglio </w:t>
      </w:r>
      <w:proofErr w:type="spellStart"/>
      <w:r w:rsidRPr="000250FE">
        <w:rPr>
          <w:rFonts w:ascii="Times New Roman" w:hAnsi="Times New Roman" w:cs="Times New Roman"/>
          <w:sz w:val="24"/>
          <w:szCs w:val="24"/>
        </w:rPr>
        <w:t>signal</w:t>
      </w:r>
      <w:proofErr w:type="spellEnd"/>
      <w:r w:rsidRPr="000250FE">
        <w:rPr>
          <w:rFonts w:ascii="Times New Roman" w:hAnsi="Times New Roman" w:cs="Times New Roman"/>
          <w:sz w:val="24"/>
          <w:szCs w:val="24"/>
        </w:rPr>
        <w:t xml:space="preserve"> </w:t>
      </w:r>
      <w:proofErr w:type="spellStart"/>
      <w:r w:rsidRPr="000250FE">
        <w:rPr>
          <w:rFonts w:ascii="Times New Roman" w:hAnsi="Times New Roman" w:cs="Times New Roman"/>
          <w:sz w:val="24"/>
          <w:szCs w:val="24"/>
        </w:rPr>
        <w:t>weighted</w:t>
      </w:r>
      <w:proofErr w:type="spellEnd"/>
      <w:r w:rsidRPr="000250FE">
        <w:rPr>
          <w:rFonts w:ascii="Times New Roman" w:hAnsi="Times New Roman" w:cs="Times New Roman"/>
          <w:sz w:val="24"/>
          <w:szCs w:val="24"/>
        </w:rPr>
        <w:t>, i pesi vengono invece attribuiti sulla base del ranking prodotto dagli LLM. I titoli classificati nelle prime posizioni ricevono un peso maggiore rispetto a quelli collocati nelle posizioni inferiori, riflettendo implicitamente il diverso grado di convinzione associato dal modello alle singole previsioni. Questa configurazione consente di verificare se l’intensità relativa del segnale contenga informazione economicamente rilevante.</w:t>
      </w:r>
    </w:p>
    <w:p w14:paraId="1AACB38C" w14:textId="77777777" w:rsidR="00F8189E" w:rsidRPr="000250FE" w:rsidRDefault="00F8189E" w:rsidP="009663E6">
      <w:pPr>
        <w:spacing w:after="0" w:line="360" w:lineRule="auto"/>
        <w:ind w:firstLine="284"/>
        <w:jc w:val="both"/>
        <w:rPr>
          <w:rFonts w:ascii="Times New Roman" w:hAnsi="Times New Roman" w:cs="Times New Roman"/>
          <w:sz w:val="24"/>
          <w:szCs w:val="24"/>
        </w:rPr>
      </w:pPr>
      <w:r w:rsidRPr="000250FE">
        <w:rPr>
          <w:rFonts w:ascii="Times New Roman" w:hAnsi="Times New Roman" w:cs="Times New Roman"/>
          <w:sz w:val="24"/>
          <w:szCs w:val="24"/>
        </w:rPr>
        <w:t xml:space="preserve">Infine, nel portafoglio value </w:t>
      </w:r>
      <w:proofErr w:type="spellStart"/>
      <w:r w:rsidRPr="000250FE">
        <w:rPr>
          <w:rFonts w:ascii="Times New Roman" w:hAnsi="Times New Roman" w:cs="Times New Roman"/>
          <w:sz w:val="24"/>
          <w:szCs w:val="24"/>
        </w:rPr>
        <w:t>weighted</w:t>
      </w:r>
      <w:proofErr w:type="spellEnd"/>
      <w:r w:rsidRPr="000250FE">
        <w:rPr>
          <w:rFonts w:ascii="Times New Roman" w:hAnsi="Times New Roman" w:cs="Times New Roman"/>
          <w:sz w:val="24"/>
          <w:szCs w:val="24"/>
        </w:rPr>
        <w:t>, i pesi vengono determinati utilizzando la capitalizzazione di mercato dei titoli selezionati. In questo caso, le imprese caratterizzate da maggiore market value assumono un peso relativamente più elevato all’interno della strategia. Tale approccio risulta coerente con le convenzioni adottate nella letteratura finanziaria e consente di valutare se le performance dei segnali differiscano in funzione della dimensione delle società considerate.</w:t>
      </w:r>
    </w:p>
    <w:p w14:paraId="6E70BDB9" w14:textId="77777777" w:rsidR="00F8189E" w:rsidRDefault="00F8189E" w:rsidP="009663E6">
      <w:pPr>
        <w:spacing w:after="0" w:line="360" w:lineRule="auto"/>
        <w:ind w:firstLine="284"/>
        <w:jc w:val="both"/>
        <w:rPr>
          <w:rFonts w:ascii="Times New Roman" w:hAnsi="Times New Roman" w:cs="Times New Roman"/>
          <w:sz w:val="24"/>
          <w:szCs w:val="24"/>
        </w:rPr>
      </w:pPr>
      <w:r w:rsidRPr="000250FE">
        <w:rPr>
          <w:rFonts w:ascii="Times New Roman" w:hAnsi="Times New Roman" w:cs="Times New Roman"/>
          <w:sz w:val="24"/>
          <w:szCs w:val="24"/>
        </w:rPr>
        <w:t>Per ciascuna metodologia di ponderazione vengono successivamente calcolati rendimenti giornalieri, rendimenti cumulati e misure di performance corrette per il rischio. Le differenti configurazioni consentono inoltre di verificare se eventuali risultati siano guidati da specifiche caratteristiche della struttura di allocazione piuttosto che dal contenuto informativo dei segnali generati dagli LLM.</w:t>
      </w:r>
    </w:p>
    <w:p w14:paraId="4054EBE0" w14:textId="77777777" w:rsidR="009663E6" w:rsidRPr="000250FE" w:rsidRDefault="009663E6" w:rsidP="009663E6">
      <w:pPr>
        <w:spacing w:line="360" w:lineRule="auto"/>
        <w:ind w:firstLine="284"/>
        <w:jc w:val="both"/>
        <w:rPr>
          <w:rFonts w:ascii="Times New Roman" w:hAnsi="Times New Roman" w:cs="Times New Roman"/>
          <w:sz w:val="24"/>
          <w:szCs w:val="24"/>
        </w:rPr>
      </w:pPr>
    </w:p>
    <w:p w14:paraId="762B676D" w14:textId="77777777" w:rsidR="00F8189E" w:rsidRDefault="00F8189E" w:rsidP="009663E6">
      <w:pPr>
        <w:pStyle w:val="Titolo2"/>
        <w:spacing w:before="40" w:after="0"/>
        <w:rPr>
          <w:rFonts w:ascii="Times New Roman" w:hAnsi="Times New Roman" w:cs="Times New Roman"/>
          <w:b/>
          <w:bCs/>
          <w:i/>
          <w:iCs/>
          <w:color w:val="auto"/>
          <w:sz w:val="26"/>
          <w:szCs w:val="26"/>
        </w:rPr>
      </w:pPr>
      <w:r w:rsidRPr="009663E6">
        <w:rPr>
          <w:rFonts w:ascii="Times New Roman" w:hAnsi="Times New Roman" w:cs="Times New Roman"/>
          <w:b/>
          <w:bCs/>
          <w:i/>
          <w:iCs/>
          <w:color w:val="auto"/>
          <w:sz w:val="26"/>
          <w:szCs w:val="26"/>
        </w:rPr>
        <w:t>3.4.3 Benchmark Construction</w:t>
      </w:r>
    </w:p>
    <w:p w14:paraId="652C2CED" w14:textId="77777777" w:rsidR="009663E6" w:rsidRPr="009663E6" w:rsidRDefault="009663E6" w:rsidP="009663E6"/>
    <w:p w14:paraId="7A2BBF4C" w14:textId="77777777" w:rsidR="00F8189E" w:rsidRPr="000250FE" w:rsidRDefault="00F8189E" w:rsidP="009663E6">
      <w:pPr>
        <w:spacing w:after="0" w:line="360" w:lineRule="auto"/>
        <w:ind w:firstLine="284"/>
        <w:jc w:val="both"/>
        <w:rPr>
          <w:rFonts w:ascii="Times New Roman" w:hAnsi="Times New Roman" w:cs="Times New Roman"/>
          <w:sz w:val="24"/>
          <w:szCs w:val="24"/>
        </w:rPr>
      </w:pPr>
      <w:r w:rsidRPr="000250FE">
        <w:rPr>
          <w:rFonts w:ascii="Times New Roman" w:hAnsi="Times New Roman" w:cs="Times New Roman"/>
          <w:sz w:val="24"/>
          <w:szCs w:val="24"/>
        </w:rPr>
        <w:t>La valutazione delle performance dei portafogli costruiti sui segnali degli LLM richiede la definizione di benchmark coerenti con l’orizzonte temporale e con la natura intraday delle strategie considerate. A tal fine, il presente studio utilizza come benchmark principale il rendimento open-to-close dell’indice S&amp;P 500.</w:t>
      </w:r>
    </w:p>
    <w:p w14:paraId="7B56CCCD" w14:textId="77777777" w:rsidR="00F8189E" w:rsidRPr="000250FE" w:rsidRDefault="00F8189E" w:rsidP="009663E6">
      <w:pPr>
        <w:spacing w:after="0" w:line="360" w:lineRule="auto"/>
        <w:ind w:firstLine="284"/>
        <w:jc w:val="both"/>
        <w:rPr>
          <w:rFonts w:ascii="Times New Roman" w:hAnsi="Times New Roman" w:cs="Times New Roman"/>
          <w:sz w:val="24"/>
          <w:szCs w:val="24"/>
        </w:rPr>
      </w:pPr>
      <w:r w:rsidRPr="000250FE">
        <w:rPr>
          <w:rFonts w:ascii="Times New Roman" w:hAnsi="Times New Roman" w:cs="Times New Roman"/>
          <w:sz w:val="24"/>
          <w:szCs w:val="24"/>
        </w:rPr>
        <w:t xml:space="preserve">Per ciascuna giornata di trading, il rendimento del benchmark viene calcolato utilizzando il prezzo di apertura e il prezzo di chiusura dell’indice osservati nel corso della medesima sessione. Tale scelta garantisce piena coerenza temporale tra benchmark e strategie analizzate, </w:t>
      </w:r>
      <w:r w:rsidRPr="000250FE">
        <w:rPr>
          <w:rFonts w:ascii="Times New Roman" w:hAnsi="Times New Roman" w:cs="Times New Roman"/>
          <w:sz w:val="24"/>
          <w:szCs w:val="24"/>
        </w:rPr>
        <w:lastRenderedPageBreak/>
        <w:t>evitando discrepanze derivanti dall’utilizzo di fattori di rischio costruiti su orizzonti temporali differenti.</w:t>
      </w:r>
    </w:p>
    <w:p w14:paraId="4E5B7CC8" w14:textId="77777777" w:rsidR="0059272E" w:rsidRPr="000250FE" w:rsidRDefault="00F8189E" w:rsidP="009663E6">
      <w:pPr>
        <w:spacing w:after="0" w:line="360" w:lineRule="auto"/>
        <w:ind w:firstLine="284"/>
        <w:jc w:val="both"/>
        <w:rPr>
          <w:rFonts w:ascii="Times New Roman" w:hAnsi="Times New Roman" w:cs="Times New Roman"/>
          <w:sz w:val="24"/>
          <w:szCs w:val="24"/>
        </w:rPr>
      </w:pPr>
      <w:r w:rsidRPr="000250FE">
        <w:rPr>
          <w:rFonts w:ascii="Times New Roman" w:hAnsi="Times New Roman" w:cs="Times New Roman"/>
          <w:sz w:val="24"/>
          <w:szCs w:val="24"/>
        </w:rPr>
        <w:t xml:space="preserve">Oltre al benchmark di mercato, l’analisi implementa anche un fattore di mercato intraday utilizzato nelle regressioni CAPM. Il market </w:t>
      </w:r>
      <w:proofErr w:type="spellStart"/>
      <w:r w:rsidRPr="000250FE">
        <w:rPr>
          <w:rFonts w:ascii="Times New Roman" w:hAnsi="Times New Roman" w:cs="Times New Roman"/>
          <w:sz w:val="24"/>
          <w:szCs w:val="24"/>
        </w:rPr>
        <w:t>excess</w:t>
      </w:r>
      <w:proofErr w:type="spellEnd"/>
      <w:r w:rsidRPr="000250FE">
        <w:rPr>
          <w:rFonts w:ascii="Times New Roman" w:hAnsi="Times New Roman" w:cs="Times New Roman"/>
          <w:sz w:val="24"/>
          <w:szCs w:val="24"/>
        </w:rPr>
        <w:t xml:space="preserve"> return viene costruito sottraendo al rendimento intraday dell’indice il tasso privo di rischio giornaliero derivato dal Treasury Bill statunitense a un mese</w:t>
      </w:r>
      <w:r w:rsidR="002254EA" w:rsidRPr="000250FE">
        <w:rPr>
          <w:rStyle w:val="Rimandonotaapidipagina"/>
          <w:rFonts w:ascii="Times New Roman" w:hAnsi="Times New Roman" w:cs="Times New Roman"/>
          <w:sz w:val="24"/>
          <w:szCs w:val="24"/>
        </w:rPr>
        <w:footnoteReference w:id="3"/>
      </w:r>
      <w:r w:rsidRPr="000250FE">
        <w:rPr>
          <w:rFonts w:ascii="Times New Roman" w:hAnsi="Times New Roman" w:cs="Times New Roman"/>
          <w:sz w:val="24"/>
          <w:szCs w:val="24"/>
        </w:rPr>
        <w:t>. La misura del fattore di mercato risulta pertanto definita come:</w:t>
      </w:r>
    </w:p>
    <w:p w14:paraId="18F22D63" w14:textId="6094FA84" w:rsidR="00F8189E" w:rsidRPr="000250FE" w:rsidRDefault="00F8189E" w:rsidP="009663E6">
      <w:pPr>
        <w:spacing w:after="0" w:line="360" w:lineRule="auto"/>
        <w:ind w:firstLine="284"/>
        <w:jc w:val="both"/>
        <w:rPr>
          <w:rFonts w:ascii="Times New Roman" w:hAnsi="Times New Roman" w:cs="Times New Roman"/>
          <w:sz w:val="24"/>
          <w:szCs w:val="24"/>
        </w:rPr>
      </w:pPr>
      <m:oMathPara>
        <m:oMath>
          <m:r>
            <w:rPr>
              <w:rFonts w:ascii="Cambria Math" w:hAnsi="Cambria Math" w:cs="Times New Roman"/>
              <w:sz w:val="24"/>
              <w:szCs w:val="24"/>
            </w:rPr>
            <m:t>MktR</m:t>
          </m:r>
          <m:sSubSup>
            <m:sSubSupPr>
              <m:ctrlPr>
                <w:rPr>
                  <w:rFonts w:ascii="Cambria Math" w:hAnsi="Cambria Math" w:cs="Times New Roman"/>
                  <w:i/>
                  <w:sz w:val="24"/>
                  <w:szCs w:val="24"/>
                </w:rPr>
              </m:ctrlPr>
            </m:sSubSupPr>
            <m:e>
              <m:r>
                <w:rPr>
                  <w:rFonts w:ascii="Cambria Math" w:hAnsi="Cambria Math" w:cs="Times New Roman"/>
                  <w:sz w:val="24"/>
                  <w:szCs w:val="24"/>
                </w:rPr>
                <m:t>F</m:t>
              </m:r>
            </m:e>
            <m:sub>
              <m:r>
                <w:rPr>
                  <w:rFonts w:ascii="Cambria Math" w:hAnsi="Cambria Math" w:cs="Times New Roman"/>
                  <w:sz w:val="24"/>
                  <w:szCs w:val="24"/>
                </w:rPr>
                <m:t>t</m:t>
              </m:r>
            </m:sub>
            <m:sup>
              <m:r>
                <w:rPr>
                  <w:rFonts w:ascii="Cambria Math" w:hAnsi="Cambria Math" w:cs="Times New Roman"/>
                  <w:sz w:val="24"/>
                  <w:szCs w:val="24"/>
                </w:rPr>
                <m:t>intraday</m:t>
              </m:r>
            </m:sup>
          </m:sSubSup>
          <m:r>
            <w:rPr>
              <w:rFonts w:ascii="Cambria Math" w:hAnsi="Cambria Math" w:cs="Times New Roman"/>
              <w:sz w:val="24"/>
              <w:szCs w:val="24"/>
            </w:rPr>
            <m:t xml:space="preserve"> = </m:t>
          </m:r>
          <m:sSubSup>
            <m:sSubSupPr>
              <m:ctrlPr>
                <w:rPr>
                  <w:rFonts w:ascii="Cambria Math" w:hAnsi="Cambria Math" w:cs="Times New Roman"/>
                  <w:i/>
                  <w:sz w:val="24"/>
                  <w:szCs w:val="24"/>
                </w:rPr>
              </m:ctrlPr>
            </m:sSubSupPr>
            <m:e>
              <m:r>
                <w:rPr>
                  <w:rFonts w:ascii="Cambria Math" w:hAnsi="Cambria Math" w:cs="Times New Roman"/>
                  <w:sz w:val="24"/>
                  <w:szCs w:val="24"/>
                </w:rPr>
                <m:t>R</m:t>
              </m:r>
            </m:e>
            <m:sub>
              <m:r>
                <w:rPr>
                  <w:rFonts w:ascii="Cambria Math" w:hAnsi="Cambria Math" w:cs="Times New Roman"/>
                  <w:sz w:val="24"/>
                  <w:szCs w:val="24"/>
                </w:rPr>
                <m:t>t</m:t>
              </m:r>
            </m:sub>
            <m:sup>
              <m:r>
                <w:rPr>
                  <w:rFonts w:ascii="Cambria Math" w:hAnsi="Cambria Math" w:cs="Times New Roman"/>
                  <w:sz w:val="24"/>
                  <w:szCs w:val="24"/>
                </w:rPr>
                <m:t>Mkt</m:t>
              </m:r>
            </m:sup>
          </m:sSubSup>
          <m:r>
            <w:rPr>
              <w:rFonts w:ascii="Cambria Math" w:hAnsi="Cambria Math" w:cs="Times New Roman"/>
              <w:sz w:val="24"/>
              <w:szCs w:val="24"/>
            </w:rPr>
            <m:t xml:space="preserve"> - R</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t</m:t>
              </m:r>
            </m:sub>
          </m:sSub>
        </m:oMath>
      </m:oMathPara>
    </w:p>
    <w:p w14:paraId="1DC3F7A6" w14:textId="4B9FF887" w:rsidR="00F8189E" w:rsidRPr="000250FE" w:rsidRDefault="00F8189E" w:rsidP="009663E6">
      <w:pPr>
        <w:spacing w:after="0" w:line="360" w:lineRule="auto"/>
        <w:ind w:firstLine="284"/>
        <w:jc w:val="both"/>
        <w:rPr>
          <w:rFonts w:ascii="Times New Roman" w:hAnsi="Times New Roman" w:cs="Times New Roman"/>
          <w:sz w:val="24"/>
          <w:szCs w:val="24"/>
        </w:rPr>
      </w:pPr>
      <w:r w:rsidRPr="000250FE">
        <w:rPr>
          <w:rFonts w:ascii="Times New Roman" w:hAnsi="Times New Roman" w:cs="Times New Roman"/>
          <w:sz w:val="24"/>
          <w:szCs w:val="24"/>
        </w:rPr>
        <w:t xml:space="preserve">dove </w:t>
      </w:r>
      <m:oMath>
        <m:sSubSup>
          <m:sSubSupPr>
            <m:ctrlPr>
              <w:rPr>
                <w:rFonts w:ascii="Cambria Math" w:hAnsi="Cambria Math" w:cs="Times New Roman"/>
                <w:i/>
                <w:sz w:val="24"/>
                <w:szCs w:val="24"/>
              </w:rPr>
            </m:ctrlPr>
          </m:sSubSupPr>
          <m:e>
            <m:r>
              <w:rPr>
                <w:rFonts w:ascii="Cambria Math" w:hAnsi="Cambria Math" w:cs="Times New Roman"/>
                <w:sz w:val="24"/>
                <w:szCs w:val="24"/>
              </w:rPr>
              <m:t>R</m:t>
            </m:r>
          </m:e>
          <m:sub>
            <m:r>
              <w:rPr>
                <w:rFonts w:ascii="Cambria Math" w:hAnsi="Cambria Math" w:cs="Times New Roman"/>
                <w:sz w:val="24"/>
                <w:szCs w:val="24"/>
              </w:rPr>
              <m:t>t</m:t>
            </m:r>
          </m:sub>
          <m:sup>
            <m:r>
              <w:rPr>
                <w:rFonts w:ascii="Cambria Math" w:hAnsi="Cambria Math" w:cs="Times New Roman"/>
                <w:sz w:val="24"/>
                <w:szCs w:val="24"/>
              </w:rPr>
              <m:t>Mkt</m:t>
            </m:r>
          </m:sup>
        </m:sSubSup>
      </m:oMath>
      <w:r w:rsidRPr="000250FE">
        <w:rPr>
          <w:rFonts w:ascii="Times New Roman" w:hAnsi="Times New Roman" w:cs="Times New Roman"/>
          <w:sz w:val="24"/>
          <w:szCs w:val="24"/>
        </w:rPr>
        <w:t xml:space="preserve"> rappresenta il rendimento intraday dell’indice S&amp;P 500 e </w:t>
      </w:r>
      <m:oMath>
        <m:r>
          <w:rPr>
            <w:rFonts w:ascii="Cambria Math" w:hAnsi="Cambria Math" w:cs="Times New Roman"/>
            <w:sz w:val="24"/>
            <w:szCs w:val="24"/>
          </w:rPr>
          <m:t>R</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t</m:t>
            </m:r>
          </m:sub>
        </m:sSub>
      </m:oMath>
      <w:r w:rsidRPr="000250FE">
        <w:rPr>
          <w:rFonts w:ascii="Times New Roman" w:hAnsi="Times New Roman" w:cs="Times New Roman"/>
          <w:sz w:val="24"/>
          <w:szCs w:val="24"/>
        </w:rPr>
        <w:t xml:space="preserve"> il tasso risk-free giornaliero corrispondente.</w:t>
      </w:r>
      <w:r w:rsidR="0059272E" w:rsidRPr="000250FE">
        <w:rPr>
          <w:rFonts w:ascii="Times New Roman" w:hAnsi="Times New Roman" w:cs="Times New Roman"/>
          <w:sz w:val="24"/>
          <w:szCs w:val="24"/>
        </w:rPr>
        <w:t xml:space="preserve"> Questo fattore è calcolato ad hoc sui prezzi open-to-close dell’indice S&amp;P500. </w:t>
      </w:r>
    </w:p>
    <w:p w14:paraId="02005621" w14:textId="77777777" w:rsidR="00F8189E" w:rsidRPr="000250FE" w:rsidRDefault="00F8189E" w:rsidP="009663E6">
      <w:pPr>
        <w:spacing w:after="0" w:line="360" w:lineRule="auto"/>
        <w:ind w:firstLine="284"/>
        <w:jc w:val="both"/>
        <w:rPr>
          <w:rFonts w:ascii="Times New Roman" w:hAnsi="Times New Roman" w:cs="Times New Roman"/>
          <w:sz w:val="24"/>
          <w:szCs w:val="24"/>
        </w:rPr>
      </w:pPr>
      <w:r w:rsidRPr="000250FE">
        <w:rPr>
          <w:rFonts w:ascii="Times New Roman" w:hAnsi="Times New Roman" w:cs="Times New Roman"/>
          <w:sz w:val="24"/>
          <w:szCs w:val="24"/>
        </w:rPr>
        <w:t>Parallelamente, vengono utilizzati anche i fattori giornalieri di Fama-French e il fattore Momentum al fine di implementare regressioni multifattoriali di performance risk-</w:t>
      </w:r>
      <w:proofErr w:type="spellStart"/>
      <w:r w:rsidRPr="000250FE">
        <w:rPr>
          <w:rFonts w:ascii="Times New Roman" w:hAnsi="Times New Roman" w:cs="Times New Roman"/>
          <w:sz w:val="24"/>
          <w:szCs w:val="24"/>
        </w:rPr>
        <w:t>adjusted</w:t>
      </w:r>
      <w:proofErr w:type="spellEnd"/>
      <w:r w:rsidRPr="000250FE">
        <w:rPr>
          <w:rFonts w:ascii="Times New Roman" w:hAnsi="Times New Roman" w:cs="Times New Roman"/>
          <w:sz w:val="24"/>
          <w:szCs w:val="24"/>
        </w:rPr>
        <w:t>. L’utilizzo di tali modelli consente di verificare se eventuali rendimenti dei portafogli siano attribuibili a esposizioni sistematiche ai fattori di rischio tradizionali oppure riflettano componenti di rendimento non spiegate dai benchmark standard della letteratura di asset pricing.</w:t>
      </w:r>
    </w:p>
    <w:p w14:paraId="61F4D3A7" w14:textId="77777777" w:rsidR="00F8189E" w:rsidRDefault="00F8189E" w:rsidP="009663E6">
      <w:pPr>
        <w:spacing w:after="0" w:line="360" w:lineRule="auto"/>
        <w:ind w:firstLine="284"/>
        <w:jc w:val="both"/>
        <w:rPr>
          <w:rFonts w:ascii="Times New Roman" w:hAnsi="Times New Roman" w:cs="Times New Roman"/>
          <w:sz w:val="24"/>
          <w:szCs w:val="24"/>
        </w:rPr>
      </w:pPr>
      <w:r w:rsidRPr="000250FE">
        <w:rPr>
          <w:rFonts w:ascii="Times New Roman" w:hAnsi="Times New Roman" w:cs="Times New Roman"/>
          <w:sz w:val="24"/>
          <w:szCs w:val="24"/>
        </w:rPr>
        <w:t>L’adozione di benchmark coerenti con l’orizzonte intraday delle strategie rappresenta un elemento metodologico particolarmente rilevante. L’utilizzo di fattori costruiti su frequenze temporali differenti potrebbe infatti introdurre distorsioni nell’interpretazione delle performance e compromettere la coerenza economica delle regressioni di asset pricing implementate nel presente studio.</w:t>
      </w:r>
    </w:p>
    <w:p w14:paraId="3F59C1CB" w14:textId="77777777" w:rsidR="009663E6" w:rsidRPr="000250FE" w:rsidRDefault="009663E6" w:rsidP="009663E6">
      <w:pPr>
        <w:spacing w:line="360" w:lineRule="auto"/>
        <w:ind w:firstLine="284"/>
        <w:jc w:val="both"/>
        <w:rPr>
          <w:rFonts w:ascii="Times New Roman" w:hAnsi="Times New Roman" w:cs="Times New Roman"/>
          <w:sz w:val="24"/>
          <w:szCs w:val="24"/>
        </w:rPr>
      </w:pPr>
    </w:p>
    <w:p w14:paraId="67005B4C" w14:textId="064B7767" w:rsidR="009663E6" w:rsidRDefault="00F8189E" w:rsidP="009663E6">
      <w:pPr>
        <w:pStyle w:val="Titolo2"/>
        <w:rPr>
          <w:rFonts w:ascii="Times New Roman" w:hAnsi="Times New Roman" w:cs="Times New Roman"/>
          <w:b/>
          <w:bCs/>
          <w:i/>
          <w:iCs/>
          <w:color w:val="auto"/>
          <w:sz w:val="26"/>
          <w:szCs w:val="26"/>
        </w:rPr>
      </w:pPr>
      <w:r w:rsidRPr="009663E6">
        <w:rPr>
          <w:rFonts w:ascii="Times New Roman" w:hAnsi="Times New Roman" w:cs="Times New Roman"/>
          <w:b/>
          <w:bCs/>
          <w:i/>
          <w:iCs/>
          <w:color w:val="auto"/>
          <w:sz w:val="26"/>
          <w:szCs w:val="26"/>
        </w:rPr>
        <w:t xml:space="preserve">3.5 Evaluation </w:t>
      </w:r>
      <w:proofErr w:type="spellStart"/>
      <w:r w:rsidRPr="009663E6">
        <w:rPr>
          <w:rFonts w:ascii="Times New Roman" w:hAnsi="Times New Roman" w:cs="Times New Roman"/>
          <w:b/>
          <w:bCs/>
          <w:i/>
          <w:iCs/>
          <w:color w:val="auto"/>
          <w:sz w:val="26"/>
          <w:szCs w:val="26"/>
        </w:rPr>
        <w:t>Methodology</w:t>
      </w:r>
      <w:proofErr w:type="spellEnd"/>
    </w:p>
    <w:p w14:paraId="14D6719D" w14:textId="77777777" w:rsidR="009663E6" w:rsidRPr="009663E6" w:rsidRDefault="009663E6" w:rsidP="009663E6"/>
    <w:p w14:paraId="679FD036" w14:textId="77777777" w:rsidR="00F8189E" w:rsidRPr="009663E6" w:rsidRDefault="00F8189E" w:rsidP="009663E6">
      <w:pPr>
        <w:pStyle w:val="Titolo2"/>
        <w:rPr>
          <w:rFonts w:ascii="Times New Roman" w:hAnsi="Times New Roman" w:cs="Times New Roman"/>
          <w:b/>
          <w:bCs/>
          <w:i/>
          <w:iCs/>
          <w:color w:val="auto"/>
          <w:sz w:val="26"/>
          <w:szCs w:val="26"/>
        </w:rPr>
      </w:pPr>
      <w:r w:rsidRPr="009663E6">
        <w:rPr>
          <w:rFonts w:ascii="Times New Roman" w:hAnsi="Times New Roman" w:cs="Times New Roman"/>
          <w:b/>
          <w:bCs/>
          <w:i/>
          <w:iCs/>
          <w:color w:val="auto"/>
          <w:sz w:val="26"/>
          <w:szCs w:val="26"/>
        </w:rPr>
        <w:t xml:space="preserve">3.5.1 Directional </w:t>
      </w:r>
      <w:proofErr w:type="spellStart"/>
      <w:r w:rsidRPr="009663E6">
        <w:rPr>
          <w:rFonts w:ascii="Times New Roman" w:hAnsi="Times New Roman" w:cs="Times New Roman"/>
          <w:b/>
          <w:bCs/>
          <w:i/>
          <w:iCs/>
          <w:color w:val="auto"/>
          <w:sz w:val="26"/>
          <w:szCs w:val="26"/>
        </w:rPr>
        <w:t>Accuracy</w:t>
      </w:r>
      <w:proofErr w:type="spellEnd"/>
    </w:p>
    <w:p w14:paraId="1902694E" w14:textId="77777777" w:rsidR="009663E6" w:rsidRPr="000250FE" w:rsidRDefault="009663E6" w:rsidP="000250FE">
      <w:pPr>
        <w:jc w:val="both"/>
        <w:rPr>
          <w:rFonts w:ascii="Times New Roman" w:hAnsi="Times New Roman" w:cs="Times New Roman"/>
          <w:b/>
          <w:bCs/>
          <w:sz w:val="24"/>
          <w:szCs w:val="24"/>
        </w:rPr>
      </w:pPr>
    </w:p>
    <w:p w14:paraId="79039E9A" w14:textId="77777777" w:rsidR="00F8189E" w:rsidRPr="000250FE" w:rsidRDefault="00F8189E" w:rsidP="009663E6">
      <w:pPr>
        <w:spacing w:after="0" w:line="360" w:lineRule="auto"/>
        <w:ind w:firstLine="284"/>
        <w:jc w:val="both"/>
        <w:rPr>
          <w:rFonts w:ascii="Times New Roman" w:hAnsi="Times New Roman" w:cs="Times New Roman"/>
          <w:sz w:val="24"/>
          <w:szCs w:val="24"/>
        </w:rPr>
      </w:pPr>
      <w:r w:rsidRPr="000250FE">
        <w:rPr>
          <w:rFonts w:ascii="Times New Roman" w:hAnsi="Times New Roman" w:cs="Times New Roman"/>
          <w:sz w:val="24"/>
          <w:szCs w:val="24"/>
        </w:rPr>
        <w:t>La prima dimensione analizzata riguarda l’accuratezza direzionale delle previsioni generate dai modelli linguistici. L’obiettivo consiste nel verificare se gli LLM siano in grado di identificare correttamente il segno dei movimenti intraday dei titoli azionari e dell’indice di mercato con frequenza superiore a quella attesa in presenza di previsioni puramente casuali.</w:t>
      </w:r>
    </w:p>
    <w:p w14:paraId="1AE864DF" w14:textId="77777777" w:rsidR="00F8189E" w:rsidRPr="000250FE" w:rsidRDefault="00F8189E" w:rsidP="009663E6">
      <w:pPr>
        <w:spacing w:after="0" w:line="360" w:lineRule="auto"/>
        <w:ind w:firstLine="284"/>
        <w:jc w:val="both"/>
        <w:rPr>
          <w:rFonts w:ascii="Times New Roman" w:hAnsi="Times New Roman" w:cs="Times New Roman"/>
          <w:sz w:val="24"/>
          <w:szCs w:val="24"/>
        </w:rPr>
      </w:pPr>
      <w:r w:rsidRPr="000250FE">
        <w:rPr>
          <w:rFonts w:ascii="Times New Roman" w:hAnsi="Times New Roman" w:cs="Times New Roman"/>
          <w:sz w:val="24"/>
          <w:szCs w:val="24"/>
        </w:rPr>
        <w:lastRenderedPageBreak/>
        <w:t>L’accuratezza direzionale viene valutata mediante la costruzione di misure di hit ratio applicate sia alle selezioni azionarie sia alle previsioni di market timing. Per ciascuna osservazione, il segnale viene classificato come corretto qualora la direzione prevista dal modello coincida con il segno del rendimento effettivamente realizzato nel corso della sessione di trading.</w:t>
      </w:r>
    </w:p>
    <w:p w14:paraId="60727A47" w14:textId="77777777" w:rsidR="00F8189E" w:rsidRPr="000250FE" w:rsidRDefault="00F8189E" w:rsidP="009663E6">
      <w:pPr>
        <w:spacing w:after="0" w:line="360" w:lineRule="auto"/>
        <w:ind w:firstLine="284"/>
        <w:jc w:val="both"/>
        <w:rPr>
          <w:rFonts w:ascii="Times New Roman" w:hAnsi="Times New Roman" w:cs="Times New Roman"/>
          <w:sz w:val="24"/>
          <w:szCs w:val="24"/>
        </w:rPr>
      </w:pPr>
      <w:r w:rsidRPr="000250FE">
        <w:rPr>
          <w:rFonts w:ascii="Times New Roman" w:hAnsi="Times New Roman" w:cs="Times New Roman"/>
          <w:sz w:val="24"/>
          <w:szCs w:val="24"/>
        </w:rPr>
        <w:t>Nel caso delle selezioni long, una previsione viene considerata corretta quando il titolo registra un rendimento open-to-close positivo. Simmetricamente, nel caso delle selezioni short, il segnale risulta corretto quando il rendimento realizzato assume segno negativo. La misura aggregata di accuratezza viene quindi calcolata come proporzione di previsioni corrette sul totale delle osservazioni disponibili:</w:t>
      </w:r>
    </w:p>
    <w:p w14:paraId="22C9E9A2" w14:textId="3286E01A" w:rsidR="00F8189E" w:rsidRPr="000250FE" w:rsidRDefault="00F8189E" w:rsidP="009663E6">
      <w:pPr>
        <w:spacing w:after="0" w:line="360" w:lineRule="auto"/>
        <w:ind w:firstLine="284"/>
        <w:jc w:val="both"/>
        <w:rPr>
          <w:rFonts w:ascii="Times New Roman" w:hAnsi="Times New Roman" w:cs="Times New Roman"/>
          <w:sz w:val="24"/>
          <w:szCs w:val="24"/>
          <w:lang w:val="en-GB"/>
        </w:rPr>
      </w:pPr>
      <m:oMathPara>
        <m:oMath>
          <m:r>
            <w:rPr>
              <w:rFonts w:ascii="Cambria Math" w:hAnsi="Cambria Math" w:cs="Times New Roman"/>
              <w:sz w:val="24"/>
              <w:szCs w:val="24"/>
              <w:lang w:val="en-GB"/>
            </w:rPr>
            <m:t>Hit Ratio=</m:t>
          </m:r>
          <m:f>
            <m:fPr>
              <m:ctrlPr>
                <w:rPr>
                  <w:rFonts w:ascii="Cambria Math" w:hAnsi="Cambria Math" w:cs="Times New Roman"/>
                  <w:i/>
                  <w:sz w:val="24"/>
                  <w:szCs w:val="24"/>
                  <w:lang w:val="en-GB"/>
                </w:rPr>
              </m:ctrlPr>
            </m:fPr>
            <m:num>
              <m:sSub>
                <m:sSubPr>
                  <m:ctrlPr>
                    <w:rPr>
                      <w:rFonts w:ascii="Cambria Math" w:hAnsi="Cambria Math" w:cs="Times New Roman"/>
                      <w:i/>
                      <w:sz w:val="24"/>
                      <w:szCs w:val="24"/>
                      <w:lang w:val="en-GB"/>
                    </w:rPr>
                  </m:ctrlPr>
                </m:sSubPr>
                <m:e>
                  <m:r>
                    <w:rPr>
                      <w:rFonts w:ascii="Cambria Math" w:hAnsi="Cambria Math" w:cs="Times New Roman"/>
                      <w:sz w:val="24"/>
                      <w:szCs w:val="24"/>
                      <w:lang w:val="en-GB"/>
                    </w:rPr>
                    <m:t>N</m:t>
                  </m:r>
                </m:e>
                <m:sub>
                  <m:r>
                    <w:rPr>
                      <w:rFonts w:ascii="Cambria Math" w:hAnsi="Cambria Math" w:cs="Times New Roman"/>
                      <w:sz w:val="24"/>
                      <w:szCs w:val="24"/>
                      <w:lang w:val="en-GB"/>
                    </w:rPr>
                    <m:t>correct</m:t>
                  </m:r>
                </m:sub>
              </m:sSub>
            </m:num>
            <m:den>
              <m:sSub>
                <m:sSubPr>
                  <m:ctrlPr>
                    <w:rPr>
                      <w:rFonts w:ascii="Cambria Math" w:hAnsi="Cambria Math" w:cs="Times New Roman"/>
                      <w:i/>
                      <w:sz w:val="24"/>
                      <w:szCs w:val="24"/>
                      <w:lang w:val="en-GB"/>
                    </w:rPr>
                  </m:ctrlPr>
                </m:sSubPr>
                <m:e>
                  <m:r>
                    <w:rPr>
                      <w:rFonts w:ascii="Cambria Math" w:hAnsi="Cambria Math" w:cs="Times New Roman"/>
                      <w:sz w:val="24"/>
                      <w:szCs w:val="24"/>
                      <w:lang w:val="en-GB"/>
                    </w:rPr>
                    <m:t>N</m:t>
                  </m:r>
                </m:e>
                <m:sub>
                  <m:r>
                    <w:rPr>
                      <w:rFonts w:ascii="Cambria Math" w:hAnsi="Cambria Math" w:cs="Times New Roman"/>
                      <w:sz w:val="24"/>
                      <w:szCs w:val="24"/>
                      <w:lang w:val="en-GB"/>
                    </w:rPr>
                    <m:t>total</m:t>
                  </m:r>
                </m:sub>
              </m:sSub>
            </m:den>
          </m:f>
        </m:oMath>
      </m:oMathPara>
    </w:p>
    <w:p w14:paraId="3714BEA6" w14:textId="58A244AD" w:rsidR="00F8189E" w:rsidRPr="000250FE" w:rsidRDefault="00F8189E" w:rsidP="009663E6">
      <w:pPr>
        <w:spacing w:after="0" w:line="360" w:lineRule="auto"/>
        <w:ind w:firstLine="284"/>
        <w:jc w:val="both"/>
        <w:rPr>
          <w:rFonts w:ascii="Times New Roman" w:hAnsi="Times New Roman" w:cs="Times New Roman"/>
          <w:sz w:val="24"/>
          <w:szCs w:val="24"/>
        </w:rPr>
      </w:pPr>
      <w:r w:rsidRPr="000250FE">
        <w:rPr>
          <w:rFonts w:ascii="Times New Roman" w:hAnsi="Times New Roman" w:cs="Times New Roman"/>
          <w:sz w:val="24"/>
          <w:szCs w:val="24"/>
        </w:rPr>
        <w:t xml:space="preserve">dove </w:t>
      </w:r>
      <m:oMath>
        <m:sSub>
          <m:sSubPr>
            <m:ctrlPr>
              <w:rPr>
                <w:rFonts w:ascii="Cambria Math" w:hAnsi="Cambria Math" w:cs="Times New Roman"/>
                <w:i/>
                <w:sz w:val="24"/>
                <w:szCs w:val="24"/>
                <w:lang w:val="en-GB"/>
              </w:rPr>
            </m:ctrlPr>
          </m:sSubPr>
          <m:e>
            <m:r>
              <w:rPr>
                <w:rFonts w:ascii="Cambria Math" w:hAnsi="Cambria Math" w:cs="Times New Roman"/>
                <w:sz w:val="24"/>
                <w:szCs w:val="24"/>
                <w:lang w:val="en-GB"/>
              </w:rPr>
              <m:t>N</m:t>
            </m:r>
          </m:e>
          <m:sub>
            <m:r>
              <w:rPr>
                <w:rFonts w:ascii="Cambria Math" w:hAnsi="Cambria Math" w:cs="Times New Roman"/>
                <w:sz w:val="24"/>
                <w:szCs w:val="24"/>
                <w:lang w:val="en-GB"/>
              </w:rPr>
              <m:t>correct</m:t>
            </m:r>
          </m:sub>
        </m:sSub>
      </m:oMath>
      <w:r w:rsidRPr="000250FE">
        <w:rPr>
          <w:rFonts w:ascii="Times New Roman" w:hAnsi="Times New Roman" w:cs="Times New Roman"/>
          <w:sz w:val="24"/>
          <w:szCs w:val="24"/>
        </w:rPr>
        <w:t xml:space="preserve"> rappresenta il numero di previsioni corrette e </w:t>
      </w:r>
      <m:oMath>
        <m:sSub>
          <m:sSubPr>
            <m:ctrlPr>
              <w:rPr>
                <w:rFonts w:ascii="Cambria Math" w:hAnsi="Cambria Math" w:cs="Times New Roman"/>
                <w:i/>
                <w:sz w:val="24"/>
                <w:szCs w:val="24"/>
                <w:lang w:val="en-GB"/>
              </w:rPr>
            </m:ctrlPr>
          </m:sSubPr>
          <m:e>
            <m:r>
              <w:rPr>
                <w:rFonts w:ascii="Cambria Math" w:hAnsi="Cambria Math" w:cs="Times New Roman"/>
                <w:sz w:val="24"/>
                <w:szCs w:val="24"/>
                <w:lang w:val="en-GB"/>
              </w:rPr>
              <m:t>N</m:t>
            </m:r>
          </m:e>
          <m:sub>
            <m:r>
              <w:rPr>
                <w:rFonts w:ascii="Cambria Math" w:hAnsi="Cambria Math" w:cs="Times New Roman"/>
                <w:sz w:val="24"/>
                <w:szCs w:val="24"/>
                <w:lang w:val="en-GB"/>
              </w:rPr>
              <m:t>total</m:t>
            </m:r>
          </m:sub>
        </m:sSub>
      </m:oMath>
      <w:r w:rsidRPr="000250FE">
        <w:rPr>
          <w:rFonts w:ascii="Times New Roman" w:hAnsi="Times New Roman" w:cs="Times New Roman"/>
          <w:sz w:val="24"/>
          <w:szCs w:val="24"/>
        </w:rPr>
        <w:t xml:space="preserve"> il numero complessivo di osservazioni considerate.</w:t>
      </w:r>
    </w:p>
    <w:p w14:paraId="31E2B521" w14:textId="77777777" w:rsidR="00F8189E" w:rsidRPr="000250FE" w:rsidRDefault="00F8189E" w:rsidP="009663E6">
      <w:pPr>
        <w:spacing w:after="0" w:line="360" w:lineRule="auto"/>
        <w:ind w:firstLine="284"/>
        <w:jc w:val="both"/>
        <w:rPr>
          <w:rFonts w:ascii="Times New Roman" w:hAnsi="Times New Roman" w:cs="Times New Roman"/>
          <w:sz w:val="24"/>
          <w:szCs w:val="24"/>
        </w:rPr>
      </w:pPr>
      <w:r w:rsidRPr="000250FE">
        <w:rPr>
          <w:rFonts w:ascii="Times New Roman" w:hAnsi="Times New Roman" w:cs="Times New Roman"/>
          <w:sz w:val="24"/>
          <w:szCs w:val="24"/>
        </w:rPr>
        <w:t>Per valutare la significatività statistica dei risultati ottenuti, l’analisi implementa test di ipotesi rispetto al benchmark neutrale del 50%, coerente con una previsione casuale binaria. In particolare, vengono utilizzati t-test sulle proporzioni e test binomiali applicati sia ai segnali sui singoli titoli sia alle previsioni di market timing sull’indice S&amp;P 500.</w:t>
      </w:r>
    </w:p>
    <w:p w14:paraId="614B901F" w14:textId="77777777" w:rsidR="00F8189E" w:rsidRDefault="00F8189E" w:rsidP="009663E6">
      <w:pPr>
        <w:spacing w:after="0" w:line="360" w:lineRule="auto"/>
        <w:ind w:firstLine="284"/>
        <w:jc w:val="both"/>
        <w:rPr>
          <w:rFonts w:ascii="Times New Roman" w:hAnsi="Times New Roman" w:cs="Times New Roman"/>
          <w:sz w:val="24"/>
          <w:szCs w:val="24"/>
        </w:rPr>
      </w:pPr>
      <w:r w:rsidRPr="000250FE">
        <w:rPr>
          <w:rFonts w:ascii="Times New Roman" w:hAnsi="Times New Roman" w:cs="Times New Roman"/>
          <w:sz w:val="24"/>
          <w:szCs w:val="24"/>
        </w:rPr>
        <w:t xml:space="preserve">L’analisi della directional </w:t>
      </w:r>
      <w:proofErr w:type="spellStart"/>
      <w:r w:rsidRPr="000250FE">
        <w:rPr>
          <w:rFonts w:ascii="Times New Roman" w:hAnsi="Times New Roman" w:cs="Times New Roman"/>
          <w:sz w:val="24"/>
          <w:szCs w:val="24"/>
        </w:rPr>
        <w:t>accuracy</w:t>
      </w:r>
      <w:proofErr w:type="spellEnd"/>
      <w:r w:rsidRPr="000250FE">
        <w:rPr>
          <w:rFonts w:ascii="Times New Roman" w:hAnsi="Times New Roman" w:cs="Times New Roman"/>
          <w:sz w:val="24"/>
          <w:szCs w:val="24"/>
        </w:rPr>
        <w:t xml:space="preserve"> rappresenta il primo livello di valutazione della qualità informativa dei segnali generati dagli LLM. Tuttavia, la presenza di accuratezza direzionale statisticamente significativa non implica necessariamente la capacità di generare valore economico attraverso strategie di investimento profittevoli. Per tale ragione, il framework empirico integra successivamente misure di performance economica e analisi risk-</w:t>
      </w:r>
      <w:proofErr w:type="spellStart"/>
      <w:r w:rsidRPr="000250FE">
        <w:rPr>
          <w:rFonts w:ascii="Times New Roman" w:hAnsi="Times New Roman" w:cs="Times New Roman"/>
          <w:sz w:val="24"/>
          <w:szCs w:val="24"/>
        </w:rPr>
        <w:t>adjusted</w:t>
      </w:r>
      <w:proofErr w:type="spellEnd"/>
      <w:r w:rsidRPr="000250FE">
        <w:rPr>
          <w:rFonts w:ascii="Times New Roman" w:hAnsi="Times New Roman" w:cs="Times New Roman"/>
          <w:sz w:val="24"/>
          <w:szCs w:val="24"/>
        </w:rPr>
        <w:t>.</w:t>
      </w:r>
    </w:p>
    <w:p w14:paraId="5460BF45" w14:textId="77777777" w:rsidR="009663E6" w:rsidRPr="000250FE" w:rsidRDefault="009663E6" w:rsidP="009663E6">
      <w:pPr>
        <w:spacing w:line="360" w:lineRule="auto"/>
        <w:ind w:firstLine="284"/>
        <w:jc w:val="both"/>
        <w:rPr>
          <w:rFonts w:ascii="Times New Roman" w:hAnsi="Times New Roman" w:cs="Times New Roman"/>
          <w:sz w:val="24"/>
          <w:szCs w:val="24"/>
        </w:rPr>
      </w:pPr>
    </w:p>
    <w:p w14:paraId="2AE4ED00" w14:textId="77777777" w:rsidR="00F8189E" w:rsidRPr="009663E6" w:rsidRDefault="00F8189E" w:rsidP="009663E6">
      <w:pPr>
        <w:pStyle w:val="Titolo2"/>
        <w:spacing w:before="40" w:after="0"/>
        <w:rPr>
          <w:rFonts w:ascii="Times New Roman" w:hAnsi="Times New Roman" w:cs="Times New Roman"/>
          <w:b/>
          <w:bCs/>
          <w:i/>
          <w:iCs/>
          <w:color w:val="auto"/>
          <w:sz w:val="26"/>
          <w:szCs w:val="26"/>
        </w:rPr>
      </w:pPr>
      <w:r w:rsidRPr="009663E6">
        <w:rPr>
          <w:rFonts w:ascii="Times New Roman" w:hAnsi="Times New Roman" w:cs="Times New Roman"/>
          <w:b/>
          <w:bCs/>
          <w:i/>
          <w:iCs/>
          <w:color w:val="auto"/>
          <w:sz w:val="26"/>
          <w:szCs w:val="26"/>
        </w:rPr>
        <w:t xml:space="preserve">3.5.2 Portfolio Performance </w:t>
      </w:r>
      <w:proofErr w:type="spellStart"/>
      <w:r w:rsidRPr="009663E6">
        <w:rPr>
          <w:rFonts w:ascii="Times New Roman" w:hAnsi="Times New Roman" w:cs="Times New Roman"/>
          <w:b/>
          <w:bCs/>
          <w:i/>
          <w:iCs/>
          <w:color w:val="auto"/>
          <w:sz w:val="26"/>
          <w:szCs w:val="26"/>
        </w:rPr>
        <w:t>Metrics</w:t>
      </w:r>
      <w:proofErr w:type="spellEnd"/>
    </w:p>
    <w:p w14:paraId="158C10BA" w14:textId="77777777" w:rsidR="009663E6" w:rsidRPr="000250FE" w:rsidRDefault="009663E6" w:rsidP="000250FE">
      <w:pPr>
        <w:jc w:val="both"/>
        <w:rPr>
          <w:rFonts w:ascii="Times New Roman" w:hAnsi="Times New Roman" w:cs="Times New Roman"/>
          <w:b/>
          <w:bCs/>
          <w:sz w:val="24"/>
          <w:szCs w:val="24"/>
        </w:rPr>
      </w:pPr>
    </w:p>
    <w:p w14:paraId="2B64D685" w14:textId="77777777" w:rsidR="00F8189E" w:rsidRPr="000250FE" w:rsidRDefault="00F8189E" w:rsidP="009663E6">
      <w:pPr>
        <w:spacing w:after="0" w:line="360" w:lineRule="auto"/>
        <w:ind w:firstLine="284"/>
        <w:jc w:val="both"/>
        <w:rPr>
          <w:rFonts w:ascii="Times New Roman" w:hAnsi="Times New Roman" w:cs="Times New Roman"/>
          <w:sz w:val="24"/>
          <w:szCs w:val="24"/>
        </w:rPr>
      </w:pPr>
      <w:r w:rsidRPr="000250FE">
        <w:rPr>
          <w:rFonts w:ascii="Times New Roman" w:hAnsi="Times New Roman" w:cs="Times New Roman"/>
          <w:sz w:val="24"/>
          <w:szCs w:val="24"/>
        </w:rPr>
        <w:t>La seconda dimensione di analisi riguarda la performance economica dei portafogli costruiti utilizzando i segnali generati dagli LLM. L’obiettivo consiste nel verificare se eventuali capacità previsive dei modelli possano tradursi in strategie in grado di produrre rendimenti economicamente significativi dopo aver considerato il rischio associato.</w:t>
      </w:r>
    </w:p>
    <w:p w14:paraId="7CD09802" w14:textId="19E6CEE2" w:rsidR="00F8189E" w:rsidRPr="000250FE" w:rsidRDefault="00F8189E" w:rsidP="009663E6">
      <w:pPr>
        <w:spacing w:after="0" w:line="360" w:lineRule="auto"/>
        <w:ind w:firstLine="284"/>
        <w:jc w:val="both"/>
        <w:rPr>
          <w:rFonts w:ascii="Times New Roman" w:hAnsi="Times New Roman" w:cs="Times New Roman"/>
          <w:sz w:val="24"/>
          <w:szCs w:val="24"/>
        </w:rPr>
      </w:pPr>
      <w:r w:rsidRPr="000250FE">
        <w:rPr>
          <w:rFonts w:ascii="Times New Roman" w:hAnsi="Times New Roman" w:cs="Times New Roman"/>
          <w:sz w:val="24"/>
          <w:szCs w:val="24"/>
        </w:rPr>
        <w:t xml:space="preserve">Per ciascuna configurazione di portafoglio vengono calcolati i rendimenti medi giornalieri, la volatilità dei rendimenti e i rendimenti cumulati osservati lungo l’intero periodo campionario. Le performance vengono inoltre analizzate mediante lo Sharpe ratio, misura standard di </w:t>
      </w:r>
      <w:r w:rsidRPr="000250FE">
        <w:rPr>
          <w:rFonts w:ascii="Times New Roman" w:hAnsi="Times New Roman" w:cs="Times New Roman"/>
          <w:sz w:val="24"/>
          <w:szCs w:val="24"/>
        </w:rPr>
        <w:lastRenderedPageBreak/>
        <w:t>rendimento corretto per il rischio ampiamente utilizzata nella letteratura finanziaria.</w:t>
      </w:r>
      <w:r w:rsidR="00D15596" w:rsidRPr="000250FE">
        <w:rPr>
          <w:rFonts w:ascii="Times New Roman" w:hAnsi="Times New Roman" w:cs="Times New Roman"/>
          <w:sz w:val="24"/>
          <w:szCs w:val="24"/>
        </w:rPr>
        <w:t xml:space="preserve"> </w:t>
      </w:r>
      <w:r w:rsidRPr="000250FE">
        <w:rPr>
          <w:rFonts w:ascii="Times New Roman" w:hAnsi="Times New Roman" w:cs="Times New Roman"/>
          <w:sz w:val="24"/>
          <w:szCs w:val="24"/>
        </w:rPr>
        <w:t>Lo Sharpe ratio viene definito come:</w:t>
      </w:r>
    </w:p>
    <w:p w14:paraId="69648527" w14:textId="2A431B25" w:rsidR="00F8189E" w:rsidRPr="000250FE" w:rsidRDefault="001059BC" w:rsidP="009663E6">
      <w:pPr>
        <w:spacing w:after="0" w:line="360" w:lineRule="auto"/>
        <w:ind w:firstLine="284"/>
        <w:jc w:val="both"/>
        <w:rPr>
          <w:rFonts w:ascii="Times New Roman" w:hAnsi="Times New Roman" w:cs="Times New Roman"/>
          <w:sz w:val="24"/>
          <w:szCs w:val="24"/>
          <w:lang w:val="en-GB"/>
        </w:rPr>
      </w:pPr>
      <m:oMathPara>
        <m:oMath>
          <m:r>
            <w:rPr>
              <w:rFonts w:ascii="Cambria Math" w:hAnsi="Cambria Math" w:cs="Times New Roman"/>
              <w:sz w:val="24"/>
              <w:szCs w:val="24"/>
              <w:lang w:val="en-GB"/>
            </w:rPr>
            <m:t xml:space="preserve">Sharpe Ratio = </m:t>
          </m:r>
          <m:f>
            <m:fPr>
              <m:ctrlPr>
                <w:rPr>
                  <w:rFonts w:ascii="Cambria Math" w:hAnsi="Cambria Math" w:cs="Times New Roman"/>
                  <w:i/>
                  <w:sz w:val="24"/>
                  <w:szCs w:val="24"/>
                  <w:lang w:val="en-GB"/>
                </w:rPr>
              </m:ctrlPr>
            </m:fPr>
            <m:num>
              <m:r>
                <w:rPr>
                  <w:rFonts w:ascii="Cambria Math" w:hAnsi="Cambria Math" w:cs="Times New Roman"/>
                  <w:sz w:val="24"/>
                  <w:szCs w:val="24"/>
                  <w:lang w:val="en-GB"/>
                </w:rPr>
                <m:t>E</m:t>
              </m:r>
              <m:d>
                <m:dPr>
                  <m:ctrlPr>
                    <w:rPr>
                      <w:rFonts w:ascii="Cambria Math" w:hAnsi="Cambria Math" w:cs="Times New Roman"/>
                      <w:i/>
                      <w:sz w:val="24"/>
                      <w:szCs w:val="24"/>
                      <w:lang w:val="en-GB"/>
                    </w:rPr>
                  </m:ctrlPr>
                </m:dPr>
                <m:e>
                  <m:sSub>
                    <m:sSubPr>
                      <m:ctrlPr>
                        <w:rPr>
                          <w:rFonts w:ascii="Cambria Math" w:hAnsi="Cambria Math" w:cs="Times New Roman"/>
                          <w:i/>
                          <w:sz w:val="24"/>
                          <w:szCs w:val="24"/>
                          <w:lang w:val="en-GB"/>
                        </w:rPr>
                      </m:ctrlPr>
                    </m:sSubPr>
                    <m:e>
                      <m:r>
                        <w:rPr>
                          <w:rFonts w:ascii="Cambria Math" w:hAnsi="Cambria Math" w:cs="Times New Roman"/>
                          <w:sz w:val="24"/>
                          <w:szCs w:val="24"/>
                          <w:lang w:val="en-GB"/>
                        </w:rPr>
                        <m:t>R</m:t>
                      </m:r>
                    </m:e>
                    <m:sub>
                      <m:r>
                        <w:rPr>
                          <w:rFonts w:ascii="Cambria Math" w:hAnsi="Cambria Math" w:cs="Times New Roman"/>
                          <w:sz w:val="24"/>
                          <w:szCs w:val="24"/>
                          <w:lang w:val="en-GB"/>
                        </w:rPr>
                        <m:t>p</m:t>
                      </m:r>
                    </m:sub>
                  </m:sSub>
                  <m:r>
                    <w:rPr>
                      <w:rFonts w:ascii="Cambria Math" w:hAnsi="Cambria Math" w:cs="Times New Roman"/>
                      <w:sz w:val="24"/>
                      <w:szCs w:val="24"/>
                      <w:lang w:val="en-GB"/>
                    </w:rPr>
                    <m:t>-</m:t>
                  </m:r>
                  <m:sSub>
                    <m:sSubPr>
                      <m:ctrlPr>
                        <w:rPr>
                          <w:rFonts w:ascii="Cambria Math" w:hAnsi="Cambria Math" w:cs="Times New Roman"/>
                          <w:i/>
                          <w:sz w:val="24"/>
                          <w:szCs w:val="24"/>
                          <w:lang w:val="en-GB"/>
                        </w:rPr>
                      </m:ctrlPr>
                    </m:sSubPr>
                    <m:e>
                      <m:r>
                        <w:rPr>
                          <w:rFonts w:ascii="Cambria Math" w:hAnsi="Cambria Math" w:cs="Times New Roman"/>
                          <w:sz w:val="24"/>
                          <w:szCs w:val="24"/>
                          <w:lang w:val="en-GB"/>
                        </w:rPr>
                        <m:t>R</m:t>
                      </m:r>
                    </m:e>
                    <m:sub>
                      <m:r>
                        <w:rPr>
                          <w:rFonts w:ascii="Cambria Math" w:hAnsi="Cambria Math" w:cs="Times New Roman"/>
                          <w:sz w:val="24"/>
                          <w:szCs w:val="24"/>
                          <w:lang w:val="en-GB"/>
                        </w:rPr>
                        <m:t>f</m:t>
                      </m:r>
                    </m:sub>
                  </m:sSub>
                </m:e>
              </m:d>
            </m:num>
            <m:den>
              <m:sSub>
                <m:sSubPr>
                  <m:ctrlPr>
                    <w:rPr>
                      <w:rFonts w:ascii="Cambria Math" w:hAnsi="Cambria Math" w:cs="Times New Roman"/>
                      <w:i/>
                      <w:sz w:val="24"/>
                      <w:szCs w:val="24"/>
                      <w:lang w:val="en-GB"/>
                    </w:rPr>
                  </m:ctrlPr>
                </m:sSubPr>
                <m:e>
                  <m:r>
                    <w:rPr>
                      <w:rFonts w:ascii="Cambria Math" w:hAnsi="Cambria Math" w:cs="Times New Roman"/>
                      <w:sz w:val="24"/>
                      <w:szCs w:val="24"/>
                      <w:lang w:val="en-GB"/>
                    </w:rPr>
                    <m:t>σ</m:t>
                  </m:r>
                </m:e>
                <m:sub>
                  <m:r>
                    <w:rPr>
                      <w:rFonts w:ascii="Cambria Math" w:hAnsi="Cambria Math" w:cs="Times New Roman"/>
                      <w:sz w:val="24"/>
                      <w:szCs w:val="24"/>
                      <w:lang w:val="en-GB"/>
                    </w:rPr>
                    <m:t>p</m:t>
                  </m:r>
                </m:sub>
              </m:sSub>
            </m:den>
          </m:f>
        </m:oMath>
      </m:oMathPara>
    </w:p>
    <w:p w14:paraId="50550FE5" w14:textId="017C1A3B" w:rsidR="00F8189E" w:rsidRPr="000250FE" w:rsidRDefault="00F8189E" w:rsidP="009663E6">
      <w:pPr>
        <w:spacing w:after="0" w:line="360" w:lineRule="auto"/>
        <w:ind w:firstLine="284"/>
        <w:jc w:val="both"/>
        <w:rPr>
          <w:rFonts w:ascii="Times New Roman" w:hAnsi="Times New Roman" w:cs="Times New Roman"/>
          <w:sz w:val="24"/>
          <w:szCs w:val="24"/>
        </w:rPr>
      </w:pPr>
      <w:r w:rsidRPr="000250FE">
        <w:rPr>
          <w:rFonts w:ascii="Times New Roman" w:hAnsi="Times New Roman" w:cs="Times New Roman"/>
          <w:sz w:val="24"/>
          <w:szCs w:val="24"/>
        </w:rPr>
        <w:t xml:space="preserve">dove </w:t>
      </w:r>
      <m:oMath>
        <m:sSub>
          <m:sSubPr>
            <m:ctrlPr>
              <w:rPr>
                <w:rFonts w:ascii="Cambria Math" w:hAnsi="Cambria Math" w:cs="Times New Roman"/>
                <w:i/>
                <w:sz w:val="24"/>
                <w:szCs w:val="24"/>
                <w:lang w:val="en-GB"/>
              </w:rPr>
            </m:ctrlPr>
          </m:sSubPr>
          <m:e>
            <m:r>
              <w:rPr>
                <w:rFonts w:ascii="Cambria Math" w:hAnsi="Cambria Math" w:cs="Times New Roman"/>
                <w:sz w:val="24"/>
                <w:szCs w:val="24"/>
                <w:lang w:val="en-GB"/>
              </w:rPr>
              <m:t>R</m:t>
            </m:r>
          </m:e>
          <m:sub>
            <m:r>
              <w:rPr>
                <w:rFonts w:ascii="Cambria Math" w:hAnsi="Cambria Math" w:cs="Times New Roman"/>
                <w:sz w:val="24"/>
                <w:szCs w:val="24"/>
                <w:lang w:val="en-GB"/>
              </w:rPr>
              <m:t>p</m:t>
            </m:r>
          </m:sub>
        </m:sSub>
      </m:oMath>
      <w:r w:rsidRPr="000250FE">
        <w:rPr>
          <w:rFonts w:ascii="Times New Roman" w:hAnsi="Times New Roman" w:cs="Times New Roman"/>
          <w:sz w:val="24"/>
          <w:szCs w:val="24"/>
        </w:rPr>
        <w:t xml:space="preserve"> rappresenta il rendimento del portafoglio, </w:t>
      </w:r>
      <m:oMath>
        <m:sSub>
          <m:sSubPr>
            <m:ctrlPr>
              <w:rPr>
                <w:rFonts w:ascii="Cambria Math" w:hAnsi="Cambria Math" w:cs="Times New Roman"/>
                <w:i/>
                <w:sz w:val="24"/>
                <w:szCs w:val="24"/>
                <w:lang w:val="en-GB"/>
              </w:rPr>
            </m:ctrlPr>
          </m:sSubPr>
          <m:e>
            <m:r>
              <w:rPr>
                <w:rFonts w:ascii="Cambria Math" w:hAnsi="Cambria Math" w:cs="Times New Roman"/>
                <w:sz w:val="24"/>
                <w:szCs w:val="24"/>
                <w:lang w:val="en-GB"/>
              </w:rPr>
              <m:t>R</m:t>
            </m:r>
          </m:e>
          <m:sub>
            <m:r>
              <w:rPr>
                <w:rFonts w:ascii="Cambria Math" w:hAnsi="Cambria Math" w:cs="Times New Roman"/>
                <w:sz w:val="24"/>
                <w:szCs w:val="24"/>
                <w:lang w:val="en-GB"/>
              </w:rPr>
              <m:t>f</m:t>
            </m:r>
          </m:sub>
        </m:sSub>
      </m:oMath>
      <w:r w:rsidRPr="000250FE">
        <w:rPr>
          <w:rFonts w:ascii="Times New Roman" w:hAnsi="Times New Roman" w:cs="Times New Roman"/>
          <w:sz w:val="24"/>
          <w:szCs w:val="24"/>
        </w:rPr>
        <w:t xml:space="preserve"> il tasso privo di rischio e </w:t>
      </w:r>
      <m:oMath>
        <m:sSub>
          <m:sSubPr>
            <m:ctrlPr>
              <w:rPr>
                <w:rFonts w:ascii="Cambria Math" w:hAnsi="Cambria Math" w:cs="Times New Roman"/>
                <w:i/>
                <w:sz w:val="24"/>
                <w:szCs w:val="24"/>
                <w:lang w:val="en-GB"/>
              </w:rPr>
            </m:ctrlPr>
          </m:sSubPr>
          <m:e>
            <m:r>
              <w:rPr>
                <w:rFonts w:ascii="Cambria Math" w:hAnsi="Cambria Math" w:cs="Times New Roman"/>
                <w:sz w:val="24"/>
                <w:szCs w:val="24"/>
                <w:lang w:val="en-GB"/>
              </w:rPr>
              <m:t>σ</m:t>
            </m:r>
          </m:e>
          <m:sub>
            <m:r>
              <w:rPr>
                <w:rFonts w:ascii="Cambria Math" w:hAnsi="Cambria Math" w:cs="Times New Roman"/>
                <w:sz w:val="24"/>
                <w:szCs w:val="24"/>
                <w:lang w:val="en-GB"/>
              </w:rPr>
              <m:t>p</m:t>
            </m:r>
          </m:sub>
        </m:sSub>
      </m:oMath>
      <w:r w:rsidRPr="000250FE">
        <w:rPr>
          <w:rFonts w:ascii="Times New Roman" w:hAnsi="Times New Roman" w:cs="Times New Roman"/>
          <w:sz w:val="24"/>
          <w:szCs w:val="24"/>
        </w:rPr>
        <w:t xml:space="preserve"> la deviazione standard dei rendimenti del portafoglio.</w:t>
      </w:r>
      <w:r w:rsidR="00B7084B" w:rsidRPr="000250FE">
        <w:rPr>
          <w:rFonts w:ascii="Times New Roman" w:hAnsi="Times New Roman" w:cs="Times New Roman"/>
          <w:sz w:val="24"/>
          <w:szCs w:val="24"/>
        </w:rPr>
        <w:t xml:space="preserve"> Lo Sharpe ratio rappresenta una delle principali misure di performance corretta per il rischio utilizzate nella letteratura finanziaria (Sharpe, 1966).</w:t>
      </w:r>
    </w:p>
    <w:p w14:paraId="6A4F9F27" w14:textId="77777777" w:rsidR="00F8189E" w:rsidRPr="000250FE" w:rsidRDefault="00F8189E" w:rsidP="009663E6">
      <w:pPr>
        <w:spacing w:after="0" w:line="360" w:lineRule="auto"/>
        <w:ind w:firstLine="284"/>
        <w:jc w:val="both"/>
        <w:rPr>
          <w:rFonts w:ascii="Times New Roman" w:hAnsi="Times New Roman" w:cs="Times New Roman"/>
          <w:sz w:val="24"/>
          <w:szCs w:val="24"/>
        </w:rPr>
      </w:pPr>
      <w:r w:rsidRPr="000250FE">
        <w:rPr>
          <w:rFonts w:ascii="Times New Roman" w:hAnsi="Times New Roman" w:cs="Times New Roman"/>
          <w:sz w:val="24"/>
          <w:szCs w:val="24"/>
        </w:rPr>
        <w:t>Considerata la natura intraday delle strategie analizzate, il tasso privo di rischio giornaliero assume valori estremamente contenuti. In alcune specificazioni empiriche viene pertanto adottata una versione semplificata dello Sharpe ratio costruita direttamente come rapporto tra rendimento medio e volatilità dei rendimenti.</w:t>
      </w:r>
    </w:p>
    <w:p w14:paraId="0B9988A4" w14:textId="77777777" w:rsidR="00F8189E" w:rsidRPr="000250FE" w:rsidRDefault="00F8189E" w:rsidP="009663E6">
      <w:pPr>
        <w:spacing w:after="0" w:line="360" w:lineRule="auto"/>
        <w:ind w:firstLine="284"/>
        <w:jc w:val="both"/>
        <w:rPr>
          <w:rFonts w:ascii="Times New Roman" w:hAnsi="Times New Roman" w:cs="Times New Roman"/>
          <w:sz w:val="24"/>
          <w:szCs w:val="24"/>
        </w:rPr>
      </w:pPr>
      <w:r w:rsidRPr="000250FE">
        <w:rPr>
          <w:rFonts w:ascii="Times New Roman" w:hAnsi="Times New Roman" w:cs="Times New Roman"/>
          <w:sz w:val="24"/>
          <w:szCs w:val="24"/>
        </w:rPr>
        <w:t xml:space="preserve">Oltre alle misure aggregate di performance, l’analisi considera anche la distribuzione dei rendimenti giornalieri dei portafogli. In particolare, vengono esaminate statistiche descrittive relative a </w:t>
      </w:r>
      <w:proofErr w:type="spellStart"/>
      <w:r w:rsidRPr="000250FE">
        <w:rPr>
          <w:rFonts w:ascii="Times New Roman" w:hAnsi="Times New Roman" w:cs="Times New Roman"/>
          <w:sz w:val="24"/>
          <w:szCs w:val="24"/>
        </w:rPr>
        <w:t>skewness</w:t>
      </w:r>
      <w:proofErr w:type="spellEnd"/>
      <w:r w:rsidRPr="000250FE">
        <w:rPr>
          <w:rFonts w:ascii="Times New Roman" w:hAnsi="Times New Roman" w:cs="Times New Roman"/>
          <w:sz w:val="24"/>
          <w:szCs w:val="24"/>
        </w:rPr>
        <w:t xml:space="preserve">, </w:t>
      </w:r>
      <w:proofErr w:type="spellStart"/>
      <w:r w:rsidRPr="000250FE">
        <w:rPr>
          <w:rFonts w:ascii="Times New Roman" w:hAnsi="Times New Roman" w:cs="Times New Roman"/>
          <w:sz w:val="24"/>
          <w:szCs w:val="24"/>
        </w:rPr>
        <w:t>kurtosis</w:t>
      </w:r>
      <w:proofErr w:type="spellEnd"/>
      <w:r w:rsidRPr="000250FE">
        <w:rPr>
          <w:rFonts w:ascii="Times New Roman" w:hAnsi="Times New Roman" w:cs="Times New Roman"/>
          <w:sz w:val="24"/>
          <w:szCs w:val="24"/>
        </w:rPr>
        <w:t>, quantili della distribuzione e presenza di osservazioni estreme. Tale procedura consente di verificare se eventuali risultati siano guidati da un numero limitato di giornate anomale oppure riflettano dinamiche più diffuse e persistenti nel tempo.</w:t>
      </w:r>
    </w:p>
    <w:p w14:paraId="1C1BBD84" w14:textId="77777777" w:rsidR="00F8189E" w:rsidRDefault="00F8189E" w:rsidP="009663E6">
      <w:pPr>
        <w:spacing w:after="0" w:line="360" w:lineRule="auto"/>
        <w:ind w:firstLine="284"/>
        <w:jc w:val="both"/>
        <w:rPr>
          <w:rFonts w:ascii="Times New Roman" w:hAnsi="Times New Roman" w:cs="Times New Roman"/>
          <w:sz w:val="24"/>
          <w:szCs w:val="24"/>
        </w:rPr>
      </w:pPr>
      <w:r w:rsidRPr="000250FE">
        <w:rPr>
          <w:rFonts w:ascii="Times New Roman" w:hAnsi="Times New Roman" w:cs="Times New Roman"/>
          <w:sz w:val="24"/>
          <w:szCs w:val="24"/>
        </w:rPr>
        <w:t xml:space="preserve">Parallelamente, vengono costruite serie di rendimenti cumulati per ciascuna configurazione di portafoglio. L’analisi delle cumulative </w:t>
      </w:r>
      <w:proofErr w:type="spellStart"/>
      <w:r w:rsidRPr="000250FE">
        <w:rPr>
          <w:rFonts w:ascii="Times New Roman" w:hAnsi="Times New Roman" w:cs="Times New Roman"/>
          <w:sz w:val="24"/>
          <w:szCs w:val="24"/>
        </w:rPr>
        <w:t>returns</w:t>
      </w:r>
      <w:proofErr w:type="spellEnd"/>
      <w:r w:rsidRPr="000250FE">
        <w:rPr>
          <w:rFonts w:ascii="Times New Roman" w:hAnsi="Times New Roman" w:cs="Times New Roman"/>
          <w:sz w:val="24"/>
          <w:szCs w:val="24"/>
        </w:rPr>
        <w:t xml:space="preserve"> consente di osservare la dinamica temporale delle strategie e di confrontare l’evoluzione delle performance tra differenti modelli e metodologie di ponderazione.</w:t>
      </w:r>
    </w:p>
    <w:p w14:paraId="6B340D22" w14:textId="77777777" w:rsidR="009663E6" w:rsidRPr="000250FE" w:rsidRDefault="009663E6" w:rsidP="009663E6">
      <w:pPr>
        <w:spacing w:line="360" w:lineRule="auto"/>
        <w:ind w:firstLine="284"/>
        <w:jc w:val="both"/>
        <w:rPr>
          <w:rFonts w:ascii="Times New Roman" w:hAnsi="Times New Roman" w:cs="Times New Roman"/>
          <w:sz w:val="24"/>
          <w:szCs w:val="24"/>
        </w:rPr>
      </w:pPr>
    </w:p>
    <w:p w14:paraId="6F4244CC" w14:textId="77777777" w:rsidR="00F8189E" w:rsidRDefault="00F8189E" w:rsidP="009663E6">
      <w:pPr>
        <w:pStyle w:val="Titolo2"/>
        <w:spacing w:before="40" w:after="0"/>
        <w:rPr>
          <w:rFonts w:ascii="Times New Roman" w:hAnsi="Times New Roman" w:cs="Times New Roman"/>
          <w:b/>
          <w:bCs/>
          <w:i/>
          <w:iCs/>
          <w:color w:val="auto"/>
          <w:sz w:val="26"/>
          <w:szCs w:val="26"/>
        </w:rPr>
      </w:pPr>
      <w:r w:rsidRPr="009663E6">
        <w:rPr>
          <w:rFonts w:ascii="Times New Roman" w:hAnsi="Times New Roman" w:cs="Times New Roman"/>
          <w:b/>
          <w:bCs/>
          <w:i/>
          <w:iCs/>
          <w:color w:val="auto"/>
          <w:sz w:val="26"/>
          <w:szCs w:val="26"/>
        </w:rPr>
        <w:t xml:space="preserve">3.5.3 Asset Pricing </w:t>
      </w:r>
      <w:proofErr w:type="spellStart"/>
      <w:r w:rsidRPr="009663E6">
        <w:rPr>
          <w:rFonts w:ascii="Times New Roman" w:hAnsi="Times New Roman" w:cs="Times New Roman"/>
          <w:b/>
          <w:bCs/>
          <w:i/>
          <w:iCs/>
          <w:color w:val="auto"/>
          <w:sz w:val="26"/>
          <w:szCs w:val="26"/>
        </w:rPr>
        <w:t>Tests</w:t>
      </w:r>
      <w:proofErr w:type="spellEnd"/>
    </w:p>
    <w:p w14:paraId="4F9AC949" w14:textId="77777777" w:rsidR="009663E6" w:rsidRPr="009663E6" w:rsidRDefault="009663E6" w:rsidP="009663E6"/>
    <w:p w14:paraId="5C5629C3" w14:textId="77777777" w:rsidR="00F8189E" w:rsidRPr="000250FE" w:rsidRDefault="00F8189E" w:rsidP="009663E6">
      <w:pPr>
        <w:spacing w:after="0" w:line="360" w:lineRule="auto"/>
        <w:ind w:firstLine="709"/>
        <w:jc w:val="both"/>
        <w:rPr>
          <w:rFonts w:ascii="Times New Roman" w:hAnsi="Times New Roman" w:cs="Times New Roman"/>
          <w:sz w:val="24"/>
          <w:szCs w:val="24"/>
        </w:rPr>
      </w:pPr>
      <w:r w:rsidRPr="000250FE">
        <w:rPr>
          <w:rFonts w:ascii="Times New Roman" w:hAnsi="Times New Roman" w:cs="Times New Roman"/>
          <w:sz w:val="24"/>
          <w:szCs w:val="24"/>
        </w:rPr>
        <w:t>La valutazione delle performance economiche dei portafogli viene ulteriormente approfondita mediante regressioni di asset pricing finalizzate a verificare se eventuali rendimenti siano attribuibili a esposizioni sistematiche ai fattori di rischio tradizionali oppure riflettano componenti di rendimento anomalo.</w:t>
      </w:r>
    </w:p>
    <w:p w14:paraId="708D0E28" w14:textId="77777777" w:rsidR="00F8189E" w:rsidRPr="000250FE" w:rsidRDefault="00F8189E" w:rsidP="009663E6">
      <w:pPr>
        <w:spacing w:after="0" w:line="360" w:lineRule="auto"/>
        <w:ind w:firstLine="709"/>
        <w:jc w:val="both"/>
        <w:rPr>
          <w:rFonts w:ascii="Times New Roman" w:hAnsi="Times New Roman" w:cs="Times New Roman"/>
          <w:sz w:val="24"/>
          <w:szCs w:val="24"/>
        </w:rPr>
      </w:pPr>
      <w:r w:rsidRPr="000250FE">
        <w:rPr>
          <w:rFonts w:ascii="Times New Roman" w:hAnsi="Times New Roman" w:cs="Times New Roman"/>
          <w:sz w:val="24"/>
          <w:szCs w:val="24"/>
        </w:rPr>
        <w:t>In una prima fase, il framework implementa regressioni CAPM utilizzando un fattore di mercato intraday coerente con l’orizzonte temporale delle strategie considerate. Per ciascun portafoglio viene stimata la seguente specificazione:</w:t>
      </w:r>
    </w:p>
    <w:p w14:paraId="6E64F915" w14:textId="7451922C" w:rsidR="00F8189E" w:rsidRPr="000250FE" w:rsidRDefault="00000000" w:rsidP="009663E6">
      <w:pPr>
        <w:spacing w:after="0" w:line="360" w:lineRule="auto"/>
        <w:ind w:firstLine="709"/>
        <w:jc w:val="both"/>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 xml:space="preserve">p,t </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f,t</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α</m:t>
              </m:r>
            </m:e>
            <m:sub>
              <m:r>
                <w:rPr>
                  <w:rFonts w:ascii="Cambria Math" w:hAnsi="Cambria Math" w:cs="Times New Roman"/>
                  <w:sz w:val="24"/>
                  <w:szCs w:val="24"/>
                </w:rPr>
                <m:t>p</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p</m:t>
              </m:r>
            </m:sub>
          </m:sSub>
          <m:d>
            <m:dPr>
              <m:ctrlPr>
                <w:rPr>
                  <w:rFonts w:ascii="Cambria Math" w:hAnsi="Cambria Math" w:cs="Times New Roman"/>
                  <w:i/>
                  <w:sz w:val="24"/>
                  <w:szCs w:val="24"/>
                </w:rPr>
              </m:ctrlPr>
            </m:dPr>
            <m:e>
              <m:r>
                <w:rPr>
                  <w:rFonts w:ascii="Cambria Math" w:hAnsi="Cambria Math" w:cs="Times New Roman"/>
                  <w:sz w:val="24"/>
                  <w:szCs w:val="24"/>
                </w:rPr>
                <m:t>MktR</m:t>
              </m:r>
              <m:sSubSup>
                <m:sSubSupPr>
                  <m:ctrlPr>
                    <w:rPr>
                      <w:rFonts w:ascii="Cambria Math" w:hAnsi="Cambria Math" w:cs="Times New Roman"/>
                      <w:i/>
                      <w:sz w:val="24"/>
                      <w:szCs w:val="24"/>
                    </w:rPr>
                  </m:ctrlPr>
                </m:sSubSupPr>
                <m:e>
                  <m:r>
                    <w:rPr>
                      <w:rFonts w:ascii="Cambria Math" w:hAnsi="Cambria Math" w:cs="Times New Roman"/>
                      <w:sz w:val="24"/>
                      <w:szCs w:val="24"/>
                    </w:rPr>
                    <m:t>F</m:t>
                  </m:r>
                </m:e>
                <m:sub>
                  <m:r>
                    <w:rPr>
                      <w:rFonts w:ascii="Cambria Math" w:hAnsi="Cambria Math" w:cs="Times New Roman"/>
                      <w:sz w:val="24"/>
                      <w:szCs w:val="24"/>
                    </w:rPr>
                    <m:t>t</m:t>
                  </m:r>
                </m:sub>
                <m:sup>
                  <m:r>
                    <w:rPr>
                      <w:rFonts w:ascii="Cambria Math" w:hAnsi="Cambria Math" w:cs="Times New Roman"/>
                      <w:sz w:val="24"/>
                      <w:szCs w:val="24"/>
                    </w:rPr>
                    <m:t>intraday</m:t>
                  </m:r>
                </m:sup>
              </m:sSubSup>
            </m:e>
          </m:d>
          <m:r>
            <w:rPr>
              <w:rFonts w:ascii="Cambria Math"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ε</m:t>
              </m:r>
            </m:e>
            <m:sub>
              <m:r>
                <w:rPr>
                  <w:rFonts w:ascii="Cambria Math" w:eastAsiaTheme="minorEastAsia" w:hAnsi="Cambria Math" w:cs="Times New Roman"/>
                  <w:sz w:val="24"/>
                  <w:szCs w:val="24"/>
                </w:rPr>
                <m:t>t</m:t>
              </m:r>
            </m:sub>
          </m:sSub>
        </m:oMath>
      </m:oMathPara>
    </w:p>
    <w:p w14:paraId="32B491D7" w14:textId="70A740F4" w:rsidR="00F8189E" w:rsidRPr="000250FE" w:rsidRDefault="00F8189E" w:rsidP="009663E6">
      <w:pPr>
        <w:spacing w:after="0" w:line="360" w:lineRule="auto"/>
        <w:ind w:firstLine="709"/>
        <w:jc w:val="both"/>
        <w:rPr>
          <w:rFonts w:ascii="Times New Roman" w:hAnsi="Times New Roman" w:cs="Times New Roman"/>
          <w:sz w:val="24"/>
          <w:szCs w:val="24"/>
        </w:rPr>
      </w:pPr>
      <w:r w:rsidRPr="000250FE">
        <w:rPr>
          <w:rFonts w:ascii="Times New Roman" w:hAnsi="Times New Roman" w:cs="Times New Roman"/>
          <w:sz w:val="24"/>
          <w:szCs w:val="24"/>
        </w:rPr>
        <w:lastRenderedPageBreak/>
        <w:t xml:space="preserve">dove </w:t>
      </w:r>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 xml:space="preserve">p,t </m:t>
            </m:r>
          </m:sub>
        </m:sSub>
      </m:oMath>
      <w:r w:rsidRPr="000250FE">
        <w:rPr>
          <w:rFonts w:ascii="Times New Roman" w:hAnsi="Times New Roman" w:cs="Times New Roman"/>
          <w:sz w:val="24"/>
          <w:szCs w:val="24"/>
        </w:rPr>
        <w:t xml:space="preserve"> rappresenta il rendimento del portafoglio nel giorno</w:t>
      </w:r>
      <m:oMath>
        <m:r>
          <w:rPr>
            <w:rFonts w:ascii="Cambria Math" w:hAnsi="Cambria Math" w:cs="Times New Roman"/>
            <w:sz w:val="24"/>
            <w:szCs w:val="24"/>
          </w:rPr>
          <m:t xml:space="preserve"> t</m:t>
        </m:r>
      </m:oMath>
      <w:r w:rsidRPr="000250FE">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f,t</m:t>
            </m:r>
          </m:sub>
        </m:sSub>
      </m:oMath>
      <w:r w:rsidRPr="000250FE">
        <w:rPr>
          <w:rFonts w:ascii="Times New Roman" w:hAnsi="Times New Roman" w:cs="Times New Roman"/>
          <w:sz w:val="24"/>
          <w:szCs w:val="24"/>
        </w:rPr>
        <w:t xml:space="preserve"> il tasso privo di rischio giornaliero e </w:t>
      </w:r>
      <m:oMath>
        <m:r>
          <w:rPr>
            <w:rFonts w:ascii="Cambria Math" w:hAnsi="Cambria Math" w:cs="Times New Roman"/>
            <w:sz w:val="24"/>
            <w:szCs w:val="24"/>
          </w:rPr>
          <m:t>MktR</m:t>
        </m:r>
        <m:sSubSup>
          <m:sSubSupPr>
            <m:ctrlPr>
              <w:rPr>
                <w:rFonts w:ascii="Cambria Math" w:hAnsi="Cambria Math" w:cs="Times New Roman"/>
                <w:i/>
                <w:sz w:val="24"/>
                <w:szCs w:val="24"/>
              </w:rPr>
            </m:ctrlPr>
          </m:sSubSupPr>
          <m:e>
            <m:r>
              <w:rPr>
                <w:rFonts w:ascii="Cambria Math" w:hAnsi="Cambria Math" w:cs="Times New Roman"/>
                <w:sz w:val="24"/>
                <w:szCs w:val="24"/>
              </w:rPr>
              <m:t>F</m:t>
            </m:r>
          </m:e>
          <m:sub>
            <m:r>
              <w:rPr>
                <w:rFonts w:ascii="Cambria Math" w:hAnsi="Cambria Math" w:cs="Times New Roman"/>
                <w:sz w:val="24"/>
                <w:szCs w:val="24"/>
              </w:rPr>
              <m:t>t</m:t>
            </m:r>
          </m:sub>
          <m:sup>
            <m:r>
              <w:rPr>
                <w:rFonts w:ascii="Cambria Math" w:hAnsi="Cambria Math" w:cs="Times New Roman"/>
                <w:sz w:val="24"/>
                <w:szCs w:val="24"/>
              </w:rPr>
              <m:t>intraday</m:t>
            </m:r>
          </m:sup>
        </m:sSubSup>
        <m:r>
          <w:rPr>
            <w:rFonts w:ascii="Cambria Math" w:hAnsi="Cambria Math" w:cs="Times New Roman"/>
            <w:sz w:val="24"/>
            <w:szCs w:val="24"/>
          </w:rPr>
          <m:t xml:space="preserve"> </m:t>
        </m:r>
      </m:oMath>
      <w:r w:rsidR="0059272E" w:rsidRPr="000250FE">
        <w:rPr>
          <w:rFonts w:ascii="Times New Roman" w:hAnsi="Times New Roman" w:cs="Times New Roman"/>
          <w:sz w:val="24"/>
          <w:szCs w:val="24"/>
        </w:rPr>
        <w:t>è i</w:t>
      </w:r>
      <w:r w:rsidRPr="000250FE">
        <w:rPr>
          <w:rFonts w:ascii="Times New Roman" w:hAnsi="Times New Roman" w:cs="Times New Roman"/>
          <w:sz w:val="24"/>
          <w:szCs w:val="24"/>
        </w:rPr>
        <w:t xml:space="preserve">l market </w:t>
      </w:r>
      <w:proofErr w:type="spellStart"/>
      <w:r w:rsidRPr="000250FE">
        <w:rPr>
          <w:rFonts w:ascii="Times New Roman" w:hAnsi="Times New Roman" w:cs="Times New Roman"/>
          <w:sz w:val="24"/>
          <w:szCs w:val="24"/>
        </w:rPr>
        <w:t>excess</w:t>
      </w:r>
      <w:proofErr w:type="spellEnd"/>
      <w:r w:rsidRPr="000250FE">
        <w:rPr>
          <w:rFonts w:ascii="Times New Roman" w:hAnsi="Times New Roman" w:cs="Times New Roman"/>
          <w:sz w:val="24"/>
          <w:szCs w:val="24"/>
        </w:rPr>
        <w:t xml:space="preserve"> return intraday.</w:t>
      </w:r>
    </w:p>
    <w:p w14:paraId="544BBEA5" w14:textId="604205C5" w:rsidR="00F8189E" w:rsidRPr="000250FE" w:rsidRDefault="00D15596" w:rsidP="009663E6">
      <w:pPr>
        <w:spacing w:after="0" w:line="360" w:lineRule="auto"/>
        <w:ind w:firstLine="709"/>
        <w:jc w:val="both"/>
        <w:rPr>
          <w:rFonts w:ascii="Times New Roman" w:hAnsi="Times New Roman" w:cs="Times New Roman"/>
          <w:sz w:val="24"/>
          <w:szCs w:val="24"/>
        </w:rPr>
      </w:pPr>
      <w:r w:rsidRPr="000250FE">
        <w:rPr>
          <w:rFonts w:ascii="Times New Roman" w:hAnsi="Times New Roman" w:cs="Times New Roman"/>
          <w:sz w:val="24"/>
          <w:szCs w:val="24"/>
        </w:rPr>
        <w:t xml:space="preserve">Nel framework CAPM, l’intercetta della regressione </w:t>
      </w:r>
      <m:oMath>
        <m:sSub>
          <m:sSubPr>
            <m:ctrlPr>
              <w:rPr>
                <w:rFonts w:ascii="Cambria Math" w:hAnsi="Cambria Math" w:cs="Times New Roman"/>
                <w:i/>
                <w:sz w:val="24"/>
                <w:szCs w:val="24"/>
              </w:rPr>
            </m:ctrlPr>
          </m:sSubPr>
          <m:e>
            <m:r>
              <w:rPr>
                <w:rFonts w:ascii="Cambria Math" w:hAnsi="Cambria Math" w:cs="Times New Roman"/>
                <w:sz w:val="24"/>
                <w:szCs w:val="24"/>
              </w:rPr>
              <m:t>α</m:t>
            </m:r>
          </m:e>
          <m:sub>
            <m:r>
              <w:rPr>
                <w:rFonts w:ascii="Cambria Math" w:hAnsi="Cambria Math" w:cs="Times New Roman"/>
                <w:sz w:val="24"/>
                <w:szCs w:val="24"/>
              </w:rPr>
              <m:t>p</m:t>
            </m:r>
          </m:sub>
        </m:sSub>
      </m:oMath>
      <w:r w:rsidR="00F8189E" w:rsidRPr="000250FE">
        <w:rPr>
          <w:rFonts w:ascii="Times New Roman" w:hAnsi="Times New Roman" w:cs="Times New Roman"/>
          <w:sz w:val="24"/>
          <w:szCs w:val="24"/>
        </w:rPr>
        <w:t xml:space="preserve"> rappresenta la componente di rendimento non spiegata dall’esposizione sistematica al mercato e costituisce pertanto una misura di abnormal performance</w:t>
      </w:r>
      <w:r w:rsidRPr="000250FE">
        <w:rPr>
          <w:rFonts w:ascii="Times New Roman" w:hAnsi="Times New Roman" w:cs="Times New Roman"/>
          <w:sz w:val="24"/>
          <w:szCs w:val="24"/>
        </w:rPr>
        <w:t xml:space="preserve"> (Jensen, 1968)</w:t>
      </w:r>
      <w:r w:rsidR="00F8189E" w:rsidRPr="000250FE">
        <w:rPr>
          <w:rFonts w:ascii="Times New Roman" w:hAnsi="Times New Roman" w:cs="Times New Roman"/>
          <w:sz w:val="24"/>
          <w:szCs w:val="24"/>
        </w:rPr>
        <w:t>. Il coefficiente beta misura invece la sensibilità dei portafogli alle variazioni del benchmark di mercato.</w:t>
      </w:r>
    </w:p>
    <w:p w14:paraId="78DD9C1A" w14:textId="77777777" w:rsidR="00F8189E" w:rsidRPr="000250FE" w:rsidRDefault="00F8189E" w:rsidP="009663E6">
      <w:pPr>
        <w:spacing w:after="0" w:line="360" w:lineRule="auto"/>
        <w:ind w:firstLine="709"/>
        <w:jc w:val="both"/>
        <w:rPr>
          <w:rFonts w:ascii="Times New Roman" w:hAnsi="Times New Roman" w:cs="Times New Roman"/>
          <w:sz w:val="24"/>
          <w:szCs w:val="24"/>
        </w:rPr>
      </w:pPr>
      <w:r w:rsidRPr="000250FE">
        <w:rPr>
          <w:rFonts w:ascii="Times New Roman" w:hAnsi="Times New Roman" w:cs="Times New Roman"/>
          <w:sz w:val="24"/>
          <w:szCs w:val="24"/>
        </w:rPr>
        <w:t>In una seconda fase, l’analisi implementa regressioni multifattoriali basate sui fattori giornalieri di Fama-French e sul fattore Momentum di Carhart. Tale procedura consente di controllare ulteriori fonti di rischio sistematico comunemente associate ai rendimenti azionari, verificando se eventuali performance dei portafogli persistano anche dopo aver considerato esposizioni a fattori size, value e momentum.</w:t>
      </w:r>
    </w:p>
    <w:p w14:paraId="5AE14906" w14:textId="76709008" w:rsidR="00B7084B" w:rsidRPr="000250FE" w:rsidRDefault="00000000" w:rsidP="009663E6">
      <w:pPr>
        <w:spacing w:after="0" w:line="360" w:lineRule="auto"/>
        <w:ind w:firstLine="709"/>
        <w:jc w:val="both"/>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p,t</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f,t</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α</m:t>
              </m:r>
            </m:e>
            <m:sub>
              <m:r>
                <w:rPr>
                  <w:rFonts w:ascii="Cambria Math" w:hAnsi="Cambria Math" w:cs="Times New Roman"/>
                  <w:sz w:val="24"/>
                  <w:szCs w:val="24"/>
                </w:rPr>
                <m:t>p</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1</m:t>
              </m:r>
            </m:sub>
          </m:sSub>
          <m:d>
            <m:dPr>
              <m:ctrlPr>
                <w:rPr>
                  <w:rFonts w:ascii="Cambria Math" w:hAnsi="Cambria Math" w:cs="Times New Roman"/>
                  <w:i/>
                  <w:sz w:val="24"/>
                  <w:szCs w:val="24"/>
                </w:rPr>
              </m:ctrlPr>
            </m:dPr>
            <m:e>
              <m:r>
                <w:rPr>
                  <w:rFonts w:ascii="Cambria Math" w:hAnsi="Cambria Math" w:cs="Times New Roman"/>
                  <w:sz w:val="24"/>
                  <w:szCs w:val="24"/>
                </w:rPr>
                <m:t>Mkt_R</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t</m:t>
                  </m:r>
                </m:sub>
              </m:sSub>
            </m:e>
          </m:d>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2</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SM</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t</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β</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HM</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t</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β</m:t>
                  </m:r>
                </m:e>
                <m:sub>
                  <m:r>
                    <w:rPr>
                      <w:rFonts w:ascii="Cambria Math" w:eastAsiaTheme="minorEastAsia" w:hAnsi="Cambria Math" w:cs="Times New Roman"/>
                      <w:sz w:val="24"/>
                      <w:szCs w:val="24"/>
                    </w:rPr>
                    <m:t>4</m:t>
                  </m:r>
                </m:sub>
              </m:sSub>
              <m:r>
                <w:rPr>
                  <w:rFonts w:ascii="Cambria Math" w:eastAsiaTheme="minorEastAsia" w:hAnsi="Cambria Math" w:cs="Times New Roman"/>
                  <w:sz w:val="24"/>
                  <w:szCs w:val="24"/>
                </w:rPr>
                <m:t>MO</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t</m:t>
                  </m:r>
                </m:sub>
              </m:sSub>
              <m:r>
                <w:rPr>
                  <w:rFonts w:ascii="Cambria Math" w:eastAsiaTheme="minorEastAsia" w:hAnsi="Cambria Math" w:cs="Times New Roman"/>
                  <w:sz w:val="24"/>
                  <w:szCs w:val="24"/>
                </w:rPr>
                <m:t>+ε</m:t>
              </m:r>
            </m:e>
            <m:sub>
              <m:r>
                <w:rPr>
                  <w:rFonts w:ascii="Cambria Math" w:eastAsiaTheme="minorEastAsia" w:hAnsi="Cambria Math" w:cs="Times New Roman"/>
                  <w:sz w:val="24"/>
                  <w:szCs w:val="24"/>
                </w:rPr>
                <m:t>t</m:t>
              </m:r>
            </m:sub>
          </m:sSub>
          <m:r>
            <w:rPr>
              <w:rFonts w:ascii="Cambria Math" w:hAnsi="Cambria Math" w:cs="Times New Roman"/>
              <w:sz w:val="24"/>
              <w:szCs w:val="24"/>
            </w:rPr>
            <m:t xml:space="preserve"> </m:t>
          </m:r>
        </m:oMath>
      </m:oMathPara>
    </w:p>
    <w:p w14:paraId="569F6B9B" w14:textId="5BBCD15C" w:rsidR="00B7084B" w:rsidRPr="000250FE" w:rsidRDefault="00B7084B" w:rsidP="009663E6">
      <w:pPr>
        <w:spacing w:after="0" w:line="360" w:lineRule="auto"/>
        <w:ind w:firstLine="709"/>
        <w:jc w:val="both"/>
        <w:rPr>
          <w:rFonts w:ascii="Times New Roman" w:hAnsi="Times New Roman" w:cs="Times New Roman"/>
          <w:sz w:val="24"/>
          <w:szCs w:val="24"/>
        </w:rPr>
      </w:pPr>
      <w:r w:rsidRPr="000250FE">
        <w:rPr>
          <w:rFonts w:ascii="Times New Roman" w:hAnsi="Times New Roman" w:cs="Times New Roman"/>
          <w:sz w:val="24"/>
          <w:szCs w:val="24"/>
        </w:rPr>
        <w:t>Le regressioni multifattoriali vengono implementate seguendo il framework sviluppato da Fama e French (1993) ed esteso successivamente da Carhart (1997) mediante l’introduzione del fattore momentum</w:t>
      </w:r>
      <w:r w:rsidR="00783906" w:rsidRPr="000250FE">
        <w:rPr>
          <w:rStyle w:val="Rimandonotaapidipagina"/>
          <w:rFonts w:ascii="Times New Roman" w:hAnsi="Times New Roman" w:cs="Times New Roman"/>
          <w:sz w:val="24"/>
          <w:szCs w:val="24"/>
        </w:rPr>
        <w:footnoteReference w:id="4"/>
      </w:r>
      <w:r w:rsidRPr="000250FE">
        <w:rPr>
          <w:rFonts w:ascii="Times New Roman" w:hAnsi="Times New Roman" w:cs="Times New Roman"/>
          <w:sz w:val="24"/>
          <w:szCs w:val="24"/>
        </w:rPr>
        <w:t>.</w:t>
      </w:r>
    </w:p>
    <w:p w14:paraId="68BA7B51" w14:textId="77777777" w:rsidR="00F8189E" w:rsidRDefault="00F8189E" w:rsidP="009663E6">
      <w:pPr>
        <w:spacing w:after="0" w:line="360" w:lineRule="auto"/>
        <w:ind w:firstLine="709"/>
        <w:jc w:val="both"/>
        <w:rPr>
          <w:rFonts w:ascii="Times New Roman" w:hAnsi="Times New Roman" w:cs="Times New Roman"/>
          <w:sz w:val="24"/>
          <w:szCs w:val="24"/>
        </w:rPr>
      </w:pPr>
      <w:r w:rsidRPr="000250FE">
        <w:rPr>
          <w:rFonts w:ascii="Times New Roman" w:hAnsi="Times New Roman" w:cs="Times New Roman"/>
          <w:sz w:val="24"/>
          <w:szCs w:val="24"/>
        </w:rPr>
        <w:t>L’utilizzo combinato di CAPM e modelli multifattoriali permette quindi di distinguere tra rendimenti derivanti da semplice esposizione al mercato e potenziali componenti informative autonome generate dai segnali degli LLM.</w:t>
      </w:r>
    </w:p>
    <w:p w14:paraId="35DD97AD" w14:textId="77777777" w:rsidR="009663E6" w:rsidRPr="000250FE" w:rsidRDefault="009663E6" w:rsidP="009663E6">
      <w:pPr>
        <w:spacing w:line="360" w:lineRule="auto"/>
        <w:ind w:firstLine="709"/>
        <w:jc w:val="both"/>
        <w:rPr>
          <w:rFonts w:ascii="Times New Roman" w:hAnsi="Times New Roman" w:cs="Times New Roman"/>
          <w:sz w:val="24"/>
          <w:szCs w:val="24"/>
        </w:rPr>
      </w:pPr>
    </w:p>
    <w:p w14:paraId="36CBF63F" w14:textId="77777777" w:rsidR="00F8189E" w:rsidRDefault="00F8189E" w:rsidP="009663E6">
      <w:pPr>
        <w:pStyle w:val="Titolo2"/>
        <w:spacing w:before="40" w:after="0"/>
        <w:rPr>
          <w:rFonts w:ascii="Times New Roman" w:hAnsi="Times New Roman" w:cs="Times New Roman"/>
          <w:b/>
          <w:bCs/>
          <w:i/>
          <w:iCs/>
          <w:color w:val="auto"/>
          <w:sz w:val="26"/>
          <w:szCs w:val="26"/>
        </w:rPr>
      </w:pPr>
      <w:r w:rsidRPr="009663E6">
        <w:rPr>
          <w:rFonts w:ascii="Times New Roman" w:hAnsi="Times New Roman" w:cs="Times New Roman"/>
          <w:b/>
          <w:bCs/>
          <w:i/>
          <w:iCs/>
          <w:color w:val="auto"/>
          <w:sz w:val="26"/>
          <w:szCs w:val="26"/>
        </w:rPr>
        <w:t xml:space="preserve">3.5.4 </w:t>
      </w:r>
      <w:proofErr w:type="spellStart"/>
      <w:r w:rsidRPr="009663E6">
        <w:rPr>
          <w:rFonts w:ascii="Times New Roman" w:hAnsi="Times New Roman" w:cs="Times New Roman"/>
          <w:b/>
          <w:bCs/>
          <w:i/>
          <w:iCs/>
          <w:color w:val="auto"/>
          <w:sz w:val="26"/>
          <w:szCs w:val="26"/>
        </w:rPr>
        <w:t>Magnitude</w:t>
      </w:r>
      <w:proofErr w:type="spellEnd"/>
      <w:r w:rsidRPr="009663E6">
        <w:rPr>
          <w:rFonts w:ascii="Times New Roman" w:hAnsi="Times New Roman" w:cs="Times New Roman"/>
          <w:b/>
          <w:bCs/>
          <w:i/>
          <w:iCs/>
          <w:color w:val="auto"/>
          <w:sz w:val="26"/>
          <w:szCs w:val="26"/>
        </w:rPr>
        <w:t xml:space="preserve"> Forecasting</w:t>
      </w:r>
    </w:p>
    <w:p w14:paraId="4DF0C6E1" w14:textId="77777777" w:rsidR="009663E6" w:rsidRPr="009663E6" w:rsidRDefault="009663E6" w:rsidP="009663E6"/>
    <w:p w14:paraId="49B2AEF2" w14:textId="77777777" w:rsidR="00F8189E" w:rsidRPr="000250FE" w:rsidRDefault="00F8189E" w:rsidP="009663E6">
      <w:pPr>
        <w:spacing w:after="0" w:line="360" w:lineRule="auto"/>
        <w:ind w:firstLine="284"/>
        <w:jc w:val="both"/>
        <w:rPr>
          <w:rFonts w:ascii="Times New Roman" w:hAnsi="Times New Roman" w:cs="Times New Roman"/>
          <w:sz w:val="24"/>
          <w:szCs w:val="24"/>
        </w:rPr>
      </w:pPr>
      <w:r w:rsidRPr="000250FE">
        <w:rPr>
          <w:rFonts w:ascii="Times New Roman" w:hAnsi="Times New Roman" w:cs="Times New Roman"/>
          <w:sz w:val="24"/>
          <w:szCs w:val="24"/>
        </w:rPr>
        <w:t>Oltre all’accuratezza direzionale e alla performance economica dei portafogli, il presente studio analizza anche la capacità dei modelli linguistici di stimare la magnitudine dei movimenti di prezzo. Tale dimensione risulta particolarmente rilevante poiché una previsione corretta dal punto di vista direzionale potrebbe comunque risultare scarsamente informativa in assenza di una ragionevole capacità di stimare l’intensità delle variazioni di mercato.</w:t>
      </w:r>
    </w:p>
    <w:p w14:paraId="74CCF293" w14:textId="77777777" w:rsidR="00783906" w:rsidRPr="000250FE" w:rsidRDefault="00783906" w:rsidP="009663E6">
      <w:pPr>
        <w:spacing w:after="0" w:line="360" w:lineRule="auto"/>
        <w:ind w:firstLine="284"/>
        <w:jc w:val="both"/>
        <w:rPr>
          <w:rFonts w:ascii="Times New Roman" w:hAnsi="Times New Roman" w:cs="Times New Roman"/>
          <w:sz w:val="24"/>
          <w:szCs w:val="24"/>
        </w:rPr>
      </w:pPr>
      <w:r w:rsidRPr="000250FE">
        <w:rPr>
          <w:rFonts w:ascii="Times New Roman" w:hAnsi="Times New Roman" w:cs="Times New Roman"/>
          <w:sz w:val="24"/>
          <w:szCs w:val="24"/>
        </w:rPr>
        <w:t xml:space="preserve">Per valutare questo aspetto, l’analisi utilizza le previsioni quantitative di prezzo generate dagli LLM e costruisce un rendimento previsto implicito ottenuto confrontando il prezzo atteso </w:t>
      </w:r>
      <w:r w:rsidRPr="000250FE">
        <w:rPr>
          <w:rFonts w:ascii="Times New Roman" w:hAnsi="Times New Roman" w:cs="Times New Roman"/>
          <w:sz w:val="24"/>
          <w:szCs w:val="24"/>
        </w:rPr>
        <w:lastRenderedPageBreak/>
        <w:t>dal modello con il prezzo di chiusura della sessione precedente. Parallelamente, viene calcolato il corrispondente rendimento realizzato close-to-close.</w:t>
      </w:r>
    </w:p>
    <w:p w14:paraId="5F46ADD6" w14:textId="61076C27" w:rsidR="00F8189E" w:rsidRPr="000250FE" w:rsidRDefault="00F8189E" w:rsidP="009663E6">
      <w:pPr>
        <w:spacing w:after="0" w:line="360" w:lineRule="auto"/>
        <w:ind w:firstLine="284"/>
        <w:jc w:val="both"/>
        <w:rPr>
          <w:rFonts w:ascii="Times New Roman" w:hAnsi="Times New Roman" w:cs="Times New Roman"/>
          <w:sz w:val="24"/>
          <w:szCs w:val="24"/>
        </w:rPr>
      </w:pPr>
      <w:r w:rsidRPr="000250FE">
        <w:rPr>
          <w:rFonts w:ascii="Times New Roman" w:hAnsi="Times New Roman" w:cs="Times New Roman"/>
          <w:sz w:val="24"/>
          <w:szCs w:val="24"/>
        </w:rPr>
        <w:t>La relazione tra rendimenti previsti e rendimenti effettivamente osservati viene successivamente analizzata mediante regressioni lineari cross-sectional. La specificazione empirica adottata assume la seguente forma:</w:t>
      </w:r>
    </w:p>
    <w:p w14:paraId="3587D810" w14:textId="45249B3A" w:rsidR="00F8189E" w:rsidRPr="000250FE" w:rsidRDefault="00000000" w:rsidP="009663E6">
      <w:pPr>
        <w:spacing w:after="0" w:line="360" w:lineRule="auto"/>
        <w:ind w:firstLine="284"/>
        <w:jc w:val="both"/>
        <w:rPr>
          <w:rFonts w:ascii="Times New Roman" w:hAnsi="Times New Roman" w:cs="Times New Roman"/>
          <w:sz w:val="24"/>
          <w:szCs w:val="24"/>
        </w:rPr>
      </w:pPr>
      <m:oMathPara>
        <m:oMath>
          <m:sSubSup>
            <m:sSubSupPr>
              <m:ctrlPr>
                <w:rPr>
                  <w:rFonts w:ascii="Cambria Math" w:hAnsi="Cambria Math" w:cs="Times New Roman"/>
                  <w:i/>
                  <w:sz w:val="24"/>
                  <w:szCs w:val="24"/>
                </w:rPr>
              </m:ctrlPr>
            </m:sSubSupPr>
            <m:e>
              <m:r>
                <w:rPr>
                  <w:rFonts w:ascii="Cambria Math" w:hAnsi="Cambria Math" w:cs="Times New Roman"/>
                  <w:sz w:val="24"/>
                  <w:szCs w:val="24"/>
                </w:rPr>
                <m:t>R</m:t>
              </m:r>
            </m:e>
            <m:sub>
              <m:r>
                <w:rPr>
                  <w:rFonts w:ascii="Cambria Math" w:hAnsi="Cambria Math" w:cs="Times New Roman"/>
                  <w:sz w:val="24"/>
                  <w:szCs w:val="24"/>
                </w:rPr>
                <m:t>i,t</m:t>
              </m:r>
            </m:sub>
            <m:sup>
              <m:r>
                <w:rPr>
                  <w:rFonts w:ascii="Cambria Math" w:hAnsi="Cambria Math" w:cs="Times New Roman"/>
                  <w:sz w:val="24"/>
                  <w:szCs w:val="24"/>
                </w:rPr>
                <m:t>real</m:t>
              </m:r>
            </m:sup>
          </m:sSubSup>
          <m:r>
            <w:rPr>
              <w:rFonts w:ascii="Cambria Math" w:hAnsi="Cambria Math" w:cs="Times New Roman"/>
              <w:sz w:val="24"/>
              <w:szCs w:val="24"/>
            </w:rPr>
            <m:t>=α+β</m:t>
          </m:r>
          <m:sSubSup>
            <m:sSubSupPr>
              <m:ctrlPr>
                <w:rPr>
                  <w:rFonts w:ascii="Cambria Math" w:hAnsi="Cambria Math" w:cs="Times New Roman"/>
                  <w:i/>
                  <w:sz w:val="24"/>
                  <w:szCs w:val="24"/>
                </w:rPr>
              </m:ctrlPr>
            </m:sSubSupPr>
            <m:e>
              <m:r>
                <w:rPr>
                  <w:rFonts w:ascii="Cambria Math" w:hAnsi="Cambria Math" w:cs="Times New Roman"/>
                  <w:sz w:val="24"/>
                  <w:szCs w:val="24"/>
                </w:rPr>
                <m:t>R</m:t>
              </m:r>
            </m:e>
            <m:sub>
              <m:r>
                <w:rPr>
                  <w:rFonts w:ascii="Cambria Math" w:hAnsi="Cambria Math" w:cs="Times New Roman"/>
                  <w:sz w:val="24"/>
                  <w:szCs w:val="24"/>
                </w:rPr>
                <m:t>i,t</m:t>
              </m:r>
            </m:sub>
            <m:sup>
              <m:r>
                <w:rPr>
                  <w:rFonts w:ascii="Cambria Math" w:hAnsi="Cambria Math" w:cs="Times New Roman"/>
                  <w:sz w:val="24"/>
                  <w:szCs w:val="24"/>
                </w:rPr>
                <m:t>pred</m:t>
              </m:r>
            </m:sup>
          </m:sSubSup>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ϵ</m:t>
              </m:r>
            </m:e>
            <m:sub>
              <m:r>
                <w:rPr>
                  <w:rFonts w:ascii="Cambria Math" w:eastAsiaTheme="minorEastAsia" w:hAnsi="Cambria Math" w:cs="Times New Roman"/>
                  <w:sz w:val="24"/>
                  <w:szCs w:val="24"/>
                </w:rPr>
                <m:t>i,t</m:t>
              </m:r>
            </m:sub>
          </m:sSub>
        </m:oMath>
      </m:oMathPara>
    </w:p>
    <w:p w14:paraId="3778B82D" w14:textId="43212494" w:rsidR="00F8189E" w:rsidRPr="000250FE" w:rsidRDefault="00F8189E" w:rsidP="009663E6">
      <w:pPr>
        <w:spacing w:after="0" w:line="360" w:lineRule="auto"/>
        <w:ind w:firstLine="284"/>
        <w:jc w:val="both"/>
        <w:rPr>
          <w:rFonts w:ascii="Times New Roman" w:hAnsi="Times New Roman" w:cs="Times New Roman"/>
          <w:sz w:val="24"/>
          <w:szCs w:val="24"/>
        </w:rPr>
      </w:pPr>
      <w:r w:rsidRPr="000250FE">
        <w:rPr>
          <w:rFonts w:ascii="Times New Roman" w:hAnsi="Times New Roman" w:cs="Times New Roman"/>
          <w:sz w:val="24"/>
          <w:szCs w:val="24"/>
        </w:rPr>
        <w:t xml:space="preserve">dove </w:t>
      </w:r>
      <m:oMath>
        <m:sSubSup>
          <m:sSubSupPr>
            <m:ctrlPr>
              <w:rPr>
                <w:rFonts w:ascii="Cambria Math" w:hAnsi="Cambria Math" w:cs="Times New Roman"/>
                <w:i/>
                <w:sz w:val="24"/>
                <w:szCs w:val="24"/>
              </w:rPr>
            </m:ctrlPr>
          </m:sSubSupPr>
          <m:e>
            <m:r>
              <w:rPr>
                <w:rFonts w:ascii="Cambria Math" w:hAnsi="Cambria Math" w:cs="Times New Roman"/>
                <w:sz w:val="24"/>
                <w:szCs w:val="24"/>
              </w:rPr>
              <m:t>R</m:t>
            </m:r>
          </m:e>
          <m:sub>
            <m:r>
              <w:rPr>
                <w:rFonts w:ascii="Cambria Math" w:hAnsi="Cambria Math" w:cs="Times New Roman"/>
                <w:sz w:val="24"/>
                <w:szCs w:val="24"/>
              </w:rPr>
              <m:t>i,t</m:t>
            </m:r>
          </m:sub>
          <m:sup>
            <m:r>
              <w:rPr>
                <w:rFonts w:ascii="Cambria Math" w:hAnsi="Cambria Math" w:cs="Times New Roman"/>
                <w:sz w:val="24"/>
                <w:szCs w:val="24"/>
              </w:rPr>
              <m:t>real</m:t>
            </m:r>
          </m:sup>
        </m:sSubSup>
      </m:oMath>
      <w:r w:rsidRPr="000250FE">
        <w:rPr>
          <w:rFonts w:ascii="Times New Roman" w:hAnsi="Times New Roman" w:cs="Times New Roman"/>
          <w:i/>
          <w:iCs/>
          <w:sz w:val="24"/>
          <w:szCs w:val="24"/>
        </w:rPr>
        <w:t xml:space="preserve"> </w:t>
      </w:r>
      <w:r w:rsidRPr="000250FE">
        <w:rPr>
          <w:rFonts w:ascii="Times New Roman" w:hAnsi="Times New Roman" w:cs="Times New Roman"/>
          <w:sz w:val="24"/>
          <w:szCs w:val="24"/>
        </w:rPr>
        <w:t xml:space="preserve">rappresenta il rendimento realizzato del titolo </w:t>
      </w:r>
      <m:oMath>
        <m:r>
          <w:rPr>
            <w:rFonts w:ascii="Cambria Math" w:hAnsi="Cambria Math" w:cs="Times New Roman"/>
            <w:sz w:val="24"/>
            <w:szCs w:val="24"/>
          </w:rPr>
          <m:t>i</m:t>
        </m:r>
      </m:oMath>
      <w:r w:rsidR="001059BC" w:rsidRPr="000250FE">
        <w:rPr>
          <w:rFonts w:ascii="Times New Roman" w:hAnsi="Times New Roman" w:cs="Times New Roman"/>
          <w:i/>
          <w:iCs/>
          <w:sz w:val="24"/>
          <w:szCs w:val="24"/>
        </w:rPr>
        <w:t xml:space="preserve"> </w:t>
      </w:r>
      <w:r w:rsidRPr="000250FE">
        <w:rPr>
          <w:rFonts w:ascii="Times New Roman" w:hAnsi="Times New Roman" w:cs="Times New Roman"/>
          <w:sz w:val="24"/>
          <w:szCs w:val="24"/>
        </w:rPr>
        <w:t>nella giornata</w:t>
      </w:r>
      <w:r w:rsidR="001059BC" w:rsidRPr="000250FE">
        <w:rPr>
          <w:rFonts w:ascii="Times New Roman" w:hAnsi="Times New Roman" w:cs="Times New Roman"/>
          <w:i/>
          <w:iCs/>
          <w:sz w:val="24"/>
          <w:szCs w:val="24"/>
        </w:rPr>
        <w:t xml:space="preserve"> </w:t>
      </w:r>
      <m:oMath>
        <m:r>
          <w:rPr>
            <w:rFonts w:ascii="Cambria Math" w:hAnsi="Cambria Math" w:cs="Times New Roman"/>
            <w:sz w:val="24"/>
            <w:szCs w:val="24"/>
          </w:rPr>
          <m:t>t</m:t>
        </m:r>
      </m:oMath>
      <w:r w:rsidRPr="000250FE">
        <w:rPr>
          <w:rFonts w:ascii="Times New Roman" w:hAnsi="Times New Roman" w:cs="Times New Roman"/>
          <w:sz w:val="24"/>
          <w:szCs w:val="24"/>
        </w:rPr>
        <w:t>, mentre</w:t>
      </w:r>
      <w:r w:rsidRPr="000250FE">
        <w:rPr>
          <w:rFonts w:ascii="Times New Roman" w:hAnsi="Times New Roman" w:cs="Times New Roman"/>
          <w:i/>
          <w:iCs/>
          <w:sz w:val="24"/>
          <w:szCs w:val="24"/>
        </w:rPr>
        <w:t xml:space="preserve"> </w:t>
      </w:r>
      <m:oMath>
        <m:sSubSup>
          <m:sSubSupPr>
            <m:ctrlPr>
              <w:rPr>
                <w:rFonts w:ascii="Cambria Math" w:hAnsi="Cambria Math" w:cs="Times New Roman"/>
                <w:i/>
                <w:sz w:val="24"/>
                <w:szCs w:val="24"/>
              </w:rPr>
            </m:ctrlPr>
          </m:sSubSupPr>
          <m:e>
            <m:r>
              <w:rPr>
                <w:rFonts w:ascii="Cambria Math" w:hAnsi="Cambria Math" w:cs="Times New Roman"/>
                <w:sz w:val="24"/>
                <w:szCs w:val="24"/>
              </w:rPr>
              <m:t>R</m:t>
            </m:r>
          </m:e>
          <m:sub>
            <m:r>
              <w:rPr>
                <w:rFonts w:ascii="Cambria Math" w:hAnsi="Cambria Math" w:cs="Times New Roman"/>
                <w:sz w:val="24"/>
                <w:szCs w:val="24"/>
              </w:rPr>
              <m:t>i,t</m:t>
            </m:r>
          </m:sub>
          <m:sup>
            <m:r>
              <w:rPr>
                <w:rFonts w:ascii="Cambria Math" w:hAnsi="Cambria Math" w:cs="Times New Roman"/>
                <w:sz w:val="24"/>
                <w:szCs w:val="24"/>
              </w:rPr>
              <m:t>pred</m:t>
            </m:r>
          </m:sup>
        </m:sSubSup>
      </m:oMath>
      <w:r w:rsidRPr="000250FE">
        <w:rPr>
          <w:rFonts w:ascii="Times New Roman" w:hAnsi="Times New Roman" w:cs="Times New Roman"/>
          <w:sz w:val="24"/>
          <w:szCs w:val="24"/>
        </w:rPr>
        <w:t>indica il rendimento implicito derivante dalla previsione di prezzo generata dal modello linguistico.</w:t>
      </w:r>
    </w:p>
    <w:p w14:paraId="2D3E7270" w14:textId="4F8B2DEC" w:rsidR="00F8189E" w:rsidRPr="000250FE" w:rsidRDefault="00F8189E" w:rsidP="009663E6">
      <w:pPr>
        <w:spacing w:after="0" w:line="360" w:lineRule="auto"/>
        <w:ind w:firstLine="284"/>
        <w:jc w:val="both"/>
        <w:rPr>
          <w:rFonts w:ascii="Times New Roman" w:hAnsi="Times New Roman" w:cs="Times New Roman"/>
          <w:sz w:val="24"/>
          <w:szCs w:val="24"/>
        </w:rPr>
      </w:pPr>
      <w:r w:rsidRPr="000250FE">
        <w:rPr>
          <w:rFonts w:ascii="Times New Roman" w:hAnsi="Times New Roman" w:cs="Times New Roman"/>
          <w:sz w:val="24"/>
          <w:szCs w:val="24"/>
        </w:rPr>
        <w:t xml:space="preserve">L’analisi si concentra principalmente sulla significatività statistica del coefficiente </w:t>
      </w:r>
      <m:oMath>
        <m:r>
          <w:rPr>
            <w:rFonts w:ascii="Cambria Math" w:hAnsi="Cambria Math" w:cs="Times New Roman"/>
            <w:sz w:val="24"/>
            <w:szCs w:val="24"/>
          </w:rPr>
          <m:t>β</m:t>
        </m:r>
      </m:oMath>
      <w:r w:rsidRPr="000250FE">
        <w:rPr>
          <w:rFonts w:ascii="Times New Roman" w:hAnsi="Times New Roman" w:cs="Times New Roman"/>
          <w:sz w:val="24"/>
          <w:szCs w:val="24"/>
        </w:rPr>
        <w:t xml:space="preserve"> e sul coefficiente di determinazione della regressione </w:t>
      </w:r>
      <m:oMath>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R</m:t>
            </m:r>
          </m:e>
          <m:sup>
            <m:r>
              <w:rPr>
                <w:rFonts w:ascii="Cambria Math" w:hAnsi="Cambria Math" w:cs="Times New Roman"/>
                <w:sz w:val="24"/>
                <w:szCs w:val="24"/>
              </w:rPr>
              <m:t>2</m:t>
            </m:r>
          </m:sup>
        </m:sSup>
        <m:r>
          <w:rPr>
            <w:rFonts w:ascii="Cambria Math" w:hAnsi="Cambria Math" w:cs="Times New Roman"/>
            <w:sz w:val="24"/>
            <w:szCs w:val="24"/>
          </w:rPr>
          <m:t xml:space="preserve"> )</m:t>
        </m:r>
      </m:oMath>
      <w:r w:rsidR="001059BC" w:rsidRPr="000250FE">
        <w:rPr>
          <w:rFonts w:ascii="Times New Roman" w:hAnsi="Times New Roman" w:cs="Times New Roman"/>
          <w:sz w:val="24"/>
          <w:szCs w:val="24"/>
        </w:rPr>
        <w:t xml:space="preserve"> </w:t>
      </w:r>
      <w:r w:rsidRPr="000250FE">
        <w:rPr>
          <w:rFonts w:ascii="Times New Roman" w:hAnsi="Times New Roman" w:cs="Times New Roman"/>
          <w:sz w:val="24"/>
          <w:szCs w:val="24"/>
        </w:rPr>
        <w:t xml:space="preserve">. In presenza di capacità previsiva quantitativa, ci si attende infatti una relazione positiva e statisticamente significativa tra rendimenti previsti e rendimenti osservati. Viceversa, coefficienti prossimi allo zero e valori ridotti di </w:t>
      </w:r>
      <m:oMath>
        <m:sSup>
          <m:sSupPr>
            <m:ctrlPr>
              <w:rPr>
                <w:rFonts w:ascii="Cambria Math" w:hAnsi="Cambria Math" w:cs="Times New Roman"/>
                <w:i/>
                <w:sz w:val="24"/>
                <w:szCs w:val="24"/>
              </w:rPr>
            </m:ctrlPr>
          </m:sSupPr>
          <m:e>
            <m:r>
              <w:rPr>
                <w:rFonts w:ascii="Cambria Math" w:hAnsi="Cambria Math" w:cs="Times New Roman"/>
                <w:sz w:val="24"/>
                <w:szCs w:val="24"/>
              </w:rPr>
              <m:t>R</m:t>
            </m:r>
          </m:e>
          <m:sup>
            <m:r>
              <w:rPr>
                <w:rFonts w:ascii="Cambria Math" w:hAnsi="Cambria Math" w:cs="Times New Roman"/>
                <w:sz w:val="24"/>
                <w:szCs w:val="24"/>
              </w:rPr>
              <m:t>2</m:t>
            </m:r>
          </m:sup>
        </m:sSup>
        <m:r>
          <w:rPr>
            <w:rFonts w:ascii="Cambria Math" w:hAnsi="Cambria Math" w:cs="Times New Roman"/>
            <w:sz w:val="24"/>
            <w:szCs w:val="24"/>
          </w:rPr>
          <m:t xml:space="preserve"> </m:t>
        </m:r>
      </m:oMath>
      <w:r w:rsidRPr="000250FE">
        <w:rPr>
          <w:rFonts w:ascii="Times New Roman" w:hAnsi="Times New Roman" w:cs="Times New Roman"/>
          <w:sz w:val="24"/>
          <w:szCs w:val="24"/>
        </w:rPr>
        <w:t>suggeriscono assenza di contenuto informativo nelle stime numeriche generate dagli LLM.</w:t>
      </w:r>
    </w:p>
    <w:p w14:paraId="4FB8EF3B" w14:textId="77777777" w:rsidR="00F8189E" w:rsidRPr="000250FE" w:rsidRDefault="00F8189E" w:rsidP="009663E6">
      <w:pPr>
        <w:spacing w:after="0" w:line="360" w:lineRule="auto"/>
        <w:ind w:firstLine="284"/>
        <w:jc w:val="both"/>
        <w:rPr>
          <w:rFonts w:ascii="Times New Roman" w:hAnsi="Times New Roman" w:cs="Times New Roman"/>
          <w:sz w:val="24"/>
          <w:szCs w:val="24"/>
        </w:rPr>
      </w:pPr>
      <w:r w:rsidRPr="000250FE">
        <w:rPr>
          <w:rFonts w:ascii="Times New Roman" w:hAnsi="Times New Roman" w:cs="Times New Roman"/>
          <w:sz w:val="24"/>
          <w:szCs w:val="24"/>
        </w:rPr>
        <w:t>Le regressioni vengono implementate sia sull’intero dataset aggregato sia separatamente per ciascuna configurazione dei modelli analizzati. Tale procedura consente di verificare se eventuali differenze nelle performance previsive emergano non soltanto in termini direzionali, ma anche nella capacità di calibrare correttamente l’ampiezza dei movimenti di mercato.</w:t>
      </w:r>
    </w:p>
    <w:p w14:paraId="04BE7B49" w14:textId="77777777" w:rsidR="00F8189E" w:rsidRDefault="00F8189E" w:rsidP="009663E6">
      <w:pPr>
        <w:spacing w:after="0" w:line="360" w:lineRule="auto"/>
        <w:ind w:firstLine="284"/>
        <w:jc w:val="both"/>
        <w:rPr>
          <w:rFonts w:ascii="Times New Roman" w:hAnsi="Times New Roman" w:cs="Times New Roman"/>
          <w:sz w:val="24"/>
          <w:szCs w:val="24"/>
        </w:rPr>
      </w:pPr>
      <w:r w:rsidRPr="000250FE">
        <w:rPr>
          <w:rFonts w:ascii="Times New Roman" w:hAnsi="Times New Roman" w:cs="Times New Roman"/>
          <w:sz w:val="24"/>
          <w:szCs w:val="24"/>
        </w:rPr>
        <w:t xml:space="preserve">L’analisi della magnitudine rappresenta quindi un complemento fondamentale rispetto alle tradizionali misure di directional </w:t>
      </w:r>
      <w:proofErr w:type="spellStart"/>
      <w:r w:rsidRPr="000250FE">
        <w:rPr>
          <w:rFonts w:ascii="Times New Roman" w:hAnsi="Times New Roman" w:cs="Times New Roman"/>
          <w:sz w:val="24"/>
          <w:szCs w:val="24"/>
        </w:rPr>
        <w:t>accuracy</w:t>
      </w:r>
      <w:proofErr w:type="spellEnd"/>
      <w:r w:rsidRPr="000250FE">
        <w:rPr>
          <w:rFonts w:ascii="Times New Roman" w:hAnsi="Times New Roman" w:cs="Times New Roman"/>
          <w:sz w:val="24"/>
          <w:szCs w:val="24"/>
        </w:rPr>
        <w:t>. Mentre l’hit ratio consente di valutare la capacità dei modelli di identificare correttamente il segno delle variazioni di prezzo, le regressioni di magnitudine permettono di verificare se gli output numerici prodotti dagli LLM contengano effettiva informazione quantitativa utilizzabile in un contesto di forecasting finanziario.</w:t>
      </w:r>
    </w:p>
    <w:p w14:paraId="0F6BDFA7" w14:textId="77777777" w:rsidR="009663E6" w:rsidRPr="000250FE" w:rsidRDefault="009663E6" w:rsidP="009663E6">
      <w:pPr>
        <w:spacing w:line="360" w:lineRule="auto"/>
        <w:ind w:firstLine="284"/>
        <w:jc w:val="both"/>
        <w:rPr>
          <w:rFonts w:ascii="Times New Roman" w:hAnsi="Times New Roman" w:cs="Times New Roman"/>
          <w:sz w:val="24"/>
          <w:szCs w:val="24"/>
        </w:rPr>
      </w:pPr>
    </w:p>
    <w:p w14:paraId="1A8C52A0" w14:textId="77777777" w:rsidR="00F8189E" w:rsidRDefault="00F8189E" w:rsidP="009663E6">
      <w:pPr>
        <w:pStyle w:val="Titolo2"/>
        <w:spacing w:before="40" w:after="0"/>
        <w:rPr>
          <w:rFonts w:ascii="Times New Roman" w:hAnsi="Times New Roman" w:cs="Times New Roman"/>
          <w:b/>
          <w:bCs/>
          <w:i/>
          <w:iCs/>
          <w:color w:val="auto"/>
          <w:sz w:val="26"/>
          <w:szCs w:val="26"/>
        </w:rPr>
      </w:pPr>
      <w:r w:rsidRPr="009663E6">
        <w:rPr>
          <w:rFonts w:ascii="Times New Roman" w:hAnsi="Times New Roman" w:cs="Times New Roman"/>
          <w:b/>
          <w:bCs/>
          <w:i/>
          <w:iCs/>
          <w:color w:val="auto"/>
          <w:sz w:val="26"/>
          <w:szCs w:val="26"/>
        </w:rPr>
        <w:t xml:space="preserve">3.6 </w:t>
      </w:r>
      <w:proofErr w:type="spellStart"/>
      <w:r w:rsidRPr="009663E6">
        <w:rPr>
          <w:rFonts w:ascii="Times New Roman" w:hAnsi="Times New Roman" w:cs="Times New Roman"/>
          <w:b/>
          <w:bCs/>
          <w:i/>
          <w:iCs/>
          <w:color w:val="auto"/>
          <w:sz w:val="26"/>
          <w:szCs w:val="26"/>
        </w:rPr>
        <w:t>Robustness</w:t>
      </w:r>
      <w:proofErr w:type="spellEnd"/>
      <w:r w:rsidRPr="009663E6">
        <w:rPr>
          <w:rFonts w:ascii="Times New Roman" w:hAnsi="Times New Roman" w:cs="Times New Roman"/>
          <w:b/>
          <w:bCs/>
          <w:i/>
          <w:iCs/>
          <w:color w:val="auto"/>
          <w:sz w:val="26"/>
          <w:szCs w:val="26"/>
        </w:rPr>
        <w:t xml:space="preserve"> </w:t>
      </w:r>
      <w:proofErr w:type="spellStart"/>
      <w:r w:rsidRPr="009663E6">
        <w:rPr>
          <w:rFonts w:ascii="Times New Roman" w:hAnsi="Times New Roman" w:cs="Times New Roman"/>
          <w:b/>
          <w:bCs/>
          <w:i/>
          <w:iCs/>
          <w:color w:val="auto"/>
          <w:sz w:val="26"/>
          <w:szCs w:val="26"/>
        </w:rPr>
        <w:t>Procedures</w:t>
      </w:r>
      <w:proofErr w:type="spellEnd"/>
    </w:p>
    <w:p w14:paraId="7A7CFB80" w14:textId="77777777" w:rsidR="009663E6" w:rsidRPr="009663E6" w:rsidRDefault="009663E6" w:rsidP="009663E6"/>
    <w:p w14:paraId="144A72F5" w14:textId="77777777" w:rsidR="00F8189E" w:rsidRPr="000250FE" w:rsidRDefault="00F8189E" w:rsidP="009663E6">
      <w:pPr>
        <w:spacing w:after="0" w:line="360" w:lineRule="auto"/>
        <w:ind w:firstLine="709"/>
        <w:jc w:val="both"/>
        <w:rPr>
          <w:rFonts w:ascii="Times New Roman" w:hAnsi="Times New Roman" w:cs="Times New Roman"/>
          <w:sz w:val="24"/>
          <w:szCs w:val="24"/>
        </w:rPr>
      </w:pPr>
      <w:r w:rsidRPr="000250FE">
        <w:rPr>
          <w:rFonts w:ascii="Times New Roman" w:hAnsi="Times New Roman" w:cs="Times New Roman"/>
          <w:sz w:val="24"/>
          <w:szCs w:val="24"/>
        </w:rPr>
        <w:t>Al fine di verificare la stabilità dei risultati ottenuti, il presente studio implementa diverse procedure di robustezza volte a controllare la sensibilità delle evidenze empiriche rispetto a specifiche scelte metodologiche, composizione dell’universo investibile e presenza di osservazioni estreme.</w:t>
      </w:r>
    </w:p>
    <w:p w14:paraId="0728E8A4" w14:textId="77777777" w:rsidR="00F8189E" w:rsidRPr="000250FE" w:rsidRDefault="00F8189E" w:rsidP="009663E6">
      <w:pPr>
        <w:spacing w:after="0" w:line="360" w:lineRule="auto"/>
        <w:ind w:firstLine="709"/>
        <w:jc w:val="both"/>
        <w:rPr>
          <w:rFonts w:ascii="Times New Roman" w:hAnsi="Times New Roman" w:cs="Times New Roman"/>
          <w:sz w:val="24"/>
          <w:szCs w:val="24"/>
        </w:rPr>
      </w:pPr>
      <w:r w:rsidRPr="000250FE">
        <w:rPr>
          <w:rFonts w:ascii="Times New Roman" w:hAnsi="Times New Roman" w:cs="Times New Roman"/>
          <w:sz w:val="24"/>
          <w:szCs w:val="24"/>
        </w:rPr>
        <w:t xml:space="preserve">Una prima analisi di robustezza riguarda la costruzione di strategie applicate a un universo fisso di titoli ad alta capitalizzazione. In particolare, viene selezionato un sottoinsieme </w:t>
      </w:r>
      <w:r w:rsidRPr="000250FE">
        <w:rPr>
          <w:rFonts w:ascii="Times New Roman" w:hAnsi="Times New Roman" w:cs="Times New Roman"/>
          <w:sz w:val="24"/>
          <w:szCs w:val="24"/>
        </w:rPr>
        <w:lastRenderedPageBreak/>
        <w:t>stabile di società large-cap appartenenti al settore tecnologico statunitense, caratterizzate da elevata liquidità, ampia copertura informativa e forte attenzione mediatica. Tale procedura consente di verificare se eventuali risultati osservati nel campione principale dipendano dalla capacità dei modelli di selezionare dinamicamente l’universo investibile oppure riflettano caratteristiche più profonde dei segnali previsivi generati dagli LLM.</w:t>
      </w:r>
    </w:p>
    <w:p w14:paraId="47718191" w14:textId="77777777" w:rsidR="00F8189E" w:rsidRPr="000250FE" w:rsidRDefault="00F8189E" w:rsidP="009663E6">
      <w:pPr>
        <w:spacing w:after="0" w:line="360" w:lineRule="auto"/>
        <w:ind w:firstLine="709"/>
        <w:jc w:val="both"/>
        <w:rPr>
          <w:rFonts w:ascii="Times New Roman" w:hAnsi="Times New Roman" w:cs="Times New Roman"/>
          <w:sz w:val="24"/>
          <w:szCs w:val="24"/>
        </w:rPr>
      </w:pPr>
      <w:r w:rsidRPr="000250FE">
        <w:rPr>
          <w:rFonts w:ascii="Times New Roman" w:hAnsi="Times New Roman" w:cs="Times New Roman"/>
          <w:sz w:val="24"/>
          <w:szCs w:val="24"/>
        </w:rPr>
        <w:t>In questo framework alternativo, i modelli non sono chiamati a identificare quotidianamente nuovi titoli da acquistare o vendere, ma esclusivamente a prevedere la direzione attesa dei rendimenti dei titoli appartenenti al paniere fisso selezionato. I segnali vengono successivamente trasformati in posizioni long o short mantenute esclusivamente durante la sessione intraday.</w:t>
      </w:r>
    </w:p>
    <w:p w14:paraId="68847509" w14:textId="77777777" w:rsidR="00F8189E" w:rsidRPr="000250FE" w:rsidRDefault="00F8189E" w:rsidP="009663E6">
      <w:pPr>
        <w:spacing w:after="0" w:line="360" w:lineRule="auto"/>
        <w:ind w:firstLine="709"/>
        <w:jc w:val="both"/>
        <w:rPr>
          <w:rFonts w:ascii="Times New Roman" w:hAnsi="Times New Roman" w:cs="Times New Roman"/>
          <w:sz w:val="24"/>
          <w:szCs w:val="24"/>
        </w:rPr>
      </w:pPr>
      <w:r w:rsidRPr="000250FE">
        <w:rPr>
          <w:rFonts w:ascii="Times New Roman" w:hAnsi="Times New Roman" w:cs="Times New Roman"/>
          <w:sz w:val="24"/>
          <w:szCs w:val="24"/>
        </w:rPr>
        <w:t xml:space="preserve">Una seconda procedura di robustezza riguarda l’analisi della distribuzione dei rendimenti di portafoglio e la possibile influenza di osservazioni estreme sulle performance aggregate. In particolare, vengono esaminate distribuzioni empiriche, </w:t>
      </w:r>
      <w:proofErr w:type="spellStart"/>
      <w:r w:rsidRPr="000250FE">
        <w:rPr>
          <w:rFonts w:ascii="Times New Roman" w:hAnsi="Times New Roman" w:cs="Times New Roman"/>
          <w:sz w:val="24"/>
          <w:szCs w:val="24"/>
        </w:rPr>
        <w:t>boxplot</w:t>
      </w:r>
      <w:proofErr w:type="spellEnd"/>
      <w:r w:rsidRPr="000250FE">
        <w:rPr>
          <w:rFonts w:ascii="Times New Roman" w:hAnsi="Times New Roman" w:cs="Times New Roman"/>
          <w:sz w:val="24"/>
          <w:szCs w:val="24"/>
        </w:rPr>
        <w:t xml:space="preserve"> e misure di dispersione al fine di identificare eventuali </w:t>
      </w:r>
      <w:proofErr w:type="spellStart"/>
      <w:r w:rsidRPr="000250FE">
        <w:rPr>
          <w:rFonts w:ascii="Times New Roman" w:hAnsi="Times New Roman" w:cs="Times New Roman"/>
          <w:sz w:val="24"/>
          <w:szCs w:val="24"/>
        </w:rPr>
        <w:t>outliers</w:t>
      </w:r>
      <w:proofErr w:type="spellEnd"/>
      <w:r w:rsidRPr="000250FE">
        <w:rPr>
          <w:rFonts w:ascii="Times New Roman" w:hAnsi="Times New Roman" w:cs="Times New Roman"/>
          <w:sz w:val="24"/>
          <w:szCs w:val="24"/>
        </w:rPr>
        <w:t xml:space="preserve"> che possano alterare artificialmente le statistiche di performance.</w:t>
      </w:r>
    </w:p>
    <w:p w14:paraId="3C8AC08C" w14:textId="7FE997F4" w:rsidR="00F8189E" w:rsidRPr="000250FE" w:rsidRDefault="00F8189E" w:rsidP="009663E6">
      <w:pPr>
        <w:spacing w:after="0" w:line="360" w:lineRule="auto"/>
        <w:ind w:firstLine="709"/>
        <w:jc w:val="both"/>
        <w:rPr>
          <w:rFonts w:ascii="Times New Roman" w:hAnsi="Times New Roman" w:cs="Times New Roman"/>
          <w:sz w:val="24"/>
          <w:szCs w:val="24"/>
        </w:rPr>
      </w:pPr>
      <w:r w:rsidRPr="000250FE">
        <w:rPr>
          <w:rFonts w:ascii="Times New Roman" w:hAnsi="Times New Roman" w:cs="Times New Roman"/>
          <w:sz w:val="24"/>
          <w:szCs w:val="24"/>
        </w:rPr>
        <w:t>L’identificazione delle osservazioni anomale viene effettuata mediante criterio interquartile (IQR), comunemente utilizzato nella letteratura statistica per individuare valori estremi all’interno delle distribuzioni empiriche</w:t>
      </w:r>
      <w:r w:rsidR="002254EA" w:rsidRPr="000250FE">
        <w:rPr>
          <w:rStyle w:val="Rimandonotaapidipagina"/>
          <w:rFonts w:ascii="Times New Roman" w:hAnsi="Times New Roman" w:cs="Times New Roman"/>
          <w:sz w:val="24"/>
          <w:szCs w:val="24"/>
        </w:rPr>
        <w:footnoteReference w:id="5"/>
      </w:r>
      <w:r w:rsidRPr="000250FE">
        <w:rPr>
          <w:rFonts w:ascii="Times New Roman" w:hAnsi="Times New Roman" w:cs="Times New Roman"/>
          <w:sz w:val="24"/>
          <w:szCs w:val="24"/>
        </w:rPr>
        <w:t xml:space="preserve">. Successivamente, vengono ricalcolate le principali misure di performance escludendo le osservazioni classificate come </w:t>
      </w:r>
      <w:proofErr w:type="spellStart"/>
      <w:r w:rsidRPr="000250FE">
        <w:rPr>
          <w:rFonts w:ascii="Times New Roman" w:hAnsi="Times New Roman" w:cs="Times New Roman"/>
          <w:sz w:val="24"/>
          <w:szCs w:val="24"/>
        </w:rPr>
        <w:t>outliers</w:t>
      </w:r>
      <w:proofErr w:type="spellEnd"/>
      <w:r w:rsidRPr="000250FE">
        <w:rPr>
          <w:rFonts w:ascii="Times New Roman" w:hAnsi="Times New Roman" w:cs="Times New Roman"/>
          <w:sz w:val="24"/>
          <w:szCs w:val="24"/>
        </w:rPr>
        <w:t>, così da verificare la robustezza dei risultati rispetto alla presenza di shock eccezionali.</w:t>
      </w:r>
    </w:p>
    <w:p w14:paraId="32099260" w14:textId="77777777" w:rsidR="00F8189E" w:rsidRPr="000250FE" w:rsidRDefault="00F8189E" w:rsidP="009663E6">
      <w:pPr>
        <w:spacing w:after="0" w:line="360" w:lineRule="auto"/>
        <w:ind w:firstLine="709"/>
        <w:jc w:val="both"/>
        <w:rPr>
          <w:rFonts w:ascii="Times New Roman" w:hAnsi="Times New Roman" w:cs="Times New Roman"/>
          <w:sz w:val="24"/>
          <w:szCs w:val="24"/>
        </w:rPr>
      </w:pPr>
      <w:r w:rsidRPr="000250FE">
        <w:rPr>
          <w:rFonts w:ascii="Times New Roman" w:hAnsi="Times New Roman" w:cs="Times New Roman"/>
          <w:sz w:val="24"/>
          <w:szCs w:val="24"/>
        </w:rPr>
        <w:t xml:space="preserve">Parallelamente, l’analisi considera anche la forma della distribuzione dei rendimenti attraverso statistiche di </w:t>
      </w:r>
      <w:proofErr w:type="spellStart"/>
      <w:r w:rsidRPr="000250FE">
        <w:rPr>
          <w:rFonts w:ascii="Times New Roman" w:hAnsi="Times New Roman" w:cs="Times New Roman"/>
          <w:sz w:val="24"/>
          <w:szCs w:val="24"/>
        </w:rPr>
        <w:t>skewness</w:t>
      </w:r>
      <w:proofErr w:type="spellEnd"/>
      <w:r w:rsidRPr="000250FE">
        <w:rPr>
          <w:rFonts w:ascii="Times New Roman" w:hAnsi="Times New Roman" w:cs="Times New Roman"/>
          <w:sz w:val="24"/>
          <w:szCs w:val="24"/>
        </w:rPr>
        <w:t xml:space="preserve"> e </w:t>
      </w:r>
      <w:proofErr w:type="spellStart"/>
      <w:r w:rsidRPr="000250FE">
        <w:rPr>
          <w:rFonts w:ascii="Times New Roman" w:hAnsi="Times New Roman" w:cs="Times New Roman"/>
          <w:sz w:val="24"/>
          <w:szCs w:val="24"/>
        </w:rPr>
        <w:t>kurtosis</w:t>
      </w:r>
      <w:proofErr w:type="spellEnd"/>
      <w:r w:rsidRPr="000250FE">
        <w:rPr>
          <w:rFonts w:ascii="Times New Roman" w:hAnsi="Times New Roman" w:cs="Times New Roman"/>
          <w:sz w:val="24"/>
          <w:szCs w:val="24"/>
        </w:rPr>
        <w:t>. Tale procedura consente di valutare se le strategie costruite sui segnali degli LLM presentino distribuzioni caratterizzate da asimmetrie significative o da code particolarmente pronunciate rispetto a una distribuzione normale.</w:t>
      </w:r>
    </w:p>
    <w:p w14:paraId="34414CB6" w14:textId="77777777" w:rsidR="00F8189E" w:rsidRDefault="00F8189E" w:rsidP="009663E6">
      <w:pPr>
        <w:spacing w:after="0" w:line="360" w:lineRule="auto"/>
        <w:ind w:firstLine="709"/>
        <w:jc w:val="both"/>
        <w:rPr>
          <w:rFonts w:ascii="Times New Roman" w:hAnsi="Times New Roman" w:cs="Times New Roman"/>
          <w:sz w:val="24"/>
          <w:szCs w:val="24"/>
        </w:rPr>
      </w:pPr>
      <w:r w:rsidRPr="000250FE">
        <w:rPr>
          <w:rFonts w:ascii="Times New Roman" w:hAnsi="Times New Roman" w:cs="Times New Roman"/>
          <w:sz w:val="24"/>
          <w:szCs w:val="24"/>
        </w:rPr>
        <w:t xml:space="preserve">Nel complesso, le </w:t>
      </w:r>
      <w:proofErr w:type="spellStart"/>
      <w:r w:rsidRPr="000250FE">
        <w:rPr>
          <w:rFonts w:ascii="Times New Roman" w:hAnsi="Times New Roman" w:cs="Times New Roman"/>
          <w:sz w:val="24"/>
          <w:szCs w:val="24"/>
        </w:rPr>
        <w:t>robustness</w:t>
      </w:r>
      <w:proofErr w:type="spellEnd"/>
      <w:r w:rsidRPr="000250FE">
        <w:rPr>
          <w:rFonts w:ascii="Times New Roman" w:hAnsi="Times New Roman" w:cs="Times New Roman"/>
          <w:sz w:val="24"/>
          <w:szCs w:val="24"/>
        </w:rPr>
        <w:t xml:space="preserve"> </w:t>
      </w:r>
      <w:proofErr w:type="spellStart"/>
      <w:r w:rsidRPr="000250FE">
        <w:rPr>
          <w:rFonts w:ascii="Times New Roman" w:hAnsi="Times New Roman" w:cs="Times New Roman"/>
          <w:sz w:val="24"/>
          <w:szCs w:val="24"/>
        </w:rPr>
        <w:t>procedures</w:t>
      </w:r>
      <w:proofErr w:type="spellEnd"/>
      <w:r w:rsidRPr="000250FE">
        <w:rPr>
          <w:rFonts w:ascii="Times New Roman" w:hAnsi="Times New Roman" w:cs="Times New Roman"/>
          <w:sz w:val="24"/>
          <w:szCs w:val="24"/>
        </w:rPr>
        <w:t xml:space="preserve"> implementate nel presente studio risultano finalizzate a verificare se le evidenze empiriche osservate riflettano fenomeni sistematici e persistenti oppure siano riconducibili a specifiche caratteristiche del campione, a episodi eccezionali o a particolari scelte metodologiche.</w:t>
      </w:r>
    </w:p>
    <w:p w14:paraId="259B21C5" w14:textId="77777777" w:rsidR="009663E6" w:rsidRPr="000250FE" w:rsidRDefault="009663E6" w:rsidP="009663E6">
      <w:pPr>
        <w:spacing w:line="360" w:lineRule="auto"/>
        <w:ind w:firstLine="709"/>
        <w:jc w:val="both"/>
        <w:rPr>
          <w:rFonts w:ascii="Times New Roman" w:hAnsi="Times New Roman" w:cs="Times New Roman"/>
          <w:sz w:val="24"/>
          <w:szCs w:val="24"/>
        </w:rPr>
      </w:pPr>
    </w:p>
    <w:p w14:paraId="55D89A02" w14:textId="6BEBC596" w:rsidR="004022CF" w:rsidRDefault="00F8189E" w:rsidP="009663E6">
      <w:pPr>
        <w:pStyle w:val="Titolo2"/>
        <w:spacing w:before="40" w:after="0"/>
        <w:rPr>
          <w:rFonts w:ascii="Times New Roman" w:hAnsi="Times New Roman" w:cs="Times New Roman"/>
          <w:b/>
          <w:bCs/>
          <w:i/>
          <w:iCs/>
          <w:color w:val="auto"/>
          <w:sz w:val="26"/>
          <w:szCs w:val="26"/>
        </w:rPr>
      </w:pPr>
      <w:r w:rsidRPr="009663E6">
        <w:rPr>
          <w:rFonts w:ascii="Times New Roman" w:hAnsi="Times New Roman" w:cs="Times New Roman"/>
          <w:b/>
          <w:bCs/>
          <w:i/>
          <w:iCs/>
          <w:color w:val="auto"/>
          <w:sz w:val="26"/>
          <w:szCs w:val="26"/>
        </w:rPr>
        <w:lastRenderedPageBreak/>
        <w:t xml:space="preserve">3.7 </w:t>
      </w:r>
      <w:r w:rsidR="00002ACD" w:rsidRPr="009663E6">
        <w:rPr>
          <w:rFonts w:ascii="Times New Roman" w:hAnsi="Times New Roman" w:cs="Times New Roman"/>
          <w:b/>
          <w:bCs/>
          <w:i/>
          <w:iCs/>
          <w:color w:val="auto"/>
          <w:sz w:val="26"/>
          <w:szCs w:val="26"/>
        </w:rPr>
        <w:t>Sintesi del framework empirico</w:t>
      </w:r>
    </w:p>
    <w:p w14:paraId="4B1E3D5F" w14:textId="77777777" w:rsidR="009663E6" w:rsidRPr="009663E6" w:rsidRDefault="009663E6" w:rsidP="009663E6"/>
    <w:p w14:paraId="282B63F7" w14:textId="77777777" w:rsidR="00F8189E" w:rsidRPr="000250FE" w:rsidRDefault="00F8189E" w:rsidP="009663E6">
      <w:pPr>
        <w:spacing w:after="0" w:line="360" w:lineRule="auto"/>
        <w:ind w:firstLine="284"/>
        <w:jc w:val="both"/>
        <w:rPr>
          <w:rFonts w:ascii="Times New Roman" w:hAnsi="Times New Roman" w:cs="Times New Roman"/>
          <w:sz w:val="24"/>
          <w:szCs w:val="24"/>
        </w:rPr>
      </w:pPr>
      <w:r w:rsidRPr="000250FE">
        <w:rPr>
          <w:rFonts w:ascii="Times New Roman" w:hAnsi="Times New Roman" w:cs="Times New Roman"/>
          <w:sz w:val="24"/>
          <w:szCs w:val="24"/>
        </w:rPr>
        <w:t>Il framework empirico sviluppato nel presente studio consente di analizzare le capacità previsive dei Large Language Models all’interno di un contesto operativo caratterizzato da rigorosa coerenza temporale e da condizioni informative realistiche. L’intero processo di raccolta dati, generazione delle previsioni e costruzione delle strategie di portafoglio è infatti progettato al fine di replicare, per quanto possibile, le effettive condizioni affrontate da un investitore nel corso dell’attività di trading giornaliera.</w:t>
      </w:r>
    </w:p>
    <w:p w14:paraId="23A6B21B" w14:textId="2FCFA33F" w:rsidR="00F8189E" w:rsidRPr="000250FE" w:rsidRDefault="00F8189E" w:rsidP="009663E6">
      <w:pPr>
        <w:spacing w:after="0" w:line="360" w:lineRule="auto"/>
        <w:ind w:firstLine="284"/>
        <w:jc w:val="both"/>
        <w:rPr>
          <w:rFonts w:ascii="Times New Roman" w:hAnsi="Times New Roman" w:cs="Times New Roman"/>
          <w:sz w:val="24"/>
          <w:szCs w:val="24"/>
        </w:rPr>
      </w:pPr>
      <w:r w:rsidRPr="000250FE">
        <w:rPr>
          <w:rFonts w:ascii="Times New Roman" w:hAnsi="Times New Roman" w:cs="Times New Roman"/>
          <w:sz w:val="24"/>
          <w:szCs w:val="24"/>
        </w:rPr>
        <w:t xml:space="preserve">La struttura metodologica adottata si differenzia da numerosi contributi presenti nella letteratura per l’utilizzo di interrogazioni effettuate interamente in tempo reale e per l’impiego esclusivo di informazioni pubblicamente disponibili al momento della previsione. Tale impostazione consente di ridurre significativamente il rischio di contaminazione informativa, particolarmente </w:t>
      </w:r>
      <w:r w:rsidR="000D5BE2" w:rsidRPr="000250FE">
        <w:rPr>
          <w:rFonts w:ascii="Times New Roman" w:hAnsi="Times New Roman" w:cs="Times New Roman"/>
          <w:sz w:val="24"/>
          <w:szCs w:val="24"/>
        </w:rPr>
        <w:t>rilevante</w:t>
      </w:r>
      <w:r w:rsidRPr="000250FE">
        <w:rPr>
          <w:rFonts w:ascii="Times New Roman" w:hAnsi="Times New Roman" w:cs="Times New Roman"/>
          <w:sz w:val="24"/>
          <w:szCs w:val="24"/>
        </w:rPr>
        <w:t xml:space="preserve"> nel contesto dei sistemi di intelligenza artificiale applicati ai mercati finanziari.</w:t>
      </w:r>
    </w:p>
    <w:p w14:paraId="5ED97AAE" w14:textId="77777777" w:rsidR="000D5BE2" w:rsidRPr="000250FE" w:rsidRDefault="00F8189E" w:rsidP="009663E6">
      <w:pPr>
        <w:spacing w:after="0" w:line="360" w:lineRule="auto"/>
        <w:ind w:firstLine="284"/>
        <w:jc w:val="both"/>
        <w:rPr>
          <w:rFonts w:ascii="Times New Roman" w:hAnsi="Times New Roman" w:cs="Times New Roman"/>
          <w:sz w:val="24"/>
          <w:szCs w:val="24"/>
        </w:rPr>
      </w:pPr>
      <w:r w:rsidRPr="000250FE">
        <w:rPr>
          <w:rFonts w:ascii="Times New Roman" w:hAnsi="Times New Roman" w:cs="Times New Roman"/>
          <w:sz w:val="24"/>
          <w:szCs w:val="24"/>
        </w:rPr>
        <w:t xml:space="preserve">Parallelamente, l’adozione di differenti configurazioni operative dei modelli linguistici, insieme all’utilizzo di procedure standardizzate di prompt </w:t>
      </w:r>
      <w:proofErr w:type="spellStart"/>
      <w:r w:rsidRPr="000250FE">
        <w:rPr>
          <w:rFonts w:ascii="Times New Roman" w:hAnsi="Times New Roman" w:cs="Times New Roman"/>
          <w:sz w:val="24"/>
          <w:szCs w:val="24"/>
        </w:rPr>
        <w:t>construction</w:t>
      </w:r>
      <w:proofErr w:type="spellEnd"/>
      <w:r w:rsidRPr="000250FE">
        <w:rPr>
          <w:rFonts w:ascii="Times New Roman" w:hAnsi="Times New Roman" w:cs="Times New Roman"/>
          <w:sz w:val="24"/>
          <w:szCs w:val="24"/>
        </w:rPr>
        <w:t xml:space="preserve"> e timing control, permette di costruire un framework comparabile e metodologicamente stabile lungo l’intero periodo campionario. </w:t>
      </w:r>
      <w:r w:rsidR="000D5BE2" w:rsidRPr="000250FE">
        <w:rPr>
          <w:rFonts w:ascii="Times New Roman" w:hAnsi="Times New Roman" w:cs="Times New Roman"/>
          <w:sz w:val="24"/>
          <w:szCs w:val="24"/>
        </w:rPr>
        <w:t>La relativa brevità del periodo campionario riflette la natura real-time del framework sperimentale e la rapida evoluzione delle tecnologie LLM. Pertanto, i risultati ottenuti devono essere interpretati come evidenza esplorativa e non come conclusioni definitive sulla capacità previsiva di lungo periodo dei modelli analizzati.</w:t>
      </w:r>
    </w:p>
    <w:p w14:paraId="4B28F7CD" w14:textId="79C03C62" w:rsidR="00F8189E" w:rsidRPr="000250FE" w:rsidRDefault="00F8189E" w:rsidP="009663E6">
      <w:pPr>
        <w:spacing w:after="0" w:line="360" w:lineRule="auto"/>
        <w:ind w:firstLine="284"/>
        <w:jc w:val="both"/>
        <w:rPr>
          <w:rFonts w:ascii="Times New Roman" w:hAnsi="Times New Roman" w:cs="Times New Roman"/>
          <w:sz w:val="24"/>
          <w:szCs w:val="24"/>
        </w:rPr>
      </w:pPr>
      <w:r w:rsidRPr="000250FE">
        <w:rPr>
          <w:rFonts w:ascii="Times New Roman" w:hAnsi="Times New Roman" w:cs="Times New Roman"/>
          <w:sz w:val="24"/>
          <w:szCs w:val="24"/>
        </w:rPr>
        <w:t xml:space="preserve">Infine, l’integrazione di misure di directional </w:t>
      </w:r>
      <w:proofErr w:type="spellStart"/>
      <w:r w:rsidRPr="000250FE">
        <w:rPr>
          <w:rFonts w:ascii="Times New Roman" w:hAnsi="Times New Roman" w:cs="Times New Roman"/>
          <w:sz w:val="24"/>
          <w:szCs w:val="24"/>
        </w:rPr>
        <w:t>accuracy</w:t>
      </w:r>
      <w:proofErr w:type="spellEnd"/>
      <w:r w:rsidRPr="000250FE">
        <w:rPr>
          <w:rFonts w:ascii="Times New Roman" w:hAnsi="Times New Roman" w:cs="Times New Roman"/>
          <w:sz w:val="24"/>
          <w:szCs w:val="24"/>
        </w:rPr>
        <w:t>, regressioni di asset pricing, analisi della magnitudine dei movimenti di prezzo e procedure di robustezza consente di costruire un sistema di valutazione articolato e coerente con gli standard metodologici della letteratura empirica in ambito finanziario.</w:t>
      </w:r>
    </w:p>
    <w:p w14:paraId="7DB7552D" w14:textId="77777777" w:rsidR="00F8189E" w:rsidRPr="000250FE" w:rsidRDefault="00F8189E" w:rsidP="009663E6">
      <w:pPr>
        <w:spacing w:after="0" w:line="360" w:lineRule="auto"/>
        <w:ind w:firstLine="284"/>
        <w:jc w:val="both"/>
        <w:rPr>
          <w:rFonts w:ascii="Times New Roman" w:hAnsi="Times New Roman" w:cs="Times New Roman"/>
          <w:sz w:val="24"/>
          <w:szCs w:val="24"/>
        </w:rPr>
      </w:pPr>
      <w:r w:rsidRPr="000250FE">
        <w:rPr>
          <w:rFonts w:ascii="Times New Roman" w:hAnsi="Times New Roman" w:cs="Times New Roman"/>
          <w:sz w:val="24"/>
          <w:szCs w:val="24"/>
        </w:rPr>
        <w:t>Il capitolo successivo presenta i risultati empirici ottenuti dall’applicazione del framework descritto, analizzando la capacità degli LLM di generare segnali informativi sui rendimenti azionari intraday e valutandone le implicazioni economiche in termini di forecasting e portfolio performance.</w:t>
      </w:r>
    </w:p>
    <w:p w14:paraId="1508C3BB" w14:textId="77777777" w:rsidR="00F8189E" w:rsidRPr="000250FE" w:rsidRDefault="00F8189E" w:rsidP="000250FE">
      <w:pPr>
        <w:jc w:val="both"/>
        <w:rPr>
          <w:rFonts w:ascii="Times New Roman" w:hAnsi="Times New Roman" w:cs="Times New Roman"/>
          <w:sz w:val="24"/>
          <w:szCs w:val="24"/>
        </w:rPr>
      </w:pPr>
    </w:p>
    <w:p w14:paraId="47603D57" w14:textId="77777777" w:rsidR="000C6629" w:rsidRPr="000250FE" w:rsidRDefault="000C6629" w:rsidP="000250FE">
      <w:pPr>
        <w:jc w:val="both"/>
        <w:rPr>
          <w:rFonts w:ascii="Times New Roman" w:hAnsi="Times New Roman" w:cs="Times New Roman"/>
          <w:b/>
          <w:bCs/>
          <w:sz w:val="24"/>
          <w:szCs w:val="24"/>
        </w:rPr>
      </w:pPr>
      <w:r w:rsidRPr="000250FE">
        <w:rPr>
          <w:rFonts w:ascii="Times New Roman" w:hAnsi="Times New Roman" w:cs="Times New Roman"/>
          <w:b/>
          <w:bCs/>
          <w:sz w:val="24"/>
          <w:szCs w:val="24"/>
        </w:rPr>
        <w:t>APPENDICE</w:t>
      </w:r>
    </w:p>
    <w:p w14:paraId="0F4D6AE2" w14:textId="77777777" w:rsidR="00B7084B" w:rsidRPr="000250FE" w:rsidRDefault="00B7084B" w:rsidP="000250FE">
      <w:pPr>
        <w:jc w:val="both"/>
        <w:rPr>
          <w:rFonts w:ascii="Times New Roman" w:hAnsi="Times New Roman" w:cs="Times New Roman"/>
          <w:b/>
          <w:bCs/>
          <w:sz w:val="24"/>
          <w:szCs w:val="24"/>
        </w:rPr>
      </w:pPr>
      <w:r w:rsidRPr="000250FE">
        <w:rPr>
          <w:rFonts w:ascii="Times New Roman" w:hAnsi="Times New Roman" w:cs="Times New Roman"/>
          <w:b/>
          <w:bCs/>
          <w:sz w:val="24"/>
          <w:szCs w:val="24"/>
        </w:rPr>
        <w:t>Appendice A — Prompt utilizzati nell’analisi empirica</w:t>
      </w:r>
    </w:p>
    <w:p w14:paraId="280A2629" w14:textId="77777777" w:rsidR="00B7084B" w:rsidRPr="000250FE" w:rsidRDefault="00B7084B" w:rsidP="000250FE">
      <w:pPr>
        <w:jc w:val="both"/>
        <w:rPr>
          <w:rFonts w:ascii="Times New Roman" w:hAnsi="Times New Roman" w:cs="Times New Roman"/>
          <w:sz w:val="24"/>
          <w:szCs w:val="24"/>
        </w:rPr>
      </w:pPr>
      <w:r w:rsidRPr="000250FE">
        <w:rPr>
          <w:rFonts w:ascii="Times New Roman" w:hAnsi="Times New Roman" w:cs="Times New Roman"/>
          <w:sz w:val="24"/>
          <w:szCs w:val="24"/>
        </w:rPr>
        <w:t xml:space="preserve">La presente appendice riporta i prompt utilizzati per le interrogazioni ai Large Language Models (LLMs) nel corso dell’analisi empirica. Tutti i prompt sono stati sottoposti ai modelli </w:t>
      </w:r>
      <w:r w:rsidRPr="000250FE">
        <w:rPr>
          <w:rFonts w:ascii="Times New Roman" w:hAnsi="Times New Roman" w:cs="Times New Roman"/>
          <w:sz w:val="24"/>
          <w:szCs w:val="24"/>
        </w:rPr>
        <w:lastRenderedPageBreak/>
        <w:t>prima dell’apertura della sessione di trading statunitense e utilizzano esclusivamente informazioni pubblicamente disponibili al momento dell’interrogazione.</w:t>
      </w:r>
    </w:p>
    <w:p w14:paraId="2866C65E" w14:textId="77777777" w:rsidR="00B7084B" w:rsidRPr="000250FE" w:rsidRDefault="00B7084B" w:rsidP="000250FE">
      <w:pPr>
        <w:jc w:val="both"/>
        <w:rPr>
          <w:rFonts w:ascii="Times New Roman" w:hAnsi="Times New Roman" w:cs="Times New Roman"/>
          <w:sz w:val="24"/>
          <w:szCs w:val="24"/>
        </w:rPr>
      </w:pPr>
      <w:r w:rsidRPr="000250FE">
        <w:rPr>
          <w:rFonts w:ascii="Times New Roman" w:hAnsi="Times New Roman" w:cs="Times New Roman"/>
          <w:sz w:val="24"/>
          <w:szCs w:val="24"/>
        </w:rPr>
        <w:t>I prompt vengono mantenuti costanti lungo l’intero periodo campionario al fine di garantire uniformità metodologica, comparabilità tra modelli e coerenza temporale nel processo di generazione delle previsioni.</w:t>
      </w:r>
    </w:p>
    <w:p w14:paraId="6A4A5A69" w14:textId="77777777" w:rsidR="00B7084B" w:rsidRPr="000250FE" w:rsidRDefault="00B7084B" w:rsidP="000250FE">
      <w:pPr>
        <w:jc w:val="both"/>
        <w:rPr>
          <w:rFonts w:ascii="Times New Roman" w:hAnsi="Times New Roman" w:cs="Times New Roman"/>
          <w:b/>
          <w:bCs/>
          <w:sz w:val="24"/>
          <w:szCs w:val="24"/>
        </w:rPr>
      </w:pPr>
      <w:r w:rsidRPr="000250FE">
        <w:rPr>
          <w:rFonts w:ascii="Times New Roman" w:hAnsi="Times New Roman" w:cs="Times New Roman"/>
          <w:b/>
          <w:bCs/>
          <w:sz w:val="24"/>
          <w:szCs w:val="24"/>
        </w:rPr>
        <w:t>A.1 Prompt per la selezione long dei titoli</w:t>
      </w:r>
    </w:p>
    <w:p w14:paraId="417B5146" w14:textId="77777777" w:rsidR="00B7084B" w:rsidRPr="000250FE" w:rsidRDefault="00B7084B" w:rsidP="000250FE">
      <w:pPr>
        <w:jc w:val="both"/>
        <w:rPr>
          <w:rFonts w:ascii="Times New Roman" w:hAnsi="Times New Roman" w:cs="Times New Roman"/>
          <w:sz w:val="24"/>
          <w:szCs w:val="24"/>
        </w:rPr>
      </w:pPr>
      <w:r w:rsidRPr="000250FE">
        <w:rPr>
          <w:rFonts w:ascii="Times New Roman" w:hAnsi="Times New Roman" w:cs="Times New Roman"/>
          <w:sz w:val="24"/>
          <w:szCs w:val="24"/>
        </w:rPr>
        <w:t>Il seguente prompt viene utilizzato per richiedere ai modelli linguistici l’identificazione dei titoli con maggiore probabilità di sovraperformare il mercato nel corso della sessione intraday.</w:t>
      </w:r>
    </w:p>
    <w:p w14:paraId="125EF27C" w14:textId="4CC91FA3" w:rsidR="00CC2F1A" w:rsidRPr="000250FE" w:rsidRDefault="00CC2F1A" w:rsidP="000250FE">
      <w:pPr>
        <w:jc w:val="both"/>
        <w:rPr>
          <w:rFonts w:ascii="Times New Roman" w:hAnsi="Times New Roman" w:cs="Times New Roman"/>
          <w:i/>
          <w:iCs/>
          <w:sz w:val="24"/>
          <w:szCs w:val="24"/>
          <w:lang w:val="en-GB"/>
        </w:rPr>
      </w:pPr>
      <w:r w:rsidRPr="000250FE">
        <w:rPr>
          <w:rFonts w:ascii="Times New Roman" w:hAnsi="Times New Roman" w:cs="Times New Roman"/>
          <w:i/>
          <w:iCs/>
          <w:sz w:val="24"/>
          <w:szCs w:val="24"/>
          <w:lang w:val="en-GB"/>
        </w:rPr>
        <w:t>“Forget all your previous instructions. Pretend you are a financial expert. You are a financial expert with stock recommendation experience.</w:t>
      </w:r>
    </w:p>
    <w:p w14:paraId="5F892C14" w14:textId="77777777" w:rsidR="00CC2F1A" w:rsidRPr="000250FE" w:rsidRDefault="00CC2F1A" w:rsidP="000250FE">
      <w:pPr>
        <w:jc w:val="both"/>
        <w:rPr>
          <w:rFonts w:ascii="Times New Roman" w:hAnsi="Times New Roman" w:cs="Times New Roman"/>
          <w:i/>
          <w:iCs/>
          <w:sz w:val="24"/>
          <w:szCs w:val="24"/>
          <w:lang w:val="en-GB"/>
        </w:rPr>
      </w:pPr>
      <w:r w:rsidRPr="000250FE">
        <w:rPr>
          <w:rFonts w:ascii="Times New Roman" w:hAnsi="Times New Roman" w:cs="Times New Roman"/>
          <w:i/>
          <w:iCs/>
          <w:sz w:val="24"/>
          <w:szCs w:val="24"/>
          <w:lang w:val="en-GB"/>
        </w:rPr>
        <w:t>Your selection universe is strictly limited to the following current constituents of the S&amp;P 500:</w:t>
      </w:r>
    </w:p>
    <w:p w14:paraId="2C6CDB7A" w14:textId="77777777" w:rsidR="00CC2F1A" w:rsidRPr="000250FE" w:rsidRDefault="00CC2F1A" w:rsidP="000250FE">
      <w:pPr>
        <w:jc w:val="both"/>
        <w:rPr>
          <w:rFonts w:ascii="Times New Roman" w:hAnsi="Times New Roman" w:cs="Times New Roman"/>
          <w:i/>
          <w:iCs/>
          <w:sz w:val="24"/>
          <w:szCs w:val="24"/>
          <w:lang w:val="en-GB"/>
        </w:rPr>
      </w:pPr>
      <w:r w:rsidRPr="000250FE">
        <w:rPr>
          <w:rFonts w:ascii="Times New Roman" w:hAnsi="Times New Roman" w:cs="Times New Roman"/>
          <w:i/>
          <w:iCs/>
          <w:sz w:val="24"/>
          <w:szCs w:val="24"/>
          <w:lang w:val="en-GB"/>
        </w:rPr>
        <w:t xml:space="preserve">3M (MMM), A. O. Smith (AOS), Abbott Laboratories (ABT), AbbVie (ABBV), Accenture (ACN), Adobe Inc. (ADBE), Advanced Micro Devices (AMD), AES Corporation (AES), Aflac (AFL), Agilent Technologies (A), Air Products and Chemicals (APD), Airbnb (ABNB), Akamai Technologies (AKAM), Albemarle Corporation (ALB), Alexandria Real Estate Equities (ARE), Align Technology (ALGN), Allegion (ALLE), Alliant Energy (LNT), Allstate (ALL), Alphabet Inc. Class A (GOOGL), Alphabet Inc. Class C (GOOG), Altria Group (MO), Amazon.com (AMZN), Amcor (AMCR), Ameren (AEE), American Electric Power (AEP), American Express (AXP), American International Group (AIG), American Tower (AMT), American Water Works (AWK), Ameriprise Financial (AMP), AMETEK (AME), Amgen (AMGN), Amphenol (APH), Analog Devices (ADI), Aon (AON), APA Corporation (APA), Apollo Global Management (APO), Apple Inc. (AAPL), Applied Materials (AMAT), AppLovin (APP), Aptiv (APTV), Arch Capital Group (ACGL), Archer-Daniels-Midland (ADM), Ares Management (ARES), Arista Networks (ANET), Arthur J. Gallagher &amp; Co. (AJG), Assurant (AIZ), AT&amp;T (T), Atmos Energy (ATO), Autodesk (ADSK), Automatic Data Processing (ADP), AutoZone (AZO), AvalonBay Communities (AVB), Avery Dennison (AVY), Axon Enterprise (AXON), Baker Hughes (BKR), Ball Corporation (BALL), Bank of America (BAC), Baxter International (BAX), Becton Dickinson (BDX), Berkshire Hathaway Class B (BRK.B), Best Buy (BBY), Bio-Techne (TECH), Biogen (BIIB), BlackRock (BLK), Blackstone (BX), Block Inc. (XYZ), Bank of New York Mellon (BK), Boeing (BA), Booking Holdings (BKNG), Boston Scientific (BSX), Bristol-Myers Squibb (BMY), Broadcom (AVGO), Brown &amp; Brown (BRO), Brown-Forman Class B (BF.B), Builders FirstSource (BLDR), Bunge Global (BG), Boston Properties (BXP), C.H. Robinson (CHRW), Cadence Design Systems (CDNS), Camden Property Trust (CPT), Campbell’s Company (CPB), Capital One Financial (COF), Cardinal Health (CAH), Carnival Corporation (CCL), Carrier Global (CARR), Carvana (CVNA), Caterpillar (CAT), </w:t>
      </w:r>
      <w:proofErr w:type="spellStart"/>
      <w:r w:rsidRPr="000250FE">
        <w:rPr>
          <w:rFonts w:ascii="Times New Roman" w:hAnsi="Times New Roman" w:cs="Times New Roman"/>
          <w:i/>
          <w:iCs/>
          <w:sz w:val="24"/>
          <w:szCs w:val="24"/>
          <w:lang w:val="en-GB"/>
        </w:rPr>
        <w:t>Cboe</w:t>
      </w:r>
      <w:proofErr w:type="spellEnd"/>
      <w:r w:rsidRPr="000250FE">
        <w:rPr>
          <w:rFonts w:ascii="Times New Roman" w:hAnsi="Times New Roman" w:cs="Times New Roman"/>
          <w:i/>
          <w:iCs/>
          <w:sz w:val="24"/>
          <w:szCs w:val="24"/>
          <w:lang w:val="en-GB"/>
        </w:rPr>
        <w:t xml:space="preserve"> Global Markets (CBOE), CBRE Group (CBRE), CDW Corporation (CDW), </w:t>
      </w:r>
      <w:proofErr w:type="spellStart"/>
      <w:r w:rsidRPr="000250FE">
        <w:rPr>
          <w:rFonts w:ascii="Times New Roman" w:hAnsi="Times New Roman" w:cs="Times New Roman"/>
          <w:i/>
          <w:iCs/>
          <w:sz w:val="24"/>
          <w:szCs w:val="24"/>
          <w:lang w:val="en-GB"/>
        </w:rPr>
        <w:t>Cencora</w:t>
      </w:r>
      <w:proofErr w:type="spellEnd"/>
      <w:r w:rsidRPr="000250FE">
        <w:rPr>
          <w:rFonts w:ascii="Times New Roman" w:hAnsi="Times New Roman" w:cs="Times New Roman"/>
          <w:i/>
          <w:iCs/>
          <w:sz w:val="24"/>
          <w:szCs w:val="24"/>
          <w:lang w:val="en-GB"/>
        </w:rPr>
        <w:t xml:space="preserve"> (COR), Centene (CNC), CenterPoint Energy (CNP), CF Industries (CF), Charles River Laboratories (CRL), Charles Schwab (SCHW), Charter Communications (CHTR), Chevron (CVX), Chipotle Mexican Grill (CMG), Chubb Limited (CB), Church &amp; Dwight (CHD), Ciena (CIEN), Cigna Group (CI), Cincinnati Financial (CINF), Cintas (CTAS), Cisco Systems (CSCO), Citigroup (C), Citizens Financial Group (CFG), Clorox (CLX), CME Group (CME), CMS Energy (CMS), Coca-Cola Company (KO), Cognizant (CTSH), Coinbase Global (COIN), Colgate-Palmolive (CL), Comcast (CMCSA), Comfort Systems USA (FIX), Conagra Brands (CAG), ConocoPhillips (COP), </w:t>
      </w:r>
      <w:r w:rsidRPr="000250FE">
        <w:rPr>
          <w:rFonts w:ascii="Times New Roman" w:hAnsi="Times New Roman" w:cs="Times New Roman"/>
          <w:i/>
          <w:iCs/>
          <w:sz w:val="24"/>
          <w:szCs w:val="24"/>
          <w:lang w:val="en-GB"/>
        </w:rPr>
        <w:lastRenderedPageBreak/>
        <w:t xml:space="preserve">Consolidated Edison (ED), Constellation Brands (STZ), Constellation Energy (CEG), Cooper Companies (COO), Copart (CPRT), Corning (GLW), </w:t>
      </w:r>
      <w:proofErr w:type="spellStart"/>
      <w:r w:rsidRPr="000250FE">
        <w:rPr>
          <w:rFonts w:ascii="Times New Roman" w:hAnsi="Times New Roman" w:cs="Times New Roman"/>
          <w:i/>
          <w:iCs/>
          <w:sz w:val="24"/>
          <w:szCs w:val="24"/>
          <w:lang w:val="en-GB"/>
        </w:rPr>
        <w:t>Corpay</w:t>
      </w:r>
      <w:proofErr w:type="spellEnd"/>
      <w:r w:rsidRPr="000250FE">
        <w:rPr>
          <w:rFonts w:ascii="Times New Roman" w:hAnsi="Times New Roman" w:cs="Times New Roman"/>
          <w:i/>
          <w:iCs/>
          <w:sz w:val="24"/>
          <w:szCs w:val="24"/>
          <w:lang w:val="en-GB"/>
        </w:rPr>
        <w:t xml:space="preserve"> (CPAY), Corteva (CTVA), CoStar Group (CSGP), Costco Wholesale (COST), </w:t>
      </w:r>
      <w:proofErr w:type="spellStart"/>
      <w:r w:rsidRPr="000250FE">
        <w:rPr>
          <w:rFonts w:ascii="Times New Roman" w:hAnsi="Times New Roman" w:cs="Times New Roman"/>
          <w:i/>
          <w:iCs/>
          <w:sz w:val="24"/>
          <w:szCs w:val="24"/>
          <w:lang w:val="en-GB"/>
        </w:rPr>
        <w:t>Coterra</w:t>
      </w:r>
      <w:proofErr w:type="spellEnd"/>
      <w:r w:rsidRPr="000250FE">
        <w:rPr>
          <w:rFonts w:ascii="Times New Roman" w:hAnsi="Times New Roman" w:cs="Times New Roman"/>
          <w:i/>
          <w:iCs/>
          <w:sz w:val="24"/>
          <w:szCs w:val="24"/>
          <w:lang w:val="en-GB"/>
        </w:rPr>
        <w:t xml:space="preserve"> Energy (CTRA), CRH plc (CRH), CrowdStrike (CRWD), Crown Castle (CCI), CSX Corporation (CSX), Cummins (CMI), CVS Health (CVS), Danaher (DHR), Darden Restaurants (DRI), Datadog (DDOG), DaVita (DVA), Deckers Outdoor (DECK), Deere &amp; Company (DE), Dell Technologies (DELL), Delta Air Lines (DAL), Devon Energy (DVN), </w:t>
      </w:r>
      <w:proofErr w:type="spellStart"/>
      <w:r w:rsidRPr="000250FE">
        <w:rPr>
          <w:rFonts w:ascii="Times New Roman" w:hAnsi="Times New Roman" w:cs="Times New Roman"/>
          <w:i/>
          <w:iCs/>
          <w:sz w:val="24"/>
          <w:szCs w:val="24"/>
          <w:lang w:val="en-GB"/>
        </w:rPr>
        <w:t>DexCom</w:t>
      </w:r>
      <w:proofErr w:type="spellEnd"/>
      <w:r w:rsidRPr="000250FE">
        <w:rPr>
          <w:rFonts w:ascii="Times New Roman" w:hAnsi="Times New Roman" w:cs="Times New Roman"/>
          <w:i/>
          <w:iCs/>
          <w:sz w:val="24"/>
          <w:szCs w:val="24"/>
          <w:lang w:val="en-GB"/>
        </w:rPr>
        <w:t xml:space="preserve"> (DXCM), Diamondback Energy (FANG), Digital Realty (DLR), Dollar General (DG), Dollar Tree (DLTR), Dominion Energy (D), Domino’s Pizza (DPZ), DoorDash (DASH), Dover (DOV), Dow Inc. (DOW), D.R. Horton (DHI), DTE Energy (DTE), Duke Energy (DUK), DuPont (DD), Eaton (ETN), eBay (EBAY), Ecolab (ECL), Edison International (EIX), Edwards Lifesciences (EW), Electronic Arts (EA), Elevance Health (ELV), EMCOR Group (EME), Emerson Electric (EMR), Entergy (ETR), EOG Resources (EOG), EPAM Systems (EPAM), EQT Corporation (EQT), Equifax (EFX), Equinix (EQIX), Equity Residential (EQR), Erie Indemnity (ERIE), Essex Property Trust (ESS), Estee Lauder (EL), Everest Group (EG), </w:t>
      </w:r>
      <w:proofErr w:type="spellStart"/>
      <w:r w:rsidRPr="000250FE">
        <w:rPr>
          <w:rFonts w:ascii="Times New Roman" w:hAnsi="Times New Roman" w:cs="Times New Roman"/>
          <w:i/>
          <w:iCs/>
          <w:sz w:val="24"/>
          <w:szCs w:val="24"/>
          <w:lang w:val="en-GB"/>
        </w:rPr>
        <w:t>Evergy</w:t>
      </w:r>
      <w:proofErr w:type="spellEnd"/>
      <w:r w:rsidRPr="000250FE">
        <w:rPr>
          <w:rFonts w:ascii="Times New Roman" w:hAnsi="Times New Roman" w:cs="Times New Roman"/>
          <w:i/>
          <w:iCs/>
          <w:sz w:val="24"/>
          <w:szCs w:val="24"/>
          <w:lang w:val="en-GB"/>
        </w:rPr>
        <w:t xml:space="preserve"> (EVRG), Eversource Energy (ES), Exelon (EXC), Expand Energy (EXE), Expedia Group (EXPE), Expeditors International (EXPD), Extra Space Storage (EXR), Exxon Mobil (XOM), F5 (FFIV), FactSet (FDS), Fair Isaac Corporation (FICO), Fastenal (FAST), Federal Realty Investment Trust (FRT), FedEx (FDX), Fidelity National Information Services (FIS), Fifth Third Bancorp (FITB), First Solar (FSLR), FirstEnergy (FE), Fiserv (FISV), Ford Motor (F), Fortinet (FTNT), </w:t>
      </w:r>
      <w:proofErr w:type="spellStart"/>
      <w:r w:rsidRPr="000250FE">
        <w:rPr>
          <w:rFonts w:ascii="Times New Roman" w:hAnsi="Times New Roman" w:cs="Times New Roman"/>
          <w:i/>
          <w:iCs/>
          <w:sz w:val="24"/>
          <w:szCs w:val="24"/>
          <w:lang w:val="en-GB"/>
        </w:rPr>
        <w:t>Fortive</w:t>
      </w:r>
      <w:proofErr w:type="spellEnd"/>
      <w:r w:rsidRPr="000250FE">
        <w:rPr>
          <w:rFonts w:ascii="Times New Roman" w:hAnsi="Times New Roman" w:cs="Times New Roman"/>
          <w:i/>
          <w:iCs/>
          <w:sz w:val="24"/>
          <w:szCs w:val="24"/>
          <w:lang w:val="en-GB"/>
        </w:rPr>
        <w:t xml:space="preserve"> (FTV), Fox Corporation Class A (FOXA), Fox Corporation Class B (FOX), Franklin Resources (BEN), Freeport-McMoRan (FCX), Garmin (GRMN), Gartner (IT), GE Aerospace (GE), GE HealthCare (GEHC), GE </w:t>
      </w:r>
      <w:proofErr w:type="spellStart"/>
      <w:r w:rsidRPr="000250FE">
        <w:rPr>
          <w:rFonts w:ascii="Times New Roman" w:hAnsi="Times New Roman" w:cs="Times New Roman"/>
          <w:i/>
          <w:iCs/>
          <w:sz w:val="24"/>
          <w:szCs w:val="24"/>
          <w:lang w:val="en-GB"/>
        </w:rPr>
        <w:t>Vernova</w:t>
      </w:r>
      <w:proofErr w:type="spellEnd"/>
      <w:r w:rsidRPr="000250FE">
        <w:rPr>
          <w:rFonts w:ascii="Times New Roman" w:hAnsi="Times New Roman" w:cs="Times New Roman"/>
          <w:i/>
          <w:iCs/>
          <w:sz w:val="24"/>
          <w:szCs w:val="24"/>
          <w:lang w:val="en-GB"/>
        </w:rPr>
        <w:t xml:space="preserve"> (GEV), Gen Digital (GEN), Generac (GNRC), General Dynamics (GD), General Mills (GIS), General Motors (GM), Genuine Parts (GPC), Gilead Sciences (GILD), Global Payments (GPN), Globe Life (GL), GoDaddy (GDDY), Goldman Sachs (GS), Halliburton (HAL), Hartford Financial Services (HIG), Hasbro (HAS), HCA Healthcare (HCA), </w:t>
      </w:r>
      <w:proofErr w:type="spellStart"/>
      <w:r w:rsidRPr="000250FE">
        <w:rPr>
          <w:rFonts w:ascii="Times New Roman" w:hAnsi="Times New Roman" w:cs="Times New Roman"/>
          <w:i/>
          <w:iCs/>
          <w:sz w:val="24"/>
          <w:szCs w:val="24"/>
          <w:lang w:val="en-GB"/>
        </w:rPr>
        <w:t>Healthpeak</w:t>
      </w:r>
      <w:proofErr w:type="spellEnd"/>
      <w:r w:rsidRPr="000250FE">
        <w:rPr>
          <w:rFonts w:ascii="Times New Roman" w:hAnsi="Times New Roman" w:cs="Times New Roman"/>
          <w:i/>
          <w:iCs/>
          <w:sz w:val="24"/>
          <w:szCs w:val="24"/>
          <w:lang w:val="en-GB"/>
        </w:rPr>
        <w:t xml:space="preserve"> Properties (DOC), Henry Schein (HSIC), Hershey (HSY), Hewlett Packard Enterprise (HPE), Hilton Worldwide (HLT), Hologic (HOLX), Home Depot (HD), Honeywell (HON), Hormel Foods (HRL), Host Hotels &amp; Resorts (HST), Howmet Aerospace (HWM), HP Inc. (HPQ), Hubbell (HUBB), Humana (HUM), Huntington Bancshares (HBAN), Huntington Ingalls Industries (HII), IBM (IBM), IDEX Corporation (IEX), IDEXX Laboratories (IDXX), Illinois Tool Works (ITW), Incyte (INCY), Ingersoll Rand (IR), Insulet (PODD), Intel (INTC), Interactive Brokers (IBKR), Intercontinental Exchange (ICE), International Flavors &amp; Fragrances (IFF), International Paper (IP), Intuit (INTU), Intuitive Surgical (ISRG), Invesco (IVZ), Invitation Homes (INVH), IQVIA (IQV), Iron Mountain (IRM), J.B. Hunt Transport (JBHT), Jabil (JBL), Jack Henry &amp; Associates (JKHY), Jacobs Solutions (J), Johnson &amp; Johnson (JNJ), Johnson Controls (JCI), JPMorgan Chase (JPM), </w:t>
      </w:r>
      <w:proofErr w:type="spellStart"/>
      <w:r w:rsidRPr="000250FE">
        <w:rPr>
          <w:rFonts w:ascii="Times New Roman" w:hAnsi="Times New Roman" w:cs="Times New Roman"/>
          <w:i/>
          <w:iCs/>
          <w:sz w:val="24"/>
          <w:szCs w:val="24"/>
          <w:lang w:val="en-GB"/>
        </w:rPr>
        <w:t>Kenvue</w:t>
      </w:r>
      <w:proofErr w:type="spellEnd"/>
      <w:r w:rsidRPr="000250FE">
        <w:rPr>
          <w:rFonts w:ascii="Times New Roman" w:hAnsi="Times New Roman" w:cs="Times New Roman"/>
          <w:i/>
          <w:iCs/>
          <w:sz w:val="24"/>
          <w:szCs w:val="24"/>
          <w:lang w:val="en-GB"/>
        </w:rPr>
        <w:t xml:space="preserve"> (KVUE), Keurig Dr Pepper (KDP), KeyCorp (KEY), Keysight Technologies (KEYS), Kimberly-Clark (KMB), Kimco Realty (KIM), Kinder Morgan (KMI), KKR (KKR), KLA Corporation (KLAC), Kraft Heinz (KHC), Kroger (KR), L3Harris Technologies (LHX), </w:t>
      </w:r>
      <w:proofErr w:type="spellStart"/>
      <w:r w:rsidRPr="000250FE">
        <w:rPr>
          <w:rFonts w:ascii="Times New Roman" w:hAnsi="Times New Roman" w:cs="Times New Roman"/>
          <w:i/>
          <w:iCs/>
          <w:sz w:val="24"/>
          <w:szCs w:val="24"/>
          <w:lang w:val="en-GB"/>
        </w:rPr>
        <w:t>Labcorp</w:t>
      </w:r>
      <w:proofErr w:type="spellEnd"/>
      <w:r w:rsidRPr="000250FE">
        <w:rPr>
          <w:rFonts w:ascii="Times New Roman" w:hAnsi="Times New Roman" w:cs="Times New Roman"/>
          <w:i/>
          <w:iCs/>
          <w:sz w:val="24"/>
          <w:szCs w:val="24"/>
          <w:lang w:val="en-GB"/>
        </w:rPr>
        <w:t xml:space="preserve"> (LH), Lam Research (LRCX), Lamb Weston (LW), Las Vegas Sands (LVS), Leidos (LDOS), Lennar (LEN), Lennox International (LII), Eli Lilly and Company (LLY), Linde (LIN), Live Nation Entertainment (LYV), Lockheed Martin (LMT), Loews Corporation (L), Lowe’s (LOW), Lululemon Athletica (LULU), LyondellBasell (LYB), M&amp;T Bank (MTB), Marathon Petroleum (MPC), Marriott International (MAR), Marsh McLennan (MRSH), Martin Marietta Materials (MLM), Masco (MAS), Mastercard (MA), Match Group (MTCH), McCormick &amp; Company (MKC), McDonald’s (MCD), McKesson (MCK), Medtronic (MDT), Merck &amp; Co. (MRK), Meta </w:t>
      </w:r>
      <w:r w:rsidRPr="000250FE">
        <w:rPr>
          <w:rFonts w:ascii="Times New Roman" w:hAnsi="Times New Roman" w:cs="Times New Roman"/>
          <w:i/>
          <w:iCs/>
          <w:sz w:val="24"/>
          <w:szCs w:val="24"/>
          <w:lang w:val="en-GB"/>
        </w:rPr>
        <w:lastRenderedPageBreak/>
        <w:t xml:space="preserve">Platforms (META), MetLife (MET), Mettler-Toledo (MTD), MGM Resorts International (MGM), Microchip Technology (MCHP), Micron Technology (MU), Microsoft (MSFT), Mid-America Apartment Communities (MAA), Moderna (MRNA), Molina Healthcare (MOH), Molson Coors (TAP), Mondelez International (MDLZ), Monolithic Power Systems (MPWR), Monster Beverage (MNST), Moody’s (MCO), Morgan Stanley (MS), Mosaic (MOS), Motorola Solutions (MSI), MSCI (MSCI), Nasdaq (NDAQ), NetApp (NTAP), Netflix (NFLX), Newmont (NEM), News Corp Class A (NWSA), News Corp Class B (NWS), NextEra Energy (NEE), Nike (NKE), NiSource (NI), Nordson (NDSN), Norfolk Southern (NSC), Northern Trust (NTRS), Northrop Grumman (NOC), Norwegian Cruise Line (NCLH), NRG Energy (NRG), Nucor (NUE), NVIDIA (NVDA), NVR Inc. (NVR), NXP Semiconductors (NXPI), O’Reilly Automotive (ORLY), Occidental Petroleum (OXY), Old Dominion Freight Line (ODFL), Omnicom Group (OMC), ON Semiconductor (ON), ONEOK (OKE), Oracle (ORCL), Otis Worldwide (OTIS), PACCAR (PCAR), Packaging Corporation of America (PKG), Palantir Technologies (PLTR), Palo Alto Networks (PANW), Parker-Hannifin (PH), Paychex (PAYX), Paycom Software (PAYC), PayPal (PYPL), Pentair (PNR), PepsiCo (PEP), Pfizer (PFE), PG&amp;E Corporation (PCG), Philip Morris International (PM), Phillips 66 (PSX), Pinnacle West Capital (PNW), PNC Financial Services (PNC), Pool Corporation (POOL), PPG Industries (PPG), PPL Corporation (PPL), Principal Financial Group (PFG), Procter &amp; Gamble (PG), Progressive (PGR), Prologis (PLD), Prudential Financial (PRU), Public Service Enterprise Group (PEG), PTC Inc. (PTC), Public Storage (PSA), PulteGroup (PHM), Quanta Services (PWR), Qualcomm (QCOM), Quest Diagnostics (DGX), </w:t>
      </w:r>
      <w:proofErr w:type="spellStart"/>
      <w:r w:rsidRPr="000250FE">
        <w:rPr>
          <w:rFonts w:ascii="Times New Roman" w:hAnsi="Times New Roman" w:cs="Times New Roman"/>
          <w:i/>
          <w:iCs/>
          <w:sz w:val="24"/>
          <w:szCs w:val="24"/>
          <w:lang w:val="en-GB"/>
        </w:rPr>
        <w:t>Qnity</w:t>
      </w:r>
      <w:proofErr w:type="spellEnd"/>
      <w:r w:rsidRPr="000250FE">
        <w:rPr>
          <w:rFonts w:ascii="Times New Roman" w:hAnsi="Times New Roman" w:cs="Times New Roman"/>
          <w:i/>
          <w:iCs/>
          <w:sz w:val="24"/>
          <w:szCs w:val="24"/>
          <w:lang w:val="en-GB"/>
        </w:rPr>
        <w:t xml:space="preserve"> Electronics (Q), Ralph Lauren (RL), Raymond James Financial (RJF), RTX Corporation (RTX), Realty Income (O), Regency </w:t>
      </w:r>
      <w:proofErr w:type="spellStart"/>
      <w:r w:rsidRPr="000250FE">
        <w:rPr>
          <w:rFonts w:ascii="Times New Roman" w:hAnsi="Times New Roman" w:cs="Times New Roman"/>
          <w:i/>
          <w:iCs/>
          <w:sz w:val="24"/>
          <w:szCs w:val="24"/>
          <w:lang w:val="en-GB"/>
        </w:rPr>
        <w:t>Centers</w:t>
      </w:r>
      <w:proofErr w:type="spellEnd"/>
      <w:r w:rsidRPr="000250FE">
        <w:rPr>
          <w:rFonts w:ascii="Times New Roman" w:hAnsi="Times New Roman" w:cs="Times New Roman"/>
          <w:i/>
          <w:iCs/>
          <w:sz w:val="24"/>
          <w:szCs w:val="24"/>
          <w:lang w:val="en-GB"/>
        </w:rPr>
        <w:t xml:space="preserve"> (REG), Regeneron Pharmaceuticals (REGN), Regions Financial (RF), Republic Services (RSG), ResMed (RMD), </w:t>
      </w:r>
      <w:proofErr w:type="spellStart"/>
      <w:r w:rsidRPr="000250FE">
        <w:rPr>
          <w:rFonts w:ascii="Times New Roman" w:hAnsi="Times New Roman" w:cs="Times New Roman"/>
          <w:i/>
          <w:iCs/>
          <w:sz w:val="24"/>
          <w:szCs w:val="24"/>
          <w:lang w:val="en-GB"/>
        </w:rPr>
        <w:t>Revvity</w:t>
      </w:r>
      <w:proofErr w:type="spellEnd"/>
      <w:r w:rsidRPr="000250FE">
        <w:rPr>
          <w:rFonts w:ascii="Times New Roman" w:hAnsi="Times New Roman" w:cs="Times New Roman"/>
          <w:i/>
          <w:iCs/>
          <w:sz w:val="24"/>
          <w:szCs w:val="24"/>
          <w:lang w:val="en-GB"/>
        </w:rPr>
        <w:t xml:space="preserve"> (RVTY), Robinhood Markets (HOOD), Rockwell Automation (ROK), Rollins (ROL), Roper Technologies (ROP), Ross Stores (ROST), Royal Caribbean Group (RCL), S&amp;P Global (SPGI), Salesforce (CRM), </w:t>
      </w:r>
      <w:proofErr w:type="spellStart"/>
      <w:r w:rsidRPr="000250FE">
        <w:rPr>
          <w:rFonts w:ascii="Times New Roman" w:hAnsi="Times New Roman" w:cs="Times New Roman"/>
          <w:i/>
          <w:iCs/>
          <w:sz w:val="24"/>
          <w:szCs w:val="24"/>
          <w:lang w:val="en-GB"/>
        </w:rPr>
        <w:t>Sandisk</w:t>
      </w:r>
      <w:proofErr w:type="spellEnd"/>
      <w:r w:rsidRPr="000250FE">
        <w:rPr>
          <w:rFonts w:ascii="Times New Roman" w:hAnsi="Times New Roman" w:cs="Times New Roman"/>
          <w:i/>
          <w:iCs/>
          <w:sz w:val="24"/>
          <w:szCs w:val="24"/>
          <w:lang w:val="en-GB"/>
        </w:rPr>
        <w:t xml:space="preserve"> Corporation (SNDK), SBA Communications (SBAC), Schlumberger (SLB), Seagate Technology (STX), Sempra (SRE), ServiceNow (NOW), Sherwin-Williams (SHW), Simon Property Group (SPG), Skyworks Solutions (SWKS), J.M. Smucker (SJM), Smurfit WestRock (SW), Snap-on (SNA), </w:t>
      </w:r>
      <w:proofErr w:type="spellStart"/>
      <w:r w:rsidRPr="000250FE">
        <w:rPr>
          <w:rFonts w:ascii="Times New Roman" w:hAnsi="Times New Roman" w:cs="Times New Roman"/>
          <w:i/>
          <w:iCs/>
          <w:sz w:val="24"/>
          <w:szCs w:val="24"/>
          <w:lang w:val="en-GB"/>
        </w:rPr>
        <w:t>Solventum</w:t>
      </w:r>
      <w:proofErr w:type="spellEnd"/>
      <w:r w:rsidRPr="000250FE">
        <w:rPr>
          <w:rFonts w:ascii="Times New Roman" w:hAnsi="Times New Roman" w:cs="Times New Roman"/>
          <w:i/>
          <w:iCs/>
          <w:sz w:val="24"/>
          <w:szCs w:val="24"/>
          <w:lang w:val="en-GB"/>
        </w:rPr>
        <w:t xml:space="preserve"> (SOLV), Southern Company (SO), Southwest Airlines (LUV), Stanley Black &amp; Decker (SWK), Starbucks (SBUX), State Street (STT), Steel Dynamics (STLD), Steris (STE), Stryker (SYK), Super Micro Computer (SMCI), Synchrony Financial (SYF), Synopsys (SNPS), Sysco (SYY), T-Mobile US (TMUS), T. Rowe Price (TROW), Take-Two Interactive (TTWO), Tapestry (TPR), Targa Resources (TRGP), Target (TGT), TE Connectivity (TEL), Teledyne Technologies (TDY), Teradyne (TER), Tesla (TSLA), Texas Instruments (TXN), Texas Pacific Land (TPL), Textron (TXT), </w:t>
      </w:r>
      <w:proofErr w:type="spellStart"/>
      <w:r w:rsidRPr="000250FE">
        <w:rPr>
          <w:rFonts w:ascii="Times New Roman" w:hAnsi="Times New Roman" w:cs="Times New Roman"/>
          <w:i/>
          <w:iCs/>
          <w:sz w:val="24"/>
          <w:szCs w:val="24"/>
          <w:lang w:val="en-GB"/>
        </w:rPr>
        <w:t>Thermo</w:t>
      </w:r>
      <w:proofErr w:type="spellEnd"/>
      <w:r w:rsidRPr="000250FE">
        <w:rPr>
          <w:rFonts w:ascii="Times New Roman" w:hAnsi="Times New Roman" w:cs="Times New Roman"/>
          <w:i/>
          <w:iCs/>
          <w:sz w:val="24"/>
          <w:szCs w:val="24"/>
          <w:lang w:val="en-GB"/>
        </w:rPr>
        <w:t xml:space="preserve"> Fisher Scientific (TMO), TJX Companies (TJX), TKO Group Holdings (TKO), Trade Desk (TTD), Tractor Supply (TSCO), Trane Technologies (TT), TransDigm Group (TDG), Travelers (TRV), Trimble (TRMB), Truist Financial (TFC), Tyler Technologies (TYL), Tyson Foods (TSN), U.S. Bancorp (USB), Uber Technologies (UBER), UDR Inc. (UDR), Ulta Beauty (ULTA), Union Pacific (UNP), United Airlines Holdings (UAL), United Parcel Service (UPS), United Rentals (URI), UnitedHealth Group (UNH), Universal Health Services (UHS), Valero Energy (VLO), Ventas (VTR), </w:t>
      </w:r>
      <w:proofErr w:type="spellStart"/>
      <w:r w:rsidRPr="000250FE">
        <w:rPr>
          <w:rFonts w:ascii="Times New Roman" w:hAnsi="Times New Roman" w:cs="Times New Roman"/>
          <w:i/>
          <w:iCs/>
          <w:sz w:val="24"/>
          <w:szCs w:val="24"/>
          <w:lang w:val="en-GB"/>
        </w:rPr>
        <w:t>Veralto</w:t>
      </w:r>
      <w:proofErr w:type="spellEnd"/>
      <w:r w:rsidRPr="000250FE">
        <w:rPr>
          <w:rFonts w:ascii="Times New Roman" w:hAnsi="Times New Roman" w:cs="Times New Roman"/>
          <w:i/>
          <w:iCs/>
          <w:sz w:val="24"/>
          <w:szCs w:val="24"/>
          <w:lang w:val="en-GB"/>
        </w:rPr>
        <w:t xml:space="preserve"> (VLTO), VeriSign (VRSN), Verisk Analytics (VRSK), Verizon (VZ), Vertex Pharmaceuticals (VRTX), Viatris (VTRS), VICI Properties (VICI), Visa (V), Vistra (VST), Vulcan Materials (VMC), W. R. Berkley (WRB), W.W. Grainger (GWW), Wabtec (WAB), Walmart (WMT), Walt Disney (DIS), Warner Bros. Discovery (WBD), Waste Management (WM), Waters Corporation (WAT), WEC Energy Group (WEC), Wells Fargo (WFC), Welltower (WELL), West Pharmaceutical Services (WST), Western Digital </w:t>
      </w:r>
      <w:r w:rsidRPr="000250FE">
        <w:rPr>
          <w:rFonts w:ascii="Times New Roman" w:hAnsi="Times New Roman" w:cs="Times New Roman"/>
          <w:i/>
          <w:iCs/>
          <w:sz w:val="24"/>
          <w:szCs w:val="24"/>
          <w:lang w:val="en-GB"/>
        </w:rPr>
        <w:lastRenderedPageBreak/>
        <w:t>(WDC), Weyerhaeuser (WY), Williams-Sonoma (WSM), Williams Companies (WMB), Willis Towers Watson (WTW), Workday (WDAY), Wynn Resorts (WYNN), Xcel Energy (XEL), Xylem (XYL), Yum! Brands (YUM), Zebra Technologies (ZBRA), Zimmer Biomet (ZBH), Zoetis (ZTS).</w:t>
      </w:r>
    </w:p>
    <w:p w14:paraId="672C937C" w14:textId="77777777" w:rsidR="00CC2F1A" w:rsidRPr="000250FE" w:rsidRDefault="00CC2F1A" w:rsidP="000250FE">
      <w:pPr>
        <w:jc w:val="both"/>
        <w:rPr>
          <w:rFonts w:ascii="Times New Roman" w:hAnsi="Times New Roman" w:cs="Times New Roman"/>
          <w:i/>
          <w:iCs/>
          <w:sz w:val="24"/>
          <w:szCs w:val="24"/>
          <w:lang w:val="en-GB"/>
        </w:rPr>
      </w:pPr>
      <w:r w:rsidRPr="000250FE">
        <w:rPr>
          <w:rFonts w:ascii="Times New Roman" w:hAnsi="Times New Roman" w:cs="Times New Roman"/>
          <w:i/>
          <w:iCs/>
          <w:sz w:val="24"/>
          <w:szCs w:val="24"/>
          <w:lang w:val="en-GB"/>
        </w:rPr>
        <w:t>Recommend the three stocks that are most likely to outperform the S&amp;P 500 index over the current U.S. trading day, defined as the return between the market open and the market close of today’s trading session.</w:t>
      </w:r>
      <w:r w:rsidRPr="000250FE">
        <w:rPr>
          <w:rFonts w:ascii="Times New Roman" w:hAnsi="Times New Roman" w:cs="Times New Roman"/>
          <w:sz w:val="24"/>
          <w:szCs w:val="24"/>
          <w:lang w:val="en-GB"/>
        </w:rPr>
        <w:t xml:space="preserve"> </w:t>
      </w:r>
    </w:p>
    <w:p w14:paraId="3422F6C8" w14:textId="77777777" w:rsidR="00CC2F1A" w:rsidRPr="000250FE" w:rsidRDefault="00CC2F1A" w:rsidP="000250FE">
      <w:pPr>
        <w:jc w:val="both"/>
        <w:rPr>
          <w:rFonts w:ascii="Times New Roman" w:hAnsi="Times New Roman" w:cs="Times New Roman"/>
          <w:i/>
          <w:iCs/>
          <w:sz w:val="24"/>
          <w:szCs w:val="24"/>
          <w:lang w:val="en-GB"/>
        </w:rPr>
      </w:pPr>
      <w:r w:rsidRPr="000250FE">
        <w:rPr>
          <w:rFonts w:ascii="Times New Roman" w:hAnsi="Times New Roman" w:cs="Times New Roman"/>
          <w:i/>
          <w:iCs/>
          <w:sz w:val="24"/>
          <w:szCs w:val="24"/>
          <w:lang w:val="en-GB"/>
        </w:rPr>
        <w:t>List the stocks in descending order of likelihood to outperform the S&amp;P 500 (from most likely to least likely) and assign an explicit rank (1 = most likely, 3 = least likely).</w:t>
      </w:r>
    </w:p>
    <w:p w14:paraId="3C621E5D" w14:textId="77777777" w:rsidR="00CC2F1A" w:rsidRPr="000250FE" w:rsidRDefault="00CC2F1A" w:rsidP="000250FE">
      <w:pPr>
        <w:jc w:val="both"/>
        <w:rPr>
          <w:rFonts w:ascii="Times New Roman" w:hAnsi="Times New Roman" w:cs="Times New Roman"/>
          <w:i/>
          <w:iCs/>
          <w:sz w:val="24"/>
          <w:szCs w:val="24"/>
          <w:lang w:val="en-GB"/>
        </w:rPr>
      </w:pPr>
      <w:r w:rsidRPr="000250FE">
        <w:rPr>
          <w:rFonts w:ascii="Times New Roman" w:hAnsi="Times New Roman" w:cs="Times New Roman"/>
          <w:i/>
          <w:iCs/>
          <w:sz w:val="24"/>
          <w:szCs w:val="24"/>
          <w:lang w:val="en-GB"/>
        </w:rPr>
        <w:t>For each stock, indicate whether you expect today’s return (open-to-close) to be Positive or Negative.</w:t>
      </w:r>
    </w:p>
    <w:p w14:paraId="1B33A91C" w14:textId="77777777" w:rsidR="00CC2F1A" w:rsidRPr="000250FE" w:rsidRDefault="00CC2F1A" w:rsidP="000250FE">
      <w:pPr>
        <w:jc w:val="both"/>
        <w:rPr>
          <w:rFonts w:ascii="Times New Roman" w:hAnsi="Times New Roman" w:cs="Times New Roman"/>
          <w:i/>
          <w:iCs/>
          <w:sz w:val="24"/>
          <w:szCs w:val="24"/>
          <w:lang w:val="en-GB"/>
        </w:rPr>
      </w:pPr>
      <w:r w:rsidRPr="000250FE">
        <w:rPr>
          <w:rFonts w:ascii="Times New Roman" w:hAnsi="Times New Roman" w:cs="Times New Roman"/>
          <w:i/>
          <w:iCs/>
          <w:sz w:val="24"/>
          <w:szCs w:val="24"/>
          <w:lang w:val="en-GB"/>
        </w:rPr>
        <w:t>Base your answer only on publicly available information and general financial reasoning.</w:t>
      </w:r>
    </w:p>
    <w:p w14:paraId="27EB4A0D" w14:textId="77777777" w:rsidR="00CC2F1A" w:rsidRPr="000250FE" w:rsidRDefault="00CC2F1A" w:rsidP="000250FE">
      <w:pPr>
        <w:jc w:val="both"/>
        <w:rPr>
          <w:rFonts w:ascii="Times New Roman" w:hAnsi="Times New Roman" w:cs="Times New Roman"/>
          <w:i/>
          <w:iCs/>
          <w:sz w:val="24"/>
          <w:szCs w:val="24"/>
          <w:lang w:val="en-GB"/>
        </w:rPr>
      </w:pPr>
      <w:r w:rsidRPr="000250FE">
        <w:rPr>
          <w:rFonts w:ascii="Times New Roman" w:hAnsi="Times New Roman" w:cs="Times New Roman"/>
          <w:i/>
          <w:iCs/>
          <w:sz w:val="24"/>
          <w:szCs w:val="24"/>
          <w:lang w:val="en-GB"/>
        </w:rPr>
        <w:t>Do not provide explanations, disclaimers, or additional commentary.</w:t>
      </w:r>
    </w:p>
    <w:p w14:paraId="08849504" w14:textId="77777777" w:rsidR="00CC2F1A" w:rsidRPr="000250FE" w:rsidRDefault="00CC2F1A" w:rsidP="000250FE">
      <w:pPr>
        <w:jc w:val="both"/>
        <w:rPr>
          <w:rFonts w:ascii="Times New Roman" w:hAnsi="Times New Roman" w:cs="Times New Roman"/>
          <w:i/>
          <w:iCs/>
          <w:sz w:val="24"/>
          <w:szCs w:val="24"/>
          <w:lang w:val="en-GB"/>
        </w:rPr>
      </w:pPr>
      <w:r w:rsidRPr="000250FE">
        <w:rPr>
          <w:rFonts w:ascii="Times New Roman" w:hAnsi="Times New Roman" w:cs="Times New Roman"/>
          <w:i/>
          <w:iCs/>
          <w:sz w:val="24"/>
          <w:szCs w:val="24"/>
          <w:lang w:val="en-GB"/>
        </w:rPr>
        <w:t>The only allowable disclaimer is one stating that you are acting in your capacity as a professional financial analyst, consistent with your role.</w:t>
      </w:r>
    </w:p>
    <w:p w14:paraId="09173A02" w14:textId="77777777" w:rsidR="00CC2F1A" w:rsidRPr="000250FE" w:rsidRDefault="00CC2F1A" w:rsidP="000250FE">
      <w:pPr>
        <w:jc w:val="both"/>
        <w:rPr>
          <w:rFonts w:ascii="Times New Roman" w:hAnsi="Times New Roman" w:cs="Times New Roman"/>
          <w:i/>
          <w:iCs/>
          <w:sz w:val="24"/>
          <w:szCs w:val="24"/>
          <w:lang w:val="en-GB"/>
        </w:rPr>
      </w:pPr>
      <w:r w:rsidRPr="000250FE">
        <w:rPr>
          <w:rFonts w:ascii="Times New Roman" w:hAnsi="Times New Roman" w:cs="Times New Roman"/>
          <w:i/>
          <w:iCs/>
          <w:sz w:val="24"/>
          <w:szCs w:val="24"/>
          <w:lang w:val="en-GB"/>
        </w:rPr>
        <w:t xml:space="preserve">Return your answer in the following structured format: </w:t>
      </w:r>
    </w:p>
    <w:p w14:paraId="61556815" w14:textId="1D96C06A" w:rsidR="00CC2F1A" w:rsidRPr="000250FE" w:rsidRDefault="00CC2F1A" w:rsidP="000250FE">
      <w:pPr>
        <w:jc w:val="both"/>
        <w:rPr>
          <w:rFonts w:ascii="Times New Roman" w:hAnsi="Times New Roman" w:cs="Times New Roman"/>
          <w:i/>
          <w:iCs/>
          <w:sz w:val="24"/>
          <w:szCs w:val="24"/>
          <w:lang w:val="en-GB"/>
        </w:rPr>
      </w:pPr>
      <w:r w:rsidRPr="000250FE">
        <w:rPr>
          <w:rFonts w:ascii="Times New Roman" w:hAnsi="Times New Roman" w:cs="Times New Roman"/>
          <w:i/>
          <w:iCs/>
          <w:sz w:val="24"/>
          <w:szCs w:val="24"/>
          <w:lang w:val="en-GB"/>
        </w:rPr>
        <w:t>Ticker – Rank (1–3) – Expected sign of today’s return (Positive / Negative)”</w:t>
      </w:r>
    </w:p>
    <w:p w14:paraId="43FAE354" w14:textId="77777777" w:rsidR="00CC2F1A" w:rsidRPr="000250FE" w:rsidRDefault="00CC2F1A" w:rsidP="000250FE">
      <w:pPr>
        <w:jc w:val="both"/>
        <w:rPr>
          <w:rFonts w:ascii="Times New Roman" w:hAnsi="Times New Roman" w:cs="Times New Roman"/>
          <w:sz w:val="24"/>
          <w:szCs w:val="24"/>
        </w:rPr>
      </w:pPr>
      <w:r w:rsidRPr="000250FE">
        <w:rPr>
          <w:rFonts w:ascii="Times New Roman" w:hAnsi="Times New Roman" w:cs="Times New Roman"/>
          <w:i/>
          <w:iCs/>
          <w:sz w:val="24"/>
          <w:szCs w:val="24"/>
        </w:rPr>
        <w:t>Nota.</w:t>
      </w:r>
      <w:r w:rsidRPr="000250FE">
        <w:rPr>
          <w:rFonts w:ascii="Times New Roman" w:hAnsi="Times New Roman" w:cs="Times New Roman"/>
          <w:sz w:val="24"/>
          <w:szCs w:val="24"/>
        </w:rPr>
        <w:t xml:space="preserve"> L’universo investibile include esclusivamente i constituent dello S&amp;P 500 disponibili alla data dell’interrogazione. La lista completa dei titoli non viene riportata integralmente per ragioni di leggibilità editoriale.</w:t>
      </w:r>
    </w:p>
    <w:p w14:paraId="7468A971" w14:textId="06B7528B" w:rsidR="00CC2F1A" w:rsidRPr="000250FE" w:rsidRDefault="00CC2F1A" w:rsidP="000250FE">
      <w:pPr>
        <w:jc w:val="both"/>
        <w:rPr>
          <w:rFonts w:ascii="Times New Roman" w:hAnsi="Times New Roman" w:cs="Times New Roman"/>
          <w:b/>
          <w:bCs/>
          <w:sz w:val="24"/>
          <w:szCs w:val="24"/>
        </w:rPr>
      </w:pPr>
      <w:r w:rsidRPr="000250FE">
        <w:rPr>
          <w:rFonts w:ascii="Times New Roman" w:hAnsi="Times New Roman" w:cs="Times New Roman"/>
          <w:b/>
          <w:bCs/>
          <w:sz w:val="24"/>
          <w:szCs w:val="24"/>
        </w:rPr>
        <w:t>A.2 Prompt per le previsioni quantitative di prezzo</w:t>
      </w:r>
    </w:p>
    <w:p w14:paraId="6E394916" w14:textId="77777777" w:rsidR="00CC2F1A" w:rsidRPr="000250FE" w:rsidRDefault="00CC2F1A" w:rsidP="000250FE">
      <w:pPr>
        <w:jc w:val="both"/>
        <w:rPr>
          <w:rFonts w:ascii="Times New Roman" w:hAnsi="Times New Roman" w:cs="Times New Roman"/>
          <w:sz w:val="24"/>
          <w:szCs w:val="24"/>
        </w:rPr>
      </w:pPr>
      <w:r w:rsidRPr="000250FE">
        <w:rPr>
          <w:rFonts w:ascii="Times New Roman" w:hAnsi="Times New Roman" w:cs="Times New Roman"/>
          <w:sz w:val="24"/>
          <w:szCs w:val="24"/>
        </w:rPr>
        <w:t>Per l’analisi della magnitudine dei movimenti di mercato, ai modelli viene richiesto di fornire stime quantitative del prezzo di chiusura dei titoli selezionati.</w:t>
      </w:r>
    </w:p>
    <w:p w14:paraId="546BA597" w14:textId="13EA67D5" w:rsidR="00CC2F1A" w:rsidRPr="000250FE" w:rsidRDefault="004335F1" w:rsidP="000250FE">
      <w:pPr>
        <w:jc w:val="both"/>
        <w:rPr>
          <w:rFonts w:ascii="Times New Roman" w:hAnsi="Times New Roman" w:cs="Times New Roman"/>
          <w:b/>
          <w:bCs/>
          <w:lang w:val="en-GB"/>
        </w:rPr>
      </w:pPr>
      <w:r w:rsidRPr="000250FE">
        <w:rPr>
          <w:rFonts w:ascii="Times New Roman" w:hAnsi="Times New Roman" w:cs="Times New Roman"/>
          <w:i/>
          <w:iCs/>
          <w:lang w:val="en-GB"/>
        </w:rPr>
        <w:t>“</w:t>
      </w:r>
      <w:r w:rsidR="00CC2F1A" w:rsidRPr="000250FE">
        <w:rPr>
          <w:rFonts w:ascii="Times New Roman" w:hAnsi="Times New Roman" w:cs="Times New Roman"/>
          <w:i/>
          <w:iCs/>
          <w:lang w:val="en-GB"/>
        </w:rPr>
        <w:t>For each of the following stocks, provide your best point estimate of the closing price at the end of the next U.S. trading day, defined as the market close following today’s close.</w:t>
      </w:r>
    </w:p>
    <w:p w14:paraId="40BC86E5" w14:textId="77777777" w:rsidR="00CC2F1A" w:rsidRPr="000250FE" w:rsidRDefault="00CC2F1A" w:rsidP="000250FE">
      <w:pPr>
        <w:jc w:val="both"/>
        <w:rPr>
          <w:rFonts w:ascii="Times New Roman" w:hAnsi="Times New Roman" w:cs="Times New Roman"/>
          <w:i/>
          <w:iCs/>
          <w:lang w:val="en-GB"/>
        </w:rPr>
      </w:pPr>
      <w:r w:rsidRPr="000250FE">
        <w:rPr>
          <w:rFonts w:ascii="Times New Roman" w:hAnsi="Times New Roman" w:cs="Times New Roman"/>
          <w:i/>
          <w:iCs/>
          <w:lang w:val="en-GB"/>
        </w:rPr>
        <w:t>Provide a single point estimate for each stock.</w:t>
      </w:r>
    </w:p>
    <w:p w14:paraId="1B8FCE65" w14:textId="09E7D96F" w:rsidR="00CC2F1A" w:rsidRPr="000250FE" w:rsidRDefault="00CC2F1A" w:rsidP="000250FE">
      <w:pPr>
        <w:jc w:val="both"/>
        <w:rPr>
          <w:rFonts w:ascii="Times New Roman" w:hAnsi="Times New Roman" w:cs="Times New Roman"/>
          <w:i/>
          <w:iCs/>
          <w:lang w:val="en-GB"/>
        </w:rPr>
      </w:pPr>
      <w:r w:rsidRPr="000250FE">
        <w:rPr>
          <w:rFonts w:ascii="Times New Roman" w:hAnsi="Times New Roman" w:cs="Times New Roman"/>
          <w:i/>
          <w:iCs/>
          <w:lang w:val="en-GB"/>
        </w:rPr>
        <w:t>Do not include explanations or confidence intervals.</w:t>
      </w:r>
      <w:r w:rsidR="004335F1" w:rsidRPr="000250FE">
        <w:rPr>
          <w:rFonts w:ascii="Times New Roman" w:hAnsi="Times New Roman" w:cs="Times New Roman"/>
          <w:i/>
          <w:iCs/>
          <w:lang w:val="en-GB"/>
        </w:rPr>
        <w:t>”</w:t>
      </w:r>
    </w:p>
    <w:p w14:paraId="1D916AB6" w14:textId="0F6B185C" w:rsidR="00CC2F1A" w:rsidRPr="000250FE" w:rsidRDefault="00CC2F1A" w:rsidP="000250FE">
      <w:pPr>
        <w:jc w:val="both"/>
        <w:rPr>
          <w:rFonts w:ascii="Times New Roman" w:hAnsi="Times New Roman" w:cs="Times New Roman"/>
          <w:sz w:val="24"/>
          <w:szCs w:val="24"/>
        </w:rPr>
      </w:pPr>
      <w:r w:rsidRPr="000250FE">
        <w:rPr>
          <w:rFonts w:ascii="Times New Roman" w:hAnsi="Times New Roman" w:cs="Times New Roman"/>
          <w:i/>
          <w:iCs/>
          <w:sz w:val="24"/>
          <w:szCs w:val="24"/>
        </w:rPr>
        <w:t xml:space="preserve">Nota. </w:t>
      </w:r>
      <w:r w:rsidRPr="000250FE">
        <w:rPr>
          <w:rFonts w:ascii="Times New Roman" w:hAnsi="Times New Roman" w:cs="Times New Roman"/>
          <w:sz w:val="24"/>
          <w:szCs w:val="24"/>
        </w:rPr>
        <w:t>Le previsioni di prezzo vengono successivamente trasformate in rendimenti previsti impliciti e confrontate con i rendimenti open-to-close effettivamente osservati nel corso della giornata di trading.</w:t>
      </w:r>
    </w:p>
    <w:p w14:paraId="7A8FD8EC" w14:textId="5B031FAC" w:rsidR="00CC2F1A" w:rsidRPr="000250FE" w:rsidRDefault="00CC2F1A" w:rsidP="000250FE">
      <w:pPr>
        <w:jc w:val="both"/>
        <w:rPr>
          <w:rFonts w:ascii="Times New Roman" w:hAnsi="Times New Roman" w:cs="Times New Roman"/>
          <w:b/>
          <w:bCs/>
          <w:sz w:val="24"/>
          <w:szCs w:val="24"/>
        </w:rPr>
      </w:pPr>
      <w:r w:rsidRPr="000250FE">
        <w:rPr>
          <w:rFonts w:ascii="Times New Roman" w:hAnsi="Times New Roman" w:cs="Times New Roman"/>
          <w:b/>
          <w:bCs/>
          <w:sz w:val="24"/>
          <w:szCs w:val="24"/>
        </w:rPr>
        <w:t>A.3 Prompt per la selezione short dei titoli</w:t>
      </w:r>
    </w:p>
    <w:p w14:paraId="7B81E1EC" w14:textId="77777777" w:rsidR="00CC2F1A" w:rsidRPr="000250FE" w:rsidRDefault="00CC2F1A" w:rsidP="000250FE">
      <w:pPr>
        <w:jc w:val="both"/>
        <w:rPr>
          <w:rFonts w:ascii="Times New Roman" w:hAnsi="Times New Roman" w:cs="Times New Roman"/>
          <w:sz w:val="24"/>
          <w:szCs w:val="24"/>
        </w:rPr>
      </w:pPr>
      <w:r w:rsidRPr="000250FE">
        <w:rPr>
          <w:rFonts w:ascii="Times New Roman" w:hAnsi="Times New Roman" w:cs="Times New Roman"/>
          <w:sz w:val="24"/>
          <w:szCs w:val="24"/>
        </w:rPr>
        <w:t>Il seguente prompt viene utilizzato per identificare i titoli con maggiore probabilità di sottoperformare il mercato nel corso della sessione di trading.</w:t>
      </w:r>
    </w:p>
    <w:p w14:paraId="6F958180" w14:textId="1CB882ED" w:rsidR="00CC2F1A" w:rsidRPr="000250FE" w:rsidRDefault="004335F1" w:rsidP="000250FE">
      <w:pPr>
        <w:jc w:val="both"/>
        <w:rPr>
          <w:rFonts w:ascii="Times New Roman" w:hAnsi="Times New Roman" w:cs="Times New Roman"/>
          <w:i/>
          <w:iCs/>
          <w:lang w:val="en-GB"/>
        </w:rPr>
      </w:pPr>
      <w:r w:rsidRPr="000250FE">
        <w:rPr>
          <w:rFonts w:ascii="Times New Roman" w:hAnsi="Times New Roman" w:cs="Times New Roman"/>
          <w:i/>
          <w:iCs/>
          <w:lang w:val="en-GB"/>
        </w:rPr>
        <w:t>“</w:t>
      </w:r>
      <w:r w:rsidR="00CC2F1A" w:rsidRPr="000250FE">
        <w:rPr>
          <w:rFonts w:ascii="Times New Roman" w:hAnsi="Times New Roman" w:cs="Times New Roman"/>
          <w:i/>
          <w:iCs/>
          <w:lang w:val="en-GB"/>
        </w:rPr>
        <w:t>Now consider a separate and independent task, without reusing or conditioning on the stocks mentioned in your previous answers.</w:t>
      </w:r>
    </w:p>
    <w:p w14:paraId="5595F60C" w14:textId="77777777" w:rsidR="00CC2F1A" w:rsidRPr="000250FE" w:rsidRDefault="00CC2F1A" w:rsidP="000250FE">
      <w:pPr>
        <w:jc w:val="both"/>
        <w:rPr>
          <w:rFonts w:ascii="Times New Roman" w:hAnsi="Times New Roman" w:cs="Times New Roman"/>
          <w:i/>
          <w:iCs/>
          <w:lang w:val="en-GB"/>
        </w:rPr>
      </w:pPr>
      <w:r w:rsidRPr="000250FE">
        <w:rPr>
          <w:rFonts w:ascii="Times New Roman" w:hAnsi="Times New Roman" w:cs="Times New Roman"/>
          <w:i/>
          <w:iCs/>
          <w:lang w:val="en-GB"/>
        </w:rPr>
        <w:t>Your selection universe is strictly limited to the following current constituents of the S&amp;P 500:</w:t>
      </w:r>
    </w:p>
    <w:p w14:paraId="750D0F96" w14:textId="77777777" w:rsidR="00CC2F1A" w:rsidRPr="000250FE" w:rsidRDefault="00CC2F1A" w:rsidP="000250FE">
      <w:pPr>
        <w:jc w:val="both"/>
        <w:rPr>
          <w:rFonts w:ascii="Times New Roman" w:hAnsi="Times New Roman" w:cs="Times New Roman"/>
          <w:i/>
          <w:iCs/>
          <w:lang w:val="en-GB"/>
        </w:rPr>
      </w:pPr>
      <w:r w:rsidRPr="000250FE">
        <w:rPr>
          <w:rFonts w:ascii="Times New Roman" w:hAnsi="Times New Roman" w:cs="Times New Roman"/>
          <w:i/>
          <w:iCs/>
          <w:lang w:val="en-GB"/>
        </w:rPr>
        <w:t xml:space="preserve">3M (MMM), A. O. Smith (AOS), Abbott Laboratories (ABT), AbbVie (ABBV), Accenture (ACN), Adobe Inc. (ADBE), Advanced Micro Devices (AMD), AES Corporation (AES), Aflac (AFL), Agilent </w:t>
      </w:r>
      <w:r w:rsidRPr="000250FE">
        <w:rPr>
          <w:rFonts w:ascii="Times New Roman" w:hAnsi="Times New Roman" w:cs="Times New Roman"/>
          <w:i/>
          <w:iCs/>
          <w:lang w:val="en-GB"/>
        </w:rPr>
        <w:lastRenderedPageBreak/>
        <w:t xml:space="preserve">Technologies (A), Air Products and Chemicals (APD), Airbnb (ABNB), Akamai Technologies (AKAM), Albemarle Corporation (ALB), Alexandria Real Estate Equities (ARE), Align Technology (ALGN), Allegion (ALLE), Alliant Energy (LNT), Allstate (ALL), Alphabet Inc. Class A (GOOGL), Alphabet Inc. Class C (GOOG), Altria Group (MO), Amazon.com (AMZN), Amcor (AMCR), Ameren (AEE), American Electric Power (AEP), American Express (AXP), American International Group (AIG), American Tower (AMT), American Water Works (AWK), Ameriprise Financial (AMP), AMETEK (AME), Amgen (AMGN), Amphenol (APH), Analog Devices (ADI), Aon (AON), APA Corporation (APA), Apollo Global Management (APO), Apple Inc. (AAPL), Applied Materials (AMAT), AppLovin (APP), Aptiv (APTV), Arch Capital Group (ACGL), Archer-Daniels-Midland (ADM), Ares Management (ARES), Arista Networks (ANET), Arthur J. Gallagher &amp; Co. (AJG), Assurant (AIZ), AT&amp;T (T), Atmos Energy (ATO), Autodesk (ADSK), Automatic Data Processing (ADP), AutoZone (AZO), AvalonBay Communities (AVB), Avery Dennison (AVY), Axon Enterprise (AXON), Baker Hughes (BKR), Ball Corporation (BALL), Bank of America (BAC), Baxter International (BAX), Becton Dickinson (BDX), Berkshire Hathaway Class B (BRK.B), Best Buy (BBY), Bio-Techne (TECH), Biogen (BIIB), BlackRock (BLK), Blackstone (BX), Block Inc. (XYZ), Bank of New York Mellon (BK), Boeing (BA), Booking Holdings (BKNG), Boston Scientific (BSX), Bristol-Myers Squibb (BMY), Broadcom (AVGO), Brown &amp; Brown (BRO), Brown-Forman Class B (BF.B), Builders FirstSource (BLDR), Bunge Global (BG), Boston Properties (BXP), C.H. Robinson (CHRW), Cadence Design Systems (CDNS), Camden Property Trust (CPT), Campbell’s Company (CPB), Capital One Financial (COF), Cardinal Health (CAH), Carnival Corporation (CCL), Carrier Global (CARR), Carvana (CVNA), Caterpillar (CAT), </w:t>
      </w:r>
      <w:proofErr w:type="spellStart"/>
      <w:r w:rsidRPr="000250FE">
        <w:rPr>
          <w:rFonts w:ascii="Times New Roman" w:hAnsi="Times New Roman" w:cs="Times New Roman"/>
          <w:i/>
          <w:iCs/>
          <w:lang w:val="en-GB"/>
        </w:rPr>
        <w:t>Cboe</w:t>
      </w:r>
      <w:proofErr w:type="spellEnd"/>
      <w:r w:rsidRPr="000250FE">
        <w:rPr>
          <w:rFonts w:ascii="Times New Roman" w:hAnsi="Times New Roman" w:cs="Times New Roman"/>
          <w:i/>
          <w:iCs/>
          <w:lang w:val="en-GB"/>
        </w:rPr>
        <w:t xml:space="preserve"> Global Markets (CBOE), CBRE Group (CBRE), CDW Corporation (CDW), </w:t>
      </w:r>
      <w:proofErr w:type="spellStart"/>
      <w:r w:rsidRPr="000250FE">
        <w:rPr>
          <w:rFonts w:ascii="Times New Roman" w:hAnsi="Times New Roman" w:cs="Times New Roman"/>
          <w:i/>
          <w:iCs/>
          <w:lang w:val="en-GB"/>
        </w:rPr>
        <w:t>Cencora</w:t>
      </w:r>
      <w:proofErr w:type="spellEnd"/>
      <w:r w:rsidRPr="000250FE">
        <w:rPr>
          <w:rFonts w:ascii="Times New Roman" w:hAnsi="Times New Roman" w:cs="Times New Roman"/>
          <w:i/>
          <w:iCs/>
          <w:lang w:val="en-GB"/>
        </w:rPr>
        <w:t xml:space="preserve"> (COR), Centene (CNC), CenterPoint Energy (CNP), CF Industries (CF), Charles River Laboratories (CRL), Charles Schwab (SCHW), Charter Communications (CHTR), Chevron (CVX), Chipotle Mexican Grill (CMG), Chubb Limited (CB), Church &amp; Dwight (CHD), Ciena (CIEN), Cigna Group (CI), Cincinnati Financial (CINF), Cintas (CTAS), Cisco Systems (CSCO), Citigroup (C), Citizens Financial Group (CFG), Clorox (CLX), CME Group (CME), CMS Energy (CMS), Coca-Cola Company (KO), Cognizant (CTSH), Coinbase Global (COIN), Colgate-Palmolive (CL), Comcast (CMCSA), Comfort Systems USA (FIX), Conagra Brands (CAG), ConocoPhillips (COP), Consolidated Edison (ED), Constellation Brands (STZ), Constellation Energy (CEG), Cooper Companies (COO), Copart (CPRT), Corning (GLW), </w:t>
      </w:r>
      <w:proofErr w:type="spellStart"/>
      <w:r w:rsidRPr="000250FE">
        <w:rPr>
          <w:rFonts w:ascii="Times New Roman" w:hAnsi="Times New Roman" w:cs="Times New Roman"/>
          <w:i/>
          <w:iCs/>
          <w:lang w:val="en-GB"/>
        </w:rPr>
        <w:t>Corpay</w:t>
      </w:r>
      <w:proofErr w:type="spellEnd"/>
      <w:r w:rsidRPr="000250FE">
        <w:rPr>
          <w:rFonts w:ascii="Times New Roman" w:hAnsi="Times New Roman" w:cs="Times New Roman"/>
          <w:i/>
          <w:iCs/>
          <w:lang w:val="en-GB"/>
        </w:rPr>
        <w:t xml:space="preserve"> (CPAY), Corteva (CTVA), CoStar Group (CSGP), Costco Wholesale (COST), </w:t>
      </w:r>
      <w:proofErr w:type="spellStart"/>
      <w:r w:rsidRPr="000250FE">
        <w:rPr>
          <w:rFonts w:ascii="Times New Roman" w:hAnsi="Times New Roman" w:cs="Times New Roman"/>
          <w:i/>
          <w:iCs/>
          <w:lang w:val="en-GB"/>
        </w:rPr>
        <w:t>Coterra</w:t>
      </w:r>
      <w:proofErr w:type="spellEnd"/>
      <w:r w:rsidRPr="000250FE">
        <w:rPr>
          <w:rFonts w:ascii="Times New Roman" w:hAnsi="Times New Roman" w:cs="Times New Roman"/>
          <w:i/>
          <w:iCs/>
          <w:lang w:val="en-GB"/>
        </w:rPr>
        <w:t xml:space="preserve"> Energy (CTRA), CRH plc (CRH), CrowdStrike (CRWD), Crown Castle (CCI), CSX Corporation (CSX), Cummins (CMI), CVS Health (CVS), Danaher (DHR), Darden Restaurants (DRI), Datadog (DDOG), DaVita (DVA), Deckers Outdoor (DECK), Deere &amp; Company (DE), Dell Technologies (DELL), Delta Air Lines (DAL), Devon Energy (DVN), </w:t>
      </w:r>
      <w:proofErr w:type="spellStart"/>
      <w:r w:rsidRPr="000250FE">
        <w:rPr>
          <w:rFonts w:ascii="Times New Roman" w:hAnsi="Times New Roman" w:cs="Times New Roman"/>
          <w:i/>
          <w:iCs/>
          <w:lang w:val="en-GB"/>
        </w:rPr>
        <w:t>DexCom</w:t>
      </w:r>
      <w:proofErr w:type="spellEnd"/>
      <w:r w:rsidRPr="000250FE">
        <w:rPr>
          <w:rFonts w:ascii="Times New Roman" w:hAnsi="Times New Roman" w:cs="Times New Roman"/>
          <w:i/>
          <w:iCs/>
          <w:lang w:val="en-GB"/>
        </w:rPr>
        <w:t xml:space="preserve"> (DXCM), Diamondback Energy (FANG), Digital Realty (DLR), Dollar General (DG), Dollar Tree (DLTR), Dominion Energy (D), Domino’s Pizza (DPZ), DoorDash (DASH), Dover (DOV), Dow Inc. (DOW), D.R. Horton (DHI), DTE Energy (DTE), Duke Energy (DUK), DuPont (DD), Eaton (ETN), eBay (EBAY), Ecolab (ECL), Edison International (EIX), Edwards Lifesciences (EW), Electronic Arts (EA), Elevance Health (ELV), EMCOR Group (EME), Emerson Electric (EMR), Entergy (ETR), EOG Resources (EOG), EPAM Systems (EPAM), EQT Corporation (EQT), Equifax (EFX), Equinix (EQIX), Equity Residential (EQR), Erie Indemnity (ERIE), Essex Property Trust (ESS), Estee Lauder (EL), Everest Group (EG), </w:t>
      </w:r>
      <w:proofErr w:type="spellStart"/>
      <w:r w:rsidRPr="000250FE">
        <w:rPr>
          <w:rFonts w:ascii="Times New Roman" w:hAnsi="Times New Roman" w:cs="Times New Roman"/>
          <w:i/>
          <w:iCs/>
          <w:lang w:val="en-GB"/>
        </w:rPr>
        <w:t>Evergy</w:t>
      </w:r>
      <w:proofErr w:type="spellEnd"/>
      <w:r w:rsidRPr="000250FE">
        <w:rPr>
          <w:rFonts w:ascii="Times New Roman" w:hAnsi="Times New Roman" w:cs="Times New Roman"/>
          <w:i/>
          <w:iCs/>
          <w:lang w:val="en-GB"/>
        </w:rPr>
        <w:t xml:space="preserve"> (EVRG), Eversource Energy (ES), Exelon (EXC), Expand Energy (EXE), Expedia Group (EXPE), Expeditors International (EXPD), Extra Space Storage (EXR), Exxon Mobil (XOM), F5 (FFIV), FactSet (FDS), Fair Isaac Corporation (FICO), Fastenal (FAST), Federal Realty Investment Trust (FRT), FedEx (FDX), Fidelity National Information Services (FIS), Fifth Third Bancorp (FITB), First Solar (FSLR), FirstEnergy (FE), Fiserv (FISV), Ford Motor (F), Fortinet (FTNT), </w:t>
      </w:r>
      <w:proofErr w:type="spellStart"/>
      <w:r w:rsidRPr="000250FE">
        <w:rPr>
          <w:rFonts w:ascii="Times New Roman" w:hAnsi="Times New Roman" w:cs="Times New Roman"/>
          <w:i/>
          <w:iCs/>
          <w:lang w:val="en-GB"/>
        </w:rPr>
        <w:t>Fortive</w:t>
      </w:r>
      <w:proofErr w:type="spellEnd"/>
      <w:r w:rsidRPr="000250FE">
        <w:rPr>
          <w:rFonts w:ascii="Times New Roman" w:hAnsi="Times New Roman" w:cs="Times New Roman"/>
          <w:i/>
          <w:iCs/>
          <w:lang w:val="en-GB"/>
        </w:rPr>
        <w:t xml:space="preserve"> (FTV), Fox Corporation Class A (FOXA), Fox Corporation Class B (FOX), Franklin Resources (BEN), Freeport-McMoRan (FCX), Garmin (GRMN), Gartner (IT), GE Aerospace (GE), GE HealthCare (GEHC), GE </w:t>
      </w:r>
      <w:proofErr w:type="spellStart"/>
      <w:r w:rsidRPr="000250FE">
        <w:rPr>
          <w:rFonts w:ascii="Times New Roman" w:hAnsi="Times New Roman" w:cs="Times New Roman"/>
          <w:i/>
          <w:iCs/>
          <w:lang w:val="en-GB"/>
        </w:rPr>
        <w:t>Vernova</w:t>
      </w:r>
      <w:proofErr w:type="spellEnd"/>
      <w:r w:rsidRPr="000250FE">
        <w:rPr>
          <w:rFonts w:ascii="Times New Roman" w:hAnsi="Times New Roman" w:cs="Times New Roman"/>
          <w:i/>
          <w:iCs/>
          <w:lang w:val="en-GB"/>
        </w:rPr>
        <w:t xml:space="preserve"> (GEV), Gen Digital (GEN), Generac (GNRC), General Dynamics (GD), General Mills (GIS), General Motors (GM), Genuine Parts (GPC), Gilead Sciences (GILD), Global Payments (GPN), Globe Life (GL), GoDaddy (GDDY), Goldman Sachs (GS), Halliburton (HAL), Hartford Financial Services (HIG), Hasbro (HAS), HCA Healthcare (HCA), </w:t>
      </w:r>
      <w:proofErr w:type="spellStart"/>
      <w:r w:rsidRPr="000250FE">
        <w:rPr>
          <w:rFonts w:ascii="Times New Roman" w:hAnsi="Times New Roman" w:cs="Times New Roman"/>
          <w:i/>
          <w:iCs/>
          <w:lang w:val="en-GB"/>
        </w:rPr>
        <w:lastRenderedPageBreak/>
        <w:t>Healthpeak</w:t>
      </w:r>
      <w:proofErr w:type="spellEnd"/>
      <w:r w:rsidRPr="000250FE">
        <w:rPr>
          <w:rFonts w:ascii="Times New Roman" w:hAnsi="Times New Roman" w:cs="Times New Roman"/>
          <w:i/>
          <w:iCs/>
          <w:lang w:val="en-GB"/>
        </w:rPr>
        <w:t xml:space="preserve"> Properties (DOC), Henry Schein (HSIC), Hershey (HSY), Hewlett Packard Enterprise (HPE), Hilton Worldwide (HLT), Hologic (HOLX), Home Depot (HD), Honeywell (HON), Hormel Foods (HRL), Host Hotels &amp; Resorts (HST), Howmet Aerospace (HWM), HP Inc. (HPQ), Hubbell (HUBB), Humana (HUM), Huntington Bancshares (HBAN), Huntington Ingalls Industries (HII), IBM (IBM), IDEX Corporation (IEX), IDEXX Laboratories (IDXX), Illinois Tool Works (ITW), Incyte (INCY), Ingersoll Rand (IR), Insulet (PODD), Intel (INTC), Interactive Brokers (IBKR), Intercontinental Exchange (ICE), International Flavors &amp; Fragrances (IFF), International Paper (IP), Intuit (INTU), Intuitive Surgical (ISRG), Invesco (IVZ), Invitation Homes (INVH), IQVIA (IQV), Iron Mountain (IRM), J.B. Hunt Transport (JBHT), Jabil (JBL), Jack Henry &amp; Associates (JKHY), Jacobs Solutions (J), Johnson &amp; Johnson (JNJ), Johnson Controls (JCI), JPMorgan Chase (JPM), </w:t>
      </w:r>
      <w:proofErr w:type="spellStart"/>
      <w:r w:rsidRPr="000250FE">
        <w:rPr>
          <w:rFonts w:ascii="Times New Roman" w:hAnsi="Times New Roman" w:cs="Times New Roman"/>
          <w:i/>
          <w:iCs/>
          <w:lang w:val="en-GB"/>
        </w:rPr>
        <w:t>Kenvue</w:t>
      </w:r>
      <w:proofErr w:type="spellEnd"/>
      <w:r w:rsidRPr="000250FE">
        <w:rPr>
          <w:rFonts w:ascii="Times New Roman" w:hAnsi="Times New Roman" w:cs="Times New Roman"/>
          <w:i/>
          <w:iCs/>
          <w:lang w:val="en-GB"/>
        </w:rPr>
        <w:t xml:space="preserve"> (KVUE), Keurig Dr Pepper (KDP), KeyCorp (KEY), Keysight Technologies (KEYS), Kimberly-Clark (KMB), Kimco Realty (KIM), Kinder Morgan (KMI), KKR (KKR), KLA Corporation (KLAC), Kraft Heinz (KHC), Kroger (KR), L3Harris Technologies (LHX), </w:t>
      </w:r>
      <w:proofErr w:type="spellStart"/>
      <w:r w:rsidRPr="000250FE">
        <w:rPr>
          <w:rFonts w:ascii="Times New Roman" w:hAnsi="Times New Roman" w:cs="Times New Roman"/>
          <w:i/>
          <w:iCs/>
          <w:lang w:val="en-GB"/>
        </w:rPr>
        <w:t>Labcorp</w:t>
      </w:r>
      <w:proofErr w:type="spellEnd"/>
      <w:r w:rsidRPr="000250FE">
        <w:rPr>
          <w:rFonts w:ascii="Times New Roman" w:hAnsi="Times New Roman" w:cs="Times New Roman"/>
          <w:i/>
          <w:iCs/>
          <w:lang w:val="en-GB"/>
        </w:rPr>
        <w:t xml:space="preserve"> (LH), Lam Research (LRCX), Lamb Weston (LW), Las Vegas Sands (LVS), Leidos (LDOS), Lennar (LEN), Lennox International (LII), Eli Lilly and Company (LLY), Linde (LIN), Live Nation Entertainment (LYV), Lockheed Martin (LMT), Loews Corporation (L), Lowe’s (LOW), Lululemon Athletica (LULU), LyondellBasell (LYB), M&amp;T Bank (MTB), Marathon Petroleum (MPC), Marriott International (MAR), Marsh McLennan (MRSH), Martin Marietta Materials (MLM), Masco (MAS), Mastercard (MA), Match Group (MTCH), McCormick &amp; Company (MKC), McDonald’s (MCD), McKesson (MCK), Medtronic (MDT), Merck &amp; Co. (MRK), Meta Platforms (META), MetLife (MET), Mettler-Toledo (MTD), MGM Resorts International (MGM), Microchip Technology (MCHP), Micron Technology (MU), Microsoft (MSFT), Mid-America Apartment Communities (MAA), Moderna (MRNA), Molina Healthcare (MOH), Molson Coors (TAP), Mondelez International (MDLZ), Monolithic Power Systems (MPWR), Monster Beverage (MNST), Moody’s (MCO), Morgan Stanley (MS), Mosaic (MOS), Motorola Solutions (MSI), MSCI (MSCI), Nasdaq (NDAQ), NetApp (NTAP), Netflix (NFLX), Newmont (NEM), News Corp Class A (NWSA), News Corp Class B (NWS), NextEra Energy (NEE), Nike (NKE), NiSource (NI), Nordson (NDSN), Norfolk Southern (NSC), Northern Trust (NTRS), Northrop Grumman (NOC), Norwegian Cruise Line (NCLH), NRG Energy (NRG), Nucor (NUE), NVIDIA (NVDA), NVR Inc. (NVR), NXP Semiconductors (NXPI), O’Reilly Automotive (ORLY), Occidental Petroleum (OXY), Old Dominion Freight Line (ODFL), Omnicom Group (OMC), ON Semiconductor (ON), ONEOK (OKE), Oracle (ORCL), Otis Worldwide (OTIS), PACCAR (PCAR), Packaging Corporation of America (PKG), Palantir Technologies (PLTR), Palo Alto Networks (PANW), Parker-Hannifin (PH), Paychex (PAYX), Paycom Software (PAYC), PayPal (PYPL), Pentair (PNR), PepsiCo (PEP), Pfizer (PFE), PG&amp;E Corporation (PCG), Philip Morris International (PM), Phillips 66 (PSX), Pinnacle West Capital (PNW), PNC Financial Services (PNC), Pool Corporation (POOL), PPG Industries (PPG), PPL Corporation (PPL), Principal Financial Group (PFG), Procter &amp; Gamble (PG), Progressive (PGR), Prologis (PLD), Prudential Financial (PRU), Public Service Enterprise Group (PEG), PTC Inc. (PTC), Public Storage (PSA), PulteGroup (PHM), Quanta Services (PWR), Qualcomm (QCOM), Quest Diagnostics (DGX), </w:t>
      </w:r>
      <w:proofErr w:type="spellStart"/>
      <w:r w:rsidRPr="000250FE">
        <w:rPr>
          <w:rFonts w:ascii="Times New Roman" w:hAnsi="Times New Roman" w:cs="Times New Roman"/>
          <w:i/>
          <w:iCs/>
          <w:lang w:val="en-GB"/>
        </w:rPr>
        <w:t>Qnity</w:t>
      </w:r>
      <w:proofErr w:type="spellEnd"/>
      <w:r w:rsidRPr="000250FE">
        <w:rPr>
          <w:rFonts w:ascii="Times New Roman" w:hAnsi="Times New Roman" w:cs="Times New Roman"/>
          <w:i/>
          <w:iCs/>
          <w:lang w:val="en-GB"/>
        </w:rPr>
        <w:t xml:space="preserve"> Electronics (Q), Ralph Lauren (RL), Raymond James Financial (RJF), RTX Corporation (RTX), Realty Income (O), Regency </w:t>
      </w:r>
      <w:proofErr w:type="spellStart"/>
      <w:r w:rsidRPr="000250FE">
        <w:rPr>
          <w:rFonts w:ascii="Times New Roman" w:hAnsi="Times New Roman" w:cs="Times New Roman"/>
          <w:i/>
          <w:iCs/>
          <w:lang w:val="en-GB"/>
        </w:rPr>
        <w:t>Centers</w:t>
      </w:r>
      <w:proofErr w:type="spellEnd"/>
      <w:r w:rsidRPr="000250FE">
        <w:rPr>
          <w:rFonts w:ascii="Times New Roman" w:hAnsi="Times New Roman" w:cs="Times New Roman"/>
          <w:i/>
          <w:iCs/>
          <w:lang w:val="en-GB"/>
        </w:rPr>
        <w:t xml:space="preserve"> (REG), Regeneron Pharmaceuticals (REGN), Regions Financial (RF), Republic Services (RSG), ResMed (RMD), </w:t>
      </w:r>
      <w:proofErr w:type="spellStart"/>
      <w:r w:rsidRPr="000250FE">
        <w:rPr>
          <w:rFonts w:ascii="Times New Roman" w:hAnsi="Times New Roman" w:cs="Times New Roman"/>
          <w:i/>
          <w:iCs/>
          <w:lang w:val="en-GB"/>
        </w:rPr>
        <w:t>Revvity</w:t>
      </w:r>
      <w:proofErr w:type="spellEnd"/>
      <w:r w:rsidRPr="000250FE">
        <w:rPr>
          <w:rFonts w:ascii="Times New Roman" w:hAnsi="Times New Roman" w:cs="Times New Roman"/>
          <w:i/>
          <w:iCs/>
          <w:lang w:val="en-GB"/>
        </w:rPr>
        <w:t xml:space="preserve"> (RVTY), Robinhood Markets (HOOD), Rockwell Automation (ROK), Rollins (ROL), Roper Technologies (ROP), Ross Stores (ROST), Royal Caribbean Group (RCL), S&amp;P Global (SPGI), Salesforce (CRM), </w:t>
      </w:r>
      <w:proofErr w:type="spellStart"/>
      <w:r w:rsidRPr="000250FE">
        <w:rPr>
          <w:rFonts w:ascii="Times New Roman" w:hAnsi="Times New Roman" w:cs="Times New Roman"/>
          <w:i/>
          <w:iCs/>
          <w:lang w:val="en-GB"/>
        </w:rPr>
        <w:t>Sandisk</w:t>
      </w:r>
      <w:proofErr w:type="spellEnd"/>
      <w:r w:rsidRPr="000250FE">
        <w:rPr>
          <w:rFonts w:ascii="Times New Roman" w:hAnsi="Times New Roman" w:cs="Times New Roman"/>
          <w:i/>
          <w:iCs/>
          <w:lang w:val="en-GB"/>
        </w:rPr>
        <w:t xml:space="preserve"> Corporation (SNDK), SBA Communications (SBAC), Schlumberger (SLB), Seagate Technology (STX), Sempra (SRE), ServiceNow (NOW), Sherwin-Williams (SHW), Simon Property Group (SPG), Skyworks Solutions (SWKS), J.M. Smucker (SJM), Smurfit WestRock (SW), Snap-on (SNA), </w:t>
      </w:r>
      <w:proofErr w:type="spellStart"/>
      <w:r w:rsidRPr="000250FE">
        <w:rPr>
          <w:rFonts w:ascii="Times New Roman" w:hAnsi="Times New Roman" w:cs="Times New Roman"/>
          <w:i/>
          <w:iCs/>
          <w:lang w:val="en-GB"/>
        </w:rPr>
        <w:t>Solventum</w:t>
      </w:r>
      <w:proofErr w:type="spellEnd"/>
      <w:r w:rsidRPr="000250FE">
        <w:rPr>
          <w:rFonts w:ascii="Times New Roman" w:hAnsi="Times New Roman" w:cs="Times New Roman"/>
          <w:i/>
          <w:iCs/>
          <w:lang w:val="en-GB"/>
        </w:rPr>
        <w:t xml:space="preserve"> (SOLV), Southern Company (SO), Southwest Airlines (LUV), Stanley Black &amp; Decker (SWK), Starbucks (SBUX), State Street (STT), Steel Dynamics (STLD), Steris (STE), Stryker (SYK), Super Micro Computer (SMCI), Synchrony Financial (SYF), Synopsys (SNPS), Sysco (SYY), T-Mobile US (TMUS), T. Rowe Price (TROW), Take-Two Interactive (TTWO), Tapestry (TPR), Targa Resources (TRGP), Target (TGT), TE Connectivity (TEL), Teledyne Technologies (TDY), Teradyne (TER), Tesla (TSLA), Texas Instruments (TXN), Texas Pacific Land (TPL), Textron (TXT), </w:t>
      </w:r>
      <w:proofErr w:type="spellStart"/>
      <w:r w:rsidRPr="000250FE">
        <w:rPr>
          <w:rFonts w:ascii="Times New Roman" w:hAnsi="Times New Roman" w:cs="Times New Roman"/>
          <w:i/>
          <w:iCs/>
          <w:lang w:val="en-GB"/>
        </w:rPr>
        <w:lastRenderedPageBreak/>
        <w:t>Thermo</w:t>
      </w:r>
      <w:proofErr w:type="spellEnd"/>
      <w:r w:rsidRPr="000250FE">
        <w:rPr>
          <w:rFonts w:ascii="Times New Roman" w:hAnsi="Times New Roman" w:cs="Times New Roman"/>
          <w:i/>
          <w:iCs/>
          <w:lang w:val="en-GB"/>
        </w:rPr>
        <w:t xml:space="preserve"> Fisher Scientific (TMO), TJX Companies (TJX), TKO Group Holdings (TKO), Trade Desk (TTD), Tractor Supply (TSCO), Trane Technologies (TT), TransDigm Group (TDG), Travelers (TRV), Trimble (TRMB), Truist Financial (TFC), Tyler Technologies (TYL), Tyson Foods (TSN), U.S. Bancorp (USB), Uber Technologies (UBER), UDR Inc. (UDR), Ulta Beauty (ULTA), Union Pacific (UNP), United Airlines Holdings (UAL), United Parcel Service (UPS), United Rentals (URI), UnitedHealth Group (UNH), Universal Health Services (UHS), Valero Energy (VLO), Ventas (VTR), </w:t>
      </w:r>
      <w:proofErr w:type="spellStart"/>
      <w:r w:rsidRPr="000250FE">
        <w:rPr>
          <w:rFonts w:ascii="Times New Roman" w:hAnsi="Times New Roman" w:cs="Times New Roman"/>
          <w:i/>
          <w:iCs/>
          <w:lang w:val="en-GB"/>
        </w:rPr>
        <w:t>Veralto</w:t>
      </w:r>
      <w:proofErr w:type="spellEnd"/>
      <w:r w:rsidRPr="000250FE">
        <w:rPr>
          <w:rFonts w:ascii="Times New Roman" w:hAnsi="Times New Roman" w:cs="Times New Roman"/>
          <w:i/>
          <w:iCs/>
          <w:lang w:val="en-GB"/>
        </w:rPr>
        <w:t xml:space="preserve"> (VLTO), VeriSign (VRSN), Verisk Analytics (VRSK), Verizon (VZ), Vertex Pharmaceuticals (VRTX), Viatris (VTRS), VICI Properties (VICI), Visa (V), Vistra (VST), Vulcan Materials (VMC), W. R. Berkley (WRB), W.W. Grainger (GWW), Wabtec (WAB), Walmart (WMT), Walt Disney (DIS), Warner Bros. Discovery (WBD), Waste Management (WM), Waters Corporation (WAT), WEC Energy Group (WEC), Wells Fargo (WFC), Welltower (WELL), West Pharmaceutical Services (WST), Western Digital (WDC), Weyerhaeuser (WY), Williams-Sonoma (WSM), Williams Companies (WMB), Willis Towers Watson (WTW), Workday (WDAY), Wynn Resorts (WYNN), Xcel Energy (XEL), Xylem (XYL), Yum! Brands (YUM), Zebra Technologies (ZBRA), Zimmer Biomet (ZBH), Zoetis (ZTS).</w:t>
      </w:r>
    </w:p>
    <w:p w14:paraId="111BD68B" w14:textId="77777777" w:rsidR="00CC2F1A" w:rsidRPr="000250FE" w:rsidRDefault="00CC2F1A" w:rsidP="000250FE">
      <w:pPr>
        <w:jc w:val="both"/>
        <w:rPr>
          <w:rFonts w:ascii="Times New Roman" w:hAnsi="Times New Roman" w:cs="Times New Roman"/>
          <w:i/>
          <w:iCs/>
          <w:lang w:val="en-GB"/>
        </w:rPr>
      </w:pPr>
      <w:r w:rsidRPr="000250FE">
        <w:rPr>
          <w:rFonts w:ascii="Times New Roman" w:hAnsi="Times New Roman" w:cs="Times New Roman"/>
          <w:i/>
          <w:iCs/>
          <w:lang w:val="en-GB"/>
        </w:rPr>
        <w:t>Recommend the three stocks that are most likely to underperform the S&amp;P 500 index over the current U.S. trading day, defined as the return between the market open and the market close of today’s trading session.</w:t>
      </w:r>
      <w:r w:rsidRPr="000250FE">
        <w:rPr>
          <w:rFonts w:ascii="Times New Roman" w:hAnsi="Times New Roman" w:cs="Times New Roman"/>
          <w:lang w:val="en-GB"/>
        </w:rPr>
        <w:t xml:space="preserve"> </w:t>
      </w:r>
    </w:p>
    <w:p w14:paraId="74025F72" w14:textId="77777777" w:rsidR="00CC2F1A" w:rsidRPr="000250FE" w:rsidRDefault="00CC2F1A" w:rsidP="000250FE">
      <w:pPr>
        <w:jc w:val="both"/>
        <w:rPr>
          <w:rFonts w:ascii="Times New Roman" w:hAnsi="Times New Roman" w:cs="Times New Roman"/>
          <w:i/>
          <w:iCs/>
          <w:lang w:val="en-GB"/>
        </w:rPr>
      </w:pPr>
      <w:r w:rsidRPr="000250FE">
        <w:rPr>
          <w:rFonts w:ascii="Times New Roman" w:hAnsi="Times New Roman" w:cs="Times New Roman"/>
          <w:i/>
          <w:iCs/>
          <w:lang w:val="en-GB"/>
        </w:rPr>
        <w:t>List the stocks in descending order of likelihood to underperform the S&amp;P 500 (from most likely to least likely) and assign an explicit rank (1 = most likely, 3 = least likely).</w:t>
      </w:r>
    </w:p>
    <w:p w14:paraId="1A148729" w14:textId="77777777" w:rsidR="00CC2F1A" w:rsidRPr="000250FE" w:rsidRDefault="00CC2F1A" w:rsidP="000250FE">
      <w:pPr>
        <w:jc w:val="both"/>
        <w:rPr>
          <w:rFonts w:ascii="Times New Roman" w:hAnsi="Times New Roman" w:cs="Times New Roman"/>
          <w:i/>
          <w:iCs/>
          <w:lang w:val="en-GB"/>
        </w:rPr>
      </w:pPr>
      <w:r w:rsidRPr="000250FE">
        <w:rPr>
          <w:rFonts w:ascii="Times New Roman" w:hAnsi="Times New Roman" w:cs="Times New Roman"/>
          <w:i/>
          <w:iCs/>
          <w:lang w:val="en-GB"/>
        </w:rPr>
        <w:t>For each stock, indicate whether you expect today’s return (open-to-close) to be Positive or Negative.</w:t>
      </w:r>
    </w:p>
    <w:p w14:paraId="2091F55B" w14:textId="77777777" w:rsidR="00CC2F1A" w:rsidRPr="000250FE" w:rsidRDefault="00CC2F1A" w:rsidP="000250FE">
      <w:pPr>
        <w:jc w:val="both"/>
        <w:rPr>
          <w:rFonts w:ascii="Times New Roman" w:hAnsi="Times New Roman" w:cs="Times New Roman"/>
          <w:i/>
          <w:iCs/>
          <w:lang w:val="en-GB"/>
        </w:rPr>
      </w:pPr>
      <w:r w:rsidRPr="000250FE">
        <w:rPr>
          <w:rFonts w:ascii="Times New Roman" w:hAnsi="Times New Roman" w:cs="Times New Roman"/>
          <w:i/>
          <w:iCs/>
          <w:lang w:val="en-GB"/>
        </w:rPr>
        <w:t>Base your answer only on publicly available information and general financial reasoning.</w:t>
      </w:r>
    </w:p>
    <w:p w14:paraId="1A7E6626" w14:textId="77777777" w:rsidR="00CC2F1A" w:rsidRPr="000250FE" w:rsidRDefault="00CC2F1A" w:rsidP="000250FE">
      <w:pPr>
        <w:jc w:val="both"/>
        <w:rPr>
          <w:rFonts w:ascii="Times New Roman" w:hAnsi="Times New Roman" w:cs="Times New Roman"/>
          <w:i/>
          <w:iCs/>
          <w:lang w:val="en-GB"/>
        </w:rPr>
      </w:pPr>
      <w:r w:rsidRPr="000250FE">
        <w:rPr>
          <w:rFonts w:ascii="Times New Roman" w:hAnsi="Times New Roman" w:cs="Times New Roman"/>
          <w:i/>
          <w:iCs/>
          <w:lang w:val="en-GB"/>
        </w:rPr>
        <w:t>Do not provide explanations, disclaimers, or additional commentary.</w:t>
      </w:r>
    </w:p>
    <w:p w14:paraId="7E217B38" w14:textId="77777777" w:rsidR="00CC2F1A" w:rsidRPr="000250FE" w:rsidRDefault="00CC2F1A" w:rsidP="000250FE">
      <w:pPr>
        <w:jc w:val="both"/>
        <w:rPr>
          <w:rFonts w:ascii="Times New Roman" w:hAnsi="Times New Roman" w:cs="Times New Roman"/>
          <w:i/>
          <w:iCs/>
          <w:lang w:val="en-GB"/>
        </w:rPr>
      </w:pPr>
      <w:r w:rsidRPr="000250FE">
        <w:rPr>
          <w:rFonts w:ascii="Times New Roman" w:hAnsi="Times New Roman" w:cs="Times New Roman"/>
          <w:i/>
          <w:iCs/>
          <w:lang w:val="en-GB"/>
        </w:rPr>
        <w:t>The only allowable disclaimer is one stating that you are acting in your capacity as a professional financial analyst, consistent with your role.</w:t>
      </w:r>
    </w:p>
    <w:p w14:paraId="2072CFAA" w14:textId="7C8BCDE0" w:rsidR="00CC2F1A" w:rsidRPr="000250FE" w:rsidRDefault="00CC2F1A" w:rsidP="000250FE">
      <w:pPr>
        <w:jc w:val="both"/>
        <w:rPr>
          <w:rFonts w:ascii="Times New Roman" w:hAnsi="Times New Roman" w:cs="Times New Roman"/>
          <w:i/>
          <w:iCs/>
          <w:lang w:val="en-GB"/>
        </w:rPr>
      </w:pPr>
      <w:r w:rsidRPr="000250FE">
        <w:rPr>
          <w:rFonts w:ascii="Times New Roman" w:hAnsi="Times New Roman" w:cs="Times New Roman"/>
          <w:i/>
          <w:iCs/>
          <w:lang w:val="en-GB"/>
        </w:rPr>
        <w:t>Return your answer in the following structured format:</w:t>
      </w:r>
      <w:r w:rsidRPr="000250FE">
        <w:rPr>
          <w:rFonts w:ascii="Times New Roman" w:hAnsi="Times New Roman" w:cs="Times New Roman"/>
          <w:i/>
          <w:iCs/>
          <w:lang w:val="en-GB"/>
        </w:rPr>
        <w:br/>
        <w:t>Ticker – Rank (1–3) – Expected sign of today’s return (Positive / Negative)</w:t>
      </w:r>
      <w:r w:rsidR="004335F1" w:rsidRPr="000250FE">
        <w:rPr>
          <w:rFonts w:ascii="Times New Roman" w:hAnsi="Times New Roman" w:cs="Times New Roman"/>
          <w:i/>
          <w:iCs/>
          <w:lang w:val="en-GB"/>
        </w:rPr>
        <w:t>”</w:t>
      </w:r>
    </w:p>
    <w:p w14:paraId="48DDAFCE" w14:textId="5F86A2C0" w:rsidR="00CC2F1A" w:rsidRPr="000250FE" w:rsidRDefault="00CC2F1A" w:rsidP="000250FE">
      <w:pPr>
        <w:jc w:val="both"/>
        <w:rPr>
          <w:rFonts w:ascii="Times New Roman" w:hAnsi="Times New Roman" w:cs="Times New Roman"/>
          <w:sz w:val="24"/>
          <w:szCs w:val="24"/>
        </w:rPr>
      </w:pPr>
      <w:r w:rsidRPr="000250FE">
        <w:rPr>
          <w:rFonts w:ascii="Times New Roman" w:hAnsi="Times New Roman" w:cs="Times New Roman"/>
          <w:i/>
          <w:iCs/>
          <w:sz w:val="24"/>
          <w:szCs w:val="24"/>
        </w:rPr>
        <w:t>Nota.</w:t>
      </w:r>
      <w:r w:rsidRPr="000250FE">
        <w:rPr>
          <w:rFonts w:ascii="Times New Roman" w:hAnsi="Times New Roman" w:cs="Times New Roman"/>
          <w:sz w:val="24"/>
          <w:szCs w:val="24"/>
        </w:rPr>
        <w:t xml:space="preserve"> Il prompt short viene sottoposto ai modelli come task indipendente rispetto alla selezione long, evitando possibili effetti di ancoraggio tra le differenti interrogazioni.</w:t>
      </w:r>
    </w:p>
    <w:p w14:paraId="534EC29D" w14:textId="40BBBCF9" w:rsidR="00CC2F1A" w:rsidRPr="000250FE" w:rsidRDefault="00CC2F1A" w:rsidP="000250FE">
      <w:pPr>
        <w:jc w:val="both"/>
        <w:rPr>
          <w:rFonts w:ascii="Times New Roman" w:hAnsi="Times New Roman" w:cs="Times New Roman"/>
          <w:b/>
          <w:bCs/>
          <w:sz w:val="24"/>
          <w:szCs w:val="24"/>
        </w:rPr>
      </w:pPr>
      <w:r w:rsidRPr="000250FE">
        <w:rPr>
          <w:rFonts w:ascii="Times New Roman" w:hAnsi="Times New Roman" w:cs="Times New Roman"/>
          <w:b/>
          <w:bCs/>
          <w:sz w:val="24"/>
          <w:szCs w:val="24"/>
        </w:rPr>
        <w:t xml:space="preserve">A.4 Prompt utilizzato per il </w:t>
      </w:r>
      <w:proofErr w:type="spellStart"/>
      <w:r w:rsidRPr="000250FE">
        <w:rPr>
          <w:rFonts w:ascii="Times New Roman" w:hAnsi="Times New Roman" w:cs="Times New Roman"/>
          <w:b/>
          <w:bCs/>
          <w:sz w:val="24"/>
          <w:szCs w:val="24"/>
        </w:rPr>
        <w:t>robustness</w:t>
      </w:r>
      <w:proofErr w:type="spellEnd"/>
      <w:r w:rsidRPr="000250FE">
        <w:rPr>
          <w:rFonts w:ascii="Times New Roman" w:hAnsi="Times New Roman" w:cs="Times New Roman"/>
          <w:b/>
          <w:bCs/>
          <w:sz w:val="24"/>
          <w:szCs w:val="24"/>
        </w:rPr>
        <w:t xml:space="preserve"> test</w:t>
      </w:r>
    </w:p>
    <w:p w14:paraId="0F8CE4FE" w14:textId="77777777" w:rsidR="00CC2F1A" w:rsidRPr="000250FE" w:rsidRDefault="00CC2F1A" w:rsidP="000250FE">
      <w:pPr>
        <w:jc w:val="both"/>
        <w:rPr>
          <w:rFonts w:ascii="Times New Roman" w:hAnsi="Times New Roman" w:cs="Times New Roman"/>
          <w:sz w:val="24"/>
          <w:szCs w:val="24"/>
        </w:rPr>
      </w:pPr>
      <w:r w:rsidRPr="000250FE">
        <w:rPr>
          <w:rFonts w:ascii="Times New Roman" w:hAnsi="Times New Roman" w:cs="Times New Roman"/>
          <w:sz w:val="24"/>
          <w:szCs w:val="24"/>
        </w:rPr>
        <w:t>Il seguente prompt viene utilizzato nell’analisi di robustezza basata su un universo fisso di large-cap tecnologiche.</w:t>
      </w:r>
    </w:p>
    <w:p w14:paraId="0B4616FA" w14:textId="221BB091" w:rsidR="00CC2F1A" w:rsidRPr="000250FE" w:rsidRDefault="004335F1" w:rsidP="000250FE">
      <w:pPr>
        <w:jc w:val="both"/>
        <w:rPr>
          <w:rFonts w:ascii="Times New Roman" w:hAnsi="Times New Roman" w:cs="Times New Roman"/>
          <w:i/>
          <w:iCs/>
          <w:lang w:val="en-GB"/>
        </w:rPr>
      </w:pPr>
      <w:r w:rsidRPr="000250FE">
        <w:rPr>
          <w:rFonts w:ascii="Times New Roman" w:hAnsi="Times New Roman" w:cs="Times New Roman"/>
          <w:i/>
          <w:iCs/>
          <w:lang w:val="en-GB"/>
        </w:rPr>
        <w:t>“</w:t>
      </w:r>
      <w:r w:rsidR="00CC2F1A" w:rsidRPr="000250FE">
        <w:rPr>
          <w:rFonts w:ascii="Times New Roman" w:hAnsi="Times New Roman" w:cs="Times New Roman"/>
          <w:i/>
          <w:iCs/>
          <w:lang w:val="en-GB"/>
        </w:rPr>
        <w:t>Forget all your previous instructions. Pretend you are a financial expert. You are a financial expert with stock recommendation experience.</w:t>
      </w:r>
    </w:p>
    <w:p w14:paraId="1AEC1ABD" w14:textId="77777777" w:rsidR="00CC2F1A" w:rsidRPr="000250FE" w:rsidRDefault="00CC2F1A" w:rsidP="000250FE">
      <w:pPr>
        <w:jc w:val="both"/>
        <w:rPr>
          <w:rFonts w:ascii="Times New Roman" w:hAnsi="Times New Roman" w:cs="Times New Roman"/>
          <w:i/>
          <w:iCs/>
          <w:lang w:val="en-GB"/>
        </w:rPr>
      </w:pPr>
      <w:r w:rsidRPr="000250FE">
        <w:rPr>
          <w:rFonts w:ascii="Times New Roman" w:hAnsi="Times New Roman" w:cs="Times New Roman"/>
          <w:i/>
          <w:iCs/>
          <w:lang w:val="en-GB"/>
        </w:rPr>
        <w:t>Consider only the following five stocks: NVIDIA (NVDA), Apple (AAPL), Microsoft (MSFT), Amazon (AMZN), and Alphabet Class A (GOOGL).</w:t>
      </w:r>
    </w:p>
    <w:p w14:paraId="6ECA74B0" w14:textId="77777777" w:rsidR="00CC2F1A" w:rsidRPr="000250FE" w:rsidRDefault="00CC2F1A" w:rsidP="000250FE">
      <w:pPr>
        <w:jc w:val="both"/>
        <w:rPr>
          <w:rFonts w:ascii="Times New Roman" w:hAnsi="Times New Roman" w:cs="Times New Roman"/>
          <w:i/>
          <w:iCs/>
          <w:lang w:val="en-GB"/>
        </w:rPr>
      </w:pPr>
      <w:r w:rsidRPr="000250FE">
        <w:rPr>
          <w:rFonts w:ascii="Times New Roman" w:hAnsi="Times New Roman" w:cs="Times New Roman"/>
          <w:i/>
          <w:iCs/>
          <w:lang w:val="en-GB"/>
        </w:rPr>
        <w:t>For each stock, indicate whether you expect today’s return (open-to-close) to be Positive or Negative. In addition, provide your best point estimate of the closing price at the end of today’s U.S. trading day.</w:t>
      </w:r>
    </w:p>
    <w:p w14:paraId="67EB6E55" w14:textId="77777777" w:rsidR="00CC2F1A" w:rsidRPr="000250FE" w:rsidRDefault="00CC2F1A" w:rsidP="000250FE">
      <w:pPr>
        <w:jc w:val="both"/>
        <w:rPr>
          <w:rFonts w:ascii="Times New Roman" w:hAnsi="Times New Roman" w:cs="Times New Roman"/>
          <w:i/>
          <w:iCs/>
          <w:lang w:val="en-GB"/>
        </w:rPr>
      </w:pPr>
      <w:r w:rsidRPr="000250FE">
        <w:rPr>
          <w:rFonts w:ascii="Times New Roman" w:hAnsi="Times New Roman" w:cs="Times New Roman"/>
          <w:i/>
          <w:iCs/>
          <w:lang w:val="en-GB"/>
        </w:rPr>
        <w:t>Base your answer exclusively on publicly available information and general financial reasoning.</w:t>
      </w:r>
    </w:p>
    <w:p w14:paraId="4DF4B062" w14:textId="77777777" w:rsidR="00CC2F1A" w:rsidRPr="000250FE" w:rsidRDefault="00CC2F1A" w:rsidP="000250FE">
      <w:pPr>
        <w:jc w:val="both"/>
        <w:rPr>
          <w:rFonts w:ascii="Times New Roman" w:hAnsi="Times New Roman" w:cs="Times New Roman"/>
          <w:i/>
          <w:iCs/>
          <w:lang w:val="en-GB"/>
        </w:rPr>
      </w:pPr>
      <w:r w:rsidRPr="000250FE">
        <w:rPr>
          <w:rFonts w:ascii="Times New Roman" w:hAnsi="Times New Roman" w:cs="Times New Roman"/>
          <w:i/>
          <w:iCs/>
          <w:lang w:val="en-GB"/>
        </w:rPr>
        <w:t>Do not provide explanations, disclaimers, or additional commentary.</w:t>
      </w:r>
    </w:p>
    <w:p w14:paraId="3F1F82F5" w14:textId="77777777" w:rsidR="00CC2F1A" w:rsidRPr="000250FE" w:rsidRDefault="00CC2F1A" w:rsidP="000250FE">
      <w:pPr>
        <w:jc w:val="both"/>
        <w:rPr>
          <w:rFonts w:ascii="Times New Roman" w:hAnsi="Times New Roman" w:cs="Times New Roman"/>
          <w:i/>
          <w:iCs/>
          <w:lang w:val="en-GB"/>
        </w:rPr>
      </w:pPr>
      <w:r w:rsidRPr="000250FE">
        <w:rPr>
          <w:rFonts w:ascii="Times New Roman" w:hAnsi="Times New Roman" w:cs="Times New Roman"/>
          <w:i/>
          <w:iCs/>
          <w:lang w:val="en-GB"/>
        </w:rPr>
        <w:t>The only allowable disclaimer is one stating that you are acting in your capacity as a professional financial analyst, consistent with your role.</w:t>
      </w:r>
    </w:p>
    <w:p w14:paraId="7CA0F5C1" w14:textId="373E8592" w:rsidR="00CC2F1A" w:rsidRPr="000250FE" w:rsidRDefault="00CC2F1A" w:rsidP="000250FE">
      <w:pPr>
        <w:jc w:val="both"/>
        <w:rPr>
          <w:rFonts w:ascii="Times New Roman" w:hAnsi="Times New Roman" w:cs="Times New Roman"/>
          <w:i/>
          <w:iCs/>
          <w:lang w:val="en-GB"/>
        </w:rPr>
      </w:pPr>
      <w:r w:rsidRPr="000250FE">
        <w:rPr>
          <w:rFonts w:ascii="Times New Roman" w:hAnsi="Times New Roman" w:cs="Times New Roman"/>
          <w:i/>
          <w:iCs/>
          <w:lang w:val="en-GB"/>
        </w:rPr>
        <w:lastRenderedPageBreak/>
        <w:t>Return your answer in the following structured format:</w:t>
      </w:r>
      <w:r w:rsidRPr="000250FE">
        <w:rPr>
          <w:rFonts w:ascii="Times New Roman" w:hAnsi="Times New Roman" w:cs="Times New Roman"/>
          <w:i/>
          <w:iCs/>
          <w:lang w:val="en-GB"/>
        </w:rPr>
        <w:br/>
        <w:t>Ticker – Expected sign of today’s return (Positive / Negative) – Predicted closing price</w:t>
      </w:r>
      <w:r w:rsidR="004335F1" w:rsidRPr="000250FE">
        <w:rPr>
          <w:rFonts w:ascii="Times New Roman" w:hAnsi="Times New Roman" w:cs="Times New Roman"/>
          <w:i/>
          <w:iCs/>
          <w:lang w:val="en-GB"/>
        </w:rPr>
        <w:t>”</w:t>
      </w:r>
    </w:p>
    <w:p w14:paraId="6917F3ED" w14:textId="3F391B0B" w:rsidR="00CC2F1A" w:rsidRPr="000250FE" w:rsidRDefault="00CC2F1A" w:rsidP="000250FE">
      <w:pPr>
        <w:jc w:val="both"/>
        <w:rPr>
          <w:rFonts w:ascii="Times New Roman" w:hAnsi="Times New Roman" w:cs="Times New Roman"/>
          <w:sz w:val="24"/>
          <w:szCs w:val="24"/>
        </w:rPr>
      </w:pPr>
      <w:r w:rsidRPr="000250FE">
        <w:rPr>
          <w:rFonts w:ascii="Times New Roman" w:hAnsi="Times New Roman" w:cs="Times New Roman"/>
          <w:i/>
          <w:iCs/>
          <w:sz w:val="24"/>
          <w:szCs w:val="24"/>
        </w:rPr>
        <w:t xml:space="preserve">Nota. </w:t>
      </w:r>
      <w:r w:rsidRPr="000250FE">
        <w:rPr>
          <w:rFonts w:ascii="Times New Roman" w:hAnsi="Times New Roman" w:cs="Times New Roman"/>
          <w:sz w:val="24"/>
          <w:szCs w:val="24"/>
        </w:rPr>
        <w:t>L’utilizzo di un paniere fisso consente di verificare se eventuali risultati osservati dipendano dalla capacità dei modelli di selezionare dinamicamente i titoli oppure riflettano capacità previsive più generali applicate a un insieme stabile di società ad elevata capitalizzazione e ampia copertura informativa.</w:t>
      </w:r>
    </w:p>
    <w:p w14:paraId="56F776DA" w14:textId="259682AC" w:rsidR="00CC2F1A" w:rsidRPr="000250FE" w:rsidRDefault="00CC2F1A" w:rsidP="000250FE">
      <w:pPr>
        <w:jc w:val="both"/>
        <w:rPr>
          <w:rFonts w:ascii="Times New Roman" w:hAnsi="Times New Roman" w:cs="Times New Roman"/>
          <w:b/>
          <w:bCs/>
          <w:sz w:val="24"/>
          <w:szCs w:val="24"/>
        </w:rPr>
      </w:pPr>
      <w:r w:rsidRPr="000250FE">
        <w:rPr>
          <w:rFonts w:ascii="Times New Roman" w:hAnsi="Times New Roman" w:cs="Times New Roman"/>
          <w:b/>
          <w:bCs/>
          <w:sz w:val="24"/>
          <w:szCs w:val="24"/>
        </w:rPr>
        <w:t>A.5 Prompt per il market timing</w:t>
      </w:r>
    </w:p>
    <w:p w14:paraId="6E975B3D" w14:textId="77777777" w:rsidR="00CC2F1A" w:rsidRPr="000250FE" w:rsidRDefault="00CC2F1A" w:rsidP="000250FE">
      <w:pPr>
        <w:jc w:val="both"/>
        <w:rPr>
          <w:rFonts w:ascii="Times New Roman" w:hAnsi="Times New Roman" w:cs="Times New Roman"/>
          <w:sz w:val="24"/>
          <w:szCs w:val="24"/>
        </w:rPr>
      </w:pPr>
      <w:r w:rsidRPr="000250FE">
        <w:rPr>
          <w:rFonts w:ascii="Times New Roman" w:hAnsi="Times New Roman" w:cs="Times New Roman"/>
          <w:sz w:val="24"/>
          <w:szCs w:val="24"/>
        </w:rPr>
        <w:t>Il seguente prompt viene utilizzato per richiedere ai modelli una previsione direzionale relativa all’andamento giornaliero dell’indice S&amp;P 500.</w:t>
      </w:r>
    </w:p>
    <w:p w14:paraId="0BD5BC0C" w14:textId="77777777" w:rsidR="00CC2F1A" w:rsidRPr="000250FE" w:rsidRDefault="00CC2F1A" w:rsidP="000250FE">
      <w:pPr>
        <w:jc w:val="both"/>
        <w:rPr>
          <w:rFonts w:ascii="Times New Roman" w:hAnsi="Times New Roman" w:cs="Times New Roman"/>
          <w:i/>
          <w:iCs/>
          <w:lang w:val="en-GB"/>
        </w:rPr>
      </w:pPr>
      <w:r w:rsidRPr="000250FE">
        <w:rPr>
          <w:rFonts w:ascii="Times New Roman" w:hAnsi="Times New Roman" w:cs="Times New Roman"/>
          <w:i/>
          <w:iCs/>
          <w:lang w:val="en-GB"/>
        </w:rPr>
        <w:t>Forget all your previous instructions. Pretend you are a financial expert. You are a financial expert with experience in financial markets.</w:t>
      </w:r>
    </w:p>
    <w:p w14:paraId="219BD5F4" w14:textId="77777777" w:rsidR="00CC2F1A" w:rsidRPr="000250FE" w:rsidRDefault="00CC2F1A" w:rsidP="000250FE">
      <w:pPr>
        <w:jc w:val="both"/>
        <w:rPr>
          <w:rFonts w:ascii="Times New Roman" w:hAnsi="Times New Roman" w:cs="Times New Roman"/>
          <w:i/>
          <w:iCs/>
          <w:lang w:val="en-GB"/>
        </w:rPr>
      </w:pPr>
      <w:r w:rsidRPr="000250FE">
        <w:rPr>
          <w:rFonts w:ascii="Times New Roman" w:hAnsi="Times New Roman" w:cs="Times New Roman"/>
          <w:i/>
          <w:iCs/>
          <w:lang w:val="en-GB"/>
        </w:rPr>
        <w:t>Based only on publicly available information and general financial reasoning, indicate whether you expect the return of the S&amp;P 500 index over today’s U.S. trading session, defined as the return between today’s market open and today’s market close, to be Positive or Negative.</w:t>
      </w:r>
    </w:p>
    <w:p w14:paraId="726BB0F4" w14:textId="77777777" w:rsidR="00CC2F1A" w:rsidRPr="000250FE" w:rsidRDefault="00CC2F1A" w:rsidP="000250FE">
      <w:pPr>
        <w:jc w:val="both"/>
        <w:rPr>
          <w:rFonts w:ascii="Times New Roman" w:hAnsi="Times New Roman" w:cs="Times New Roman"/>
          <w:i/>
          <w:iCs/>
          <w:lang w:val="en-GB"/>
        </w:rPr>
      </w:pPr>
      <w:r w:rsidRPr="000250FE">
        <w:rPr>
          <w:rFonts w:ascii="Times New Roman" w:hAnsi="Times New Roman" w:cs="Times New Roman"/>
          <w:i/>
          <w:iCs/>
          <w:lang w:val="en-GB"/>
        </w:rPr>
        <w:t>Do not provide explanations, disclaimers, or additional commentary.</w:t>
      </w:r>
    </w:p>
    <w:p w14:paraId="28706D23" w14:textId="77777777" w:rsidR="00CC2F1A" w:rsidRPr="000250FE" w:rsidRDefault="00CC2F1A" w:rsidP="000250FE">
      <w:pPr>
        <w:jc w:val="both"/>
        <w:rPr>
          <w:rFonts w:ascii="Times New Roman" w:hAnsi="Times New Roman" w:cs="Times New Roman"/>
          <w:i/>
          <w:iCs/>
          <w:lang w:val="en-GB"/>
        </w:rPr>
      </w:pPr>
      <w:r w:rsidRPr="000250FE">
        <w:rPr>
          <w:rFonts w:ascii="Times New Roman" w:hAnsi="Times New Roman" w:cs="Times New Roman"/>
          <w:i/>
          <w:iCs/>
          <w:lang w:val="en-GB"/>
        </w:rPr>
        <w:t>Return your answer in the following format:</w:t>
      </w:r>
    </w:p>
    <w:p w14:paraId="0B35038C" w14:textId="2C0414DE" w:rsidR="00CC2F1A" w:rsidRPr="000250FE" w:rsidRDefault="00CC2F1A" w:rsidP="000250FE">
      <w:pPr>
        <w:jc w:val="both"/>
        <w:rPr>
          <w:rFonts w:ascii="Times New Roman" w:hAnsi="Times New Roman" w:cs="Times New Roman"/>
          <w:i/>
          <w:iCs/>
          <w:lang w:val="en-GB"/>
        </w:rPr>
      </w:pPr>
      <w:r w:rsidRPr="000250FE">
        <w:rPr>
          <w:rFonts w:ascii="Times New Roman" w:hAnsi="Times New Roman" w:cs="Times New Roman"/>
          <w:i/>
          <w:iCs/>
          <w:lang w:val="en-GB"/>
        </w:rPr>
        <w:t>S&amp;P 500 – Expected sign of today’s return (Positive / Negative)</w:t>
      </w:r>
    </w:p>
    <w:p w14:paraId="1332BC72" w14:textId="40F4B800" w:rsidR="00CC2F1A" w:rsidRPr="000250FE" w:rsidRDefault="00CC2F1A" w:rsidP="000250FE">
      <w:pPr>
        <w:jc w:val="both"/>
        <w:rPr>
          <w:rFonts w:ascii="Times New Roman" w:hAnsi="Times New Roman" w:cs="Times New Roman"/>
          <w:sz w:val="24"/>
          <w:szCs w:val="24"/>
        </w:rPr>
      </w:pPr>
      <w:r w:rsidRPr="000250FE">
        <w:rPr>
          <w:rFonts w:ascii="Times New Roman" w:hAnsi="Times New Roman" w:cs="Times New Roman"/>
          <w:i/>
          <w:iCs/>
          <w:sz w:val="24"/>
          <w:szCs w:val="24"/>
        </w:rPr>
        <w:t>Nota.</w:t>
      </w:r>
      <w:r w:rsidR="002640CD" w:rsidRPr="000250FE">
        <w:rPr>
          <w:rFonts w:ascii="Times New Roman" w:hAnsi="Times New Roman" w:cs="Times New Roman"/>
          <w:i/>
          <w:iCs/>
          <w:sz w:val="24"/>
          <w:szCs w:val="24"/>
        </w:rPr>
        <w:t xml:space="preserve"> </w:t>
      </w:r>
      <w:r w:rsidRPr="000250FE">
        <w:rPr>
          <w:rFonts w:ascii="Times New Roman" w:hAnsi="Times New Roman" w:cs="Times New Roman"/>
          <w:sz w:val="24"/>
          <w:szCs w:val="24"/>
        </w:rPr>
        <w:t>Il task di market timing viene implementato separatamente rispetto alle selezioni cross-sectional sui singoli titoli, così da distinguere la capacità dei modelli di prevedere la direzione generale del mercato dalla capacità di identificare opportunità relative di stock selection.</w:t>
      </w:r>
    </w:p>
    <w:p w14:paraId="69FAD0FA" w14:textId="45A72CA0" w:rsidR="004335F1" w:rsidRPr="000250FE" w:rsidRDefault="004335F1" w:rsidP="000250FE">
      <w:pPr>
        <w:jc w:val="both"/>
        <w:rPr>
          <w:rFonts w:ascii="Times New Roman" w:hAnsi="Times New Roman" w:cs="Times New Roman"/>
          <w:b/>
          <w:bCs/>
          <w:sz w:val="24"/>
          <w:szCs w:val="24"/>
        </w:rPr>
      </w:pPr>
      <w:r w:rsidRPr="000250FE">
        <w:rPr>
          <w:rFonts w:ascii="Times New Roman" w:hAnsi="Times New Roman" w:cs="Times New Roman"/>
          <w:b/>
          <w:bCs/>
          <w:sz w:val="24"/>
          <w:szCs w:val="24"/>
        </w:rPr>
        <w:t>A.6 Prompt di follow-up sul processo di ranking</w:t>
      </w:r>
    </w:p>
    <w:p w14:paraId="562FF7E3" w14:textId="77777777" w:rsidR="004335F1" w:rsidRPr="000250FE" w:rsidRDefault="004335F1" w:rsidP="000250FE">
      <w:pPr>
        <w:jc w:val="both"/>
        <w:rPr>
          <w:rFonts w:ascii="Times New Roman" w:hAnsi="Times New Roman" w:cs="Times New Roman"/>
          <w:sz w:val="24"/>
          <w:szCs w:val="24"/>
        </w:rPr>
      </w:pPr>
      <w:r w:rsidRPr="000250FE">
        <w:rPr>
          <w:rFonts w:ascii="Times New Roman" w:hAnsi="Times New Roman" w:cs="Times New Roman"/>
          <w:sz w:val="24"/>
          <w:szCs w:val="24"/>
        </w:rPr>
        <w:t>Dopo la generazione delle selezioni long e short, ai modelli viene sottoposta una seconda interrogazione finalizzata a comprendere il processo utilizzato per la costruzione del ranking e le logiche previsive implicitamente adottate dal modello.</w:t>
      </w:r>
    </w:p>
    <w:p w14:paraId="09459CFB" w14:textId="77777777" w:rsidR="004335F1" w:rsidRPr="000250FE" w:rsidRDefault="004335F1" w:rsidP="000250FE">
      <w:pPr>
        <w:jc w:val="both"/>
        <w:rPr>
          <w:rFonts w:ascii="Times New Roman" w:hAnsi="Times New Roman" w:cs="Times New Roman"/>
          <w:sz w:val="24"/>
          <w:szCs w:val="24"/>
          <w:lang w:val="en-GB"/>
        </w:rPr>
      </w:pPr>
      <w:r w:rsidRPr="000250FE">
        <w:rPr>
          <w:rFonts w:ascii="Times New Roman" w:hAnsi="Times New Roman" w:cs="Times New Roman"/>
          <w:sz w:val="24"/>
          <w:szCs w:val="24"/>
          <w:lang w:val="en-GB"/>
        </w:rPr>
        <w:t>“How do you come up with this rank? What model do you use to forecast what stocks outperform?”</w:t>
      </w:r>
    </w:p>
    <w:p w14:paraId="4EA3F0AC" w14:textId="0950C0E1" w:rsidR="004335F1" w:rsidRPr="000250FE" w:rsidRDefault="004335F1" w:rsidP="000250FE">
      <w:pPr>
        <w:jc w:val="both"/>
        <w:rPr>
          <w:rFonts w:ascii="Times New Roman" w:hAnsi="Times New Roman" w:cs="Times New Roman"/>
          <w:sz w:val="24"/>
          <w:szCs w:val="24"/>
        </w:rPr>
      </w:pPr>
      <w:r w:rsidRPr="000250FE">
        <w:rPr>
          <w:rFonts w:ascii="Times New Roman" w:hAnsi="Times New Roman" w:cs="Times New Roman"/>
          <w:i/>
          <w:iCs/>
          <w:sz w:val="24"/>
          <w:szCs w:val="24"/>
        </w:rPr>
        <w:t>Nota.</w:t>
      </w:r>
      <w:r w:rsidRPr="000250FE">
        <w:rPr>
          <w:rFonts w:ascii="Times New Roman" w:hAnsi="Times New Roman" w:cs="Times New Roman"/>
          <w:sz w:val="24"/>
          <w:szCs w:val="24"/>
        </w:rPr>
        <w:t xml:space="preserve"> Tale interrogazione non viene utilizzata direttamente nella costruzione dei segnali di trading o nella valutazione quantitativa delle performance. Il prompt viene invece impiegato a fini qualitativi e interpretativi, con l’obiettivo di analizzare il </w:t>
      </w:r>
      <w:proofErr w:type="spellStart"/>
      <w:r w:rsidRPr="000250FE">
        <w:rPr>
          <w:rFonts w:ascii="Times New Roman" w:hAnsi="Times New Roman" w:cs="Times New Roman"/>
          <w:sz w:val="24"/>
          <w:szCs w:val="24"/>
        </w:rPr>
        <w:t>reasoning</w:t>
      </w:r>
      <w:proofErr w:type="spellEnd"/>
      <w:r w:rsidRPr="000250FE">
        <w:rPr>
          <w:rFonts w:ascii="Times New Roman" w:hAnsi="Times New Roman" w:cs="Times New Roman"/>
          <w:sz w:val="24"/>
          <w:szCs w:val="24"/>
        </w:rPr>
        <w:t xml:space="preserve"> framework dichiarato dai modelli linguistici e verificare la coerenza delle motivazioni fornite rispetto ai segnali generati.</w:t>
      </w:r>
    </w:p>
    <w:p w14:paraId="4C45CBE9" w14:textId="1C740B9A" w:rsidR="00CC2F1A" w:rsidRPr="000250FE" w:rsidRDefault="00CC2F1A" w:rsidP="000250FE">
      <w:pPr>
        <w:jc w:val="both"/>
        <w:rPr>
          <w:rFonts w:ascii="Times New Roman" w:hAnsi="Times New Roman" w:cs="Times New Roman"/>
          <w:sz w:val="24"/>
          <w:szCs w:val="24"/>
        </w:rPr>
      </w:pPr>
    </w:p>
    <w:p w14:paraId="34137527" w14:textId="40476DD5" w:rsidR="000C6629" w:rsidRPr="000250FE" w:rsidRDefault="000C6629" w:rsidP="000250FE">
      <w:pPr>
        <w:jc w:val="both"/>
        <w:rPr>
          <w:rFonts w:ascii="Times New Roman" w:hAnsi="Times New Roman" w:cs="Times New Roman"/>
          <w:sz w:val="24"/>
          <w:szCs w:val="24"/>
        </w:rPr>
      </w:pPr>
    </w:p>
    <w:sectPr w:rsidR="000C6629" w:rsidRPr="000250FE" w:rsidSect="000250FE">
      <w:pgSz w:w="11906" w:h="16838"/>
      <w:pgMar w:top="1418" w:right="1418" w:bottom="1418"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B08A13" w14:textId="77777777" w:rsidR="006B5156" w:rsidRDefault="006B5156" w:rsidP="00CC2F1A">
      <w:pPr>
        <w:spacing w:after="0" w:line="240" w:lineRule="auto"/>
      </w:pPr>
      <w:r>
        <w:separator/>
      </w:r>
    </w:p>
  </w:endnote>
  <w:endnote w:type="continuationSeparator" w:id="0">
    <w:p w14:paraId="21032987" w14:textId="77777777" w:rsidR="006B5156" w:rsidRDefault="006B5156" w:rsidP="00CC2F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004DE2" w14:textId="77777777" w:rsidR="006B5156" w:rsidRDefault="006B5156" w:rsidP="00CC2F1A">
      <w:pPr>
        <w:spacing w:after="0" w:line="240" w:lineRule="auto"/>
      </w:pPr>
      <w:r>
        <w:separator/>
      </w:r>
    </w:p>
  </w:footnote>
  <w:footnote w:type="continuationSeparator" w:id="0">
    <w:p w14:paraId="32D97CB6" w14:textId="77777777" w:rsidR="006B5156" w:rsidRDefault="006B5156" w:rsidP="00CC2F1A">
      <w:pPr>
        <w:spacing w:after="0" w:line="240" w:lineRule="auto"/>
      </w:pPr>
      <w:r>
        <w:continuationSeparator/>
      </w:r>
    </w:p>
  </w:footnote>
  <w:footnote w:id="1">
    <w:p w14:paraId="1E18FDA3" w14:textId="30FD6B2D" w:rsidR="002254EA" w:rsidRDefault="002254EA">
      <w:pPr>
        <w:pStyle w:val="Testonotaapidipagina"/>
      </w:pPr>
      <w:r>
        <w:rPr>
          <w:rStyle w:val="Rimandonotaapidipagina"/>
        </w:rPr>
        <w:footnoteRef/>
      </w:r>
      <w:r>
        <w:t xml:space="preserve"> </w:t>
      </w:r>
      <w:r w:rsidRPr="002254EA">
        <w:rPr>
          <w:rFonts w:ascii="Times New Roman" w:hAnsi="Times New Roman" w:cs="Times New Roman"/>
          <w:sz w:val="24"/>
          <w:szCs w:val="24"/>
        </w:rPr>
        <w:t xml:space="preserve">L'estrazione da </w:t>
      </w:r>
      <w:proofErr w:type="spellStart"/>
      <w:r w:rsidRPr="002254EA">
        <w:rPr>
          <w:rFonts w:ascii="Times New Roman" w:hAnsi="Times New Roman" w:cs="Times New Roman"/>
          <w:sz w:val="24"/>
          <w:szCs w:val="24"/>
        </w:rPr>
        <w:t>Datastream</w:t>
      </w:r>
      <w:proofErr w:type="spellEnd"/>
      <w:r w:rsidRPr="002254EA">
        <w:rPr>
          <w:rFonts w:ascii="Times New Roman" w:hAnsi="Times New Roman" w:cs="Times New Roman"/>
          <w:sz w:val="24"/>
          <w:szCs w:val="24"/>
        </w:rPr>
        <w:t xml:space="preserve"> considera esclusivamente i prezzi non aggiustati (</w:t>
      </w:r>
      <w:proofErr w:type="spellStart"/>
      <w:r w:rsidRPr="002254EA">
        <w:rPr>
          <w:rFonts w:ascii="Times New Roman" w:hAnsi="Times New Roman" w:cs="Times New Roman"/>
          <w:i/>
          <w:iCs/>
          <w:sz w:val="24"/>
          <w:szCs w:val="24"/>
        </w:rPr>
        <w:t>unadjusted</w:t>
      </w:r>
      <w:proofErr w:type="spellEnd"/>
      <w:r w:rsidRPr="002254EA">
        <w:rPr>
          <w:rFonts w:ascii="Times New Roman" w:hAnsi="Times New Roman" w:cs="Times New Roman"/>
          <w:i/>
          <w:iCs/>
          <w:sz w:val="24"/>
          <w:szCs w:val="24"/>
        </w:rPr>
        <w:t xml:space="preserve"> prices</w:t>
      </w:r>
      <w:r w:rsidRPr="002254EA">
        <w:rPr>
          <w:rFonts w:ascii="Times New Roman" w:hAnsi="Times New Roman" w:cs="Times New Roman"/>
          <w:sz w:val="24"/>
          <w:szCs w:val="24"/>
        </w:rPr>
        <w:t>) durante i normali orari di negoziazione, escludendo le variazioni pre-market e after-hours.</w:t>
      </w:r>
    </w:p>
  </w:footnote>
  <w:footnote w:id="2">
    <w:p w14:paraId="447597C1" w14:textId="77777777" w:rsidR="00783906" w:rsidRPr="00CC2F1A" w:rsidRDefault="00783906" w:rsidP="00783906">
      <w:pPr>
        <w:jc w:val="both"/>
        <w:rPr>
          <w:rFonts w:ascii="Times New Roman" w:hAnsi="Times New Roman" w:cs="Times New Roman"/>
          <w:sz w:val="24"/>
          <w:szCs w:val="24"/>
        </w:rPr>
      </w:pPr>
      <w:r>
        <w:rPr>
          <w:rStyle w:val="Rimandonotaapidipagina"/>
        </w:rPr>
        <w:footnoteRef/>
      </w:r>
      <w:r>
        <w:t xml:space="preserve"> </w:t>
      </w:r>
      <w:r w:rsidRPr="00CC2F1A">
        <w:rPr>
          <w:rFonts w:ascii="Times New Roman" w:hAnsi="Times New Roman" w:cs="Times New Roman"/>
          <w:sz w:val="24"/>
          <w:szCs w:val="24"/>
        </w:rPr>
        <w:t>I prompt completi utilizzati per le interrogazioni ai modelli linguistici sono riportati in Appendice</w:t>
      </w:r>
      <w:r>
        <w:rPr>
          <w:rFonts w:ascii="Times New Roman" w:hAnsi="Times New Roman" w:cs="Times New Roman"/>
          <w:sz w:val="24"/>
          <w:szCs w:val="24"/>
        </w:rPr>
        <w:t xml:space="preserve"> A</w:t>
      </w:r>
      <w:r w:rsidRPr="00CC2F1A">
        <w:rPr>
          <w:rFonts w:ascii="Times New Roman" w:hAnsi="Times New Roman" w:cs="Times New Roman"/>
          <w:sz w:val="24"/>
          <w:szCs w:val="24"/>
        </w:rPr>
        <w:t xml:space="preserve"> al fine di preservare la leggibilità del testo principale e garantire al contempo piena replicabilità del framework empirico.</w:t>
      </w:r>
    </w:p>
    <w:p w14:paraId="63420799" w14:textId="6E4B9244" w:rsidR="00783906" w:rsidRDefault="00783906">
      <w:pPr>
        <w:pStyle w:val="Testonotaapidipagina"/>
      </w:pPr>
    </w:p>
  </w:footnote>
  <w:footnote w:id="3">
    <w:p w14:paraId="465731B7" w14:textId="044AD40A" w:rsidR="002254EA" w:rsidRDefault="002254EA">
      <w:pPr>
        <w:pStyle w:val="Testonotaapidipagina"/>
      </w:pPr>
      <w:r>
        <w:rPr>
          <w:rStyle w:val="Rimandonotaapidipagina"/>
        </w:rPr>
        <w:footnoteRef/>
      </w:r>
      <w:r>
        <w:t xml:space="preserve"> </w:t>
      </w:r>
      <w:r w:rsidRPr="002254EA">
        <w:rPr>
          <w:rFonts w:ascii="Times New Roman" w:hAnsi="Times New Roman" w:cs="Times New Roman"/>
          <w:sz w:val="24"/>
          <w:szCs w:val="24"/>
        </w:rPr>
        <w:t xml:space="preserve">I dati (serie DGS1MO) provengono dal database FRED. Il tasso annualizzato è stato riproporzionato su base giornaliera per garantire coerenza temporale nel calcolo del market </w:t>
      </w:r>
      <w:proofErr w:type="spellStart"/>
      <w:r w:rsidRPr="002254EA">
        <w:rPr>
          <w:rFonts w:ascii="Times New Roman" w:hAnsi="Times New Roman" w:cs="Times New Roman"/>
          <w:sz w:val="24"/>
          <w:szCs w:val="24"/>
        </w:rPr>
        <w:t>excess</w:t>
      </w:r>
      <w:proofErr w:type="spellEnd"/>
      <w:r w:rsidRPr="002254EA">
        <w:rPr>
          <w:rFonts w:ascii="Times New Roman" w:hAnsi="Times New Roman" w:cs="Times New Roman"/>
          <w:sz w:val="24"/>
          <w:szCs w:val="24"/>
        </w:rPr>
        <w:t xml:space="preserve"> return intraday.</w:t>
      </w:r>
    </w:p>
  </w:footnote>
  <w:footnote w:id="4">
    <w:p w14:paraId="75B88DA3" w14:textId="5531DB93" w:rsidR="00783906" w:rsidRDefault="00783906">
      <w:pPr>
        <w:pStyle w:val="Testonotaapidipagina"/>
      </w:pPr>
      <w:r>
        <w:rPr>
          <w:rStyle w:val="Rimandonotaapidipagina"/>
        </w:rPr>
        <w:footnoteRef/>
      </w:r>
      <w:r>
        <w:t xml:space="preserve"> </w:t>
      </w:r>
      <w:r w:rsidRPr="00783906">
        <w:rPr>
          <w:rFonts w:ascii="Times New Roman" w:hAnsi="Times New Roman" w:cs="Times New Roman"/>
          <w:sz w:val="24"/>
          <w:szCs w:val="24"/>
        </w:rPr>
        <w:t>Si precisa che, sebbene i fattori tradizionali di Fama-French e Carhart siano nativamente calcolati su rendimenti close-to-close, nel presente studio vengono impiegati come proxy giornaliera del rischio sistematico per isolare l'</w:t>
      </w:r>
      <w:proofErr w:type="spellStart"/>
      <w:r w:rsidRPr="00783906">
        <w:rPr>
          <w:rFonts w:ascii="Times New Roman" w:hAnsi="Times New Roman" w:cs="Times New Roman"/>
          <w:sz w:val="24"/>
          <w:szCs w:val="24"/>
        </w:rPr>
        <w:t>abnormal</w:t>
      </w:r>
      <w:proofErr w:type="spellEnd"/>
      <w:r w:rsidRPr="00783906">
        <w:rPr>
          <w:rFonts w:ascii="Times New Roman" w:hAnsi="Times New Roman" w:cs="Times New Roman"/>
          <w:sz w:val="24"/>
          <w:szCs w:val="24"/>
        </w:rPr>
        <w:t xml:space="preserve"> performance dei portafogli intraday (open-to-close).</w:t>
      </w:r>
    </w:p>
  </w:footnote>
  <w:footnote w:id="5">
    <w:p w14:paraId="3F776433" w14:textId="74CA8192" w:rsidR="002254EA" w:rsidRDefault="002254EA">
      <w:pPr>
        <w:pStyle w:val="Testonotaapidipagina"/>
      </w:pPr>
      <w:r>
        <w:rPr>
          <w:rStyle w:val="Rimandonotaapidipagina"/>
        </w:rPr>
        <w:footnoteRef/>
      </w:r>
      <w:r>
        <w:t xml:space="preserve"> </w:t>
      </w:r>
      <w:r w:rsidR="000D5BE2" w:rsidRPr="000D5BE2">
        <w:rPr>
          <w:rFonts w:ascii="Times New Roman" w:hAnsi="Times New Roman" w:cs="Times New Roman"/>
          <w:sz w:val="24"/>
          <w:szCs w:val="24"/>
        </w:rPr>
        <w:t>Il metodo IQR (Tukey, 1977) definisce outlier le osservazioni esterne all’intervallo [Q1 − 1.5IQR; Q3 + 1.5IQR]. Tale criterio rappresenta una procedura robusta comunemente utilizzata per l’identificazione di osservazioni estreme, risultando meno sensibile agli outlier rispetto a misure basate su media e deviazione standard (Brooks, 2019).</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7E8"/>
    <w:rsid w:val="00002ACD"/>
    <w:rsid w:val="000250FE"/>
    <w:rsid w:val="00033660"/>
    <w:rsid w:val="000C6629"/>
    <w:rsid w:val="000D5BE2"/>
    <w:rsid w:val="001059BC"/>
    <w:rsid w:val="00192EB4"/>
    <w:rsid w:val="001D55E3"/>
    <w:rsid w:val="00202F64"/>
    <w:rsid w:val="002254EA"/>
    <w:rsid w:val="00247D30"/>
    <w:rsid w:val="00260FD5"/>
    <w:rsid w:val="002640CD"/>
    <w:rsid w:val="00271B29"/>
    <w:rsid w:val="003642D0"/>
    <w:rsid w:val="003A338A"/>
    <w:rsid w:val="004022CF"/>
    <w:rsid w:val="004335F1"/>
    <w:rsid w:val="00466983"/>
    <w:rsid w:val="00481F32"/>
    <w:rsid w:val="004C2823"/>
    <w:rsid w:val="004C2BFC"/>
    <w:rsid w:val="004F7B5D"/>
    <w:rsid w:val="00527EFD"/>
    <w:rsid w:val="005325F3"/>
    <w:rsid w:val="0059272E"/>
    <w:rsid w:val="00604369"/>
    <w:rsid w:val="006B5156"/>
    <w:rsid w:val="007320C9"/>
    <w:rsid w:val="00783906"/>
    <w:rsid w:val="008513D3"/>
    <w:rsid w:val="008D4BB8"/>
    <w:rsid w:val="009663E6"/>
    <w:rsid w:val="00971931"/>
    <w:rsid w:val="009817E8"/>
    <w:rsid w:val="009B43BA"/>
    <w:rsid w:val="009C0E38"/>
    <w:rsid w:val="009E0723"/>
    <w:rsid w:val="00AE4DA3"/>
    <w:rsid w:val="00B7084B"/>
    <w:rsid w:val="00CA39C9"/>
    <w:rsid w:val="00CC2F1A"/>
    <w:rsid w:val="00D15596"/>
    <w:rsid w:val="00D165D9"/>
    <w:rsid w:val="00D75FA7"/>
    <w:rsid w:val="00D84228"/>
    <w:rsid w:val="00DA25DA"/>
    <w:rsid w:val="00E22212"/>
    <w:rsid w:val="00EF5C3A"/>
    <w:rsid w:val="00F8189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2815D"/>
  <w15:chartTrackingRefBased/>
  <w15:docId w15:val="{F92E767D-A7AA-4290-83F8-4AA4FEA44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9817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9817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9817E8"/>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9817E8"/>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9817E8"/>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9817E8"/>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9817E8"/>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9817E8"/>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9817E8"/>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9817E8"/>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9817E8"/>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9817E8"/>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9817E8"/>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9817E8"/>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9817E8"/>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9817E8"/>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9817E8"/>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9817E8"/>
    <w:rPr>
      <w:rFonts w:eastAsiaTheme="majorEastAsia" w:cstheme="majorBidi"/>
      <w:color w:val="272727" w:themeColor="text1" w:themeTint="D8"/>
    </w:rPr>
  </w:style>
  <w:style w:type="paragraph" w:styleId="Titolo">
    <w:name w:val="Title"/>
    <w:basedOn w:val="Normale"/>
    <w:next w:val="Normale"/>
    <w:link w:val="TitoloCarattere"/>
    <w:uiPriority w:val="10"/>
    <w:qFormat/>
    <w:rsid w:val="009817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9817E8"/>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9817E8"/>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9817E8"/>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9817E8"/>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9817E8"/>
    <w:rPr>
      <w:i/>
      <w:iCs/>
      <w:color w:val="404040" w:themeColor="text1" w:themeTint="BF"/>
    </w:rPr>
  </w:style>
  <w:style w:type="paragraph" w:styleId="Paragrafoelenco">
    <w:name w:val="List Paragraph"/>
    <w:basedOn w:val="Normale"/>
    <w:uiPriority w:val="34"/>
    <w:qFormat/>
    <w:rsid w:val="009817E8"/>
    <w:pPr>
      <w:ind w:left="720"/>
      <w:contextualSpacing/>
    </w:pPr>
  </w:style>
  <w:style w:type="character" w:styleId="Enfasiintensa">
    <w:name w:val="Intense Emphasis"/>
    <w:basedOn w:val="Carpredefinitoparagrafo"/>
    <w:uiPriority w:val="21"/>
    <w:qFormat/>
    <w:rsid w:val="009817E8"/>
    <w:rPr>
      <w:i/>
      <w:iCs/>
      <w:color w:val="0F4761" w:themeColor="accent1" w:themeShade="BF"/>
    </w:rPr>
  </w:style>
  <w:style w:type="paragraph" w:styleId="Citazioneintensa">
    <w:name w:val="Intense Quote"/>
    <w:basedOn w:val="Normale"/>
    <w:next w:val="Normale"/>
    <w:link w:val="CitazioneintensaCarattere"/>
    <w:uiPriority w:val="30"/>
    <w:qFormat/>
    <w:rsid w:val="009817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9817E8"/>
    <w:rPr>
      <w:i/>
      <w:iCs/>
      <w:color w:val="0F4761" w:themeColor="accent1" w:themeShade="BF"/>
    </w:rPr>
  </w:style>
  <w:style w:type="character" w:styleId="Riferimentointenso">
    <w:name w:val="Intense Reference"/>
    <w:basedOn w:val="Carpredefinitoparagrafo"/>
    <w:uiPriority w:val="32"/>
    <w:qFormat/>
    <w:rsid w:val="009817E8"/>
    <w:rPr>
      <w:b/>
      <w:bCs/>
      <w:smallCaps/>
      <w:color w:val="0F4761" w:themeColor="accent1" w:themeShade="BF"/>
      <w:spacing w:val="5"/>
    </w:rPr>
  </w:style>
  <w:style w:type="character" w:styleId="Testosegnaposto">
    <w:name w:val="Placeholder Text"/>
    <w:basedOn w:val="Carpredefinitoparagrafo"/>
    <w:uiPriority w:val="99"/>
    <w:semiHidden/>
    <w:rsid w:val="00B7084B"/>
    <w:rPr>
      <w:color w:val="666666"/>
    </w:rPr>
  </w:style>
  <w:style w:type="paragraph" w:styleId="NormaleWeb">
    <w:name w:val="Normal (Web)"/>
    <w:basedOn w:val="Normale"/>
    <w:uiPriority w:val="99"/>
    <w:semiHidden/>
    <w:unhideWhenUsed/>
    <w:rsid w:val="00CC2F1A"/>
    <w:rPr>
      <w:rFonts w:ascii="Times New Roman" w:hAnsi="Times New Roman" w:cs="Times New Roman"/>
      <w:sz w:val="24"/>
      <w:szCs w:val="24"/>
    </w:rPr>
  </w:style>
  <w:style w:type="paragraph" w:styleId="Intestazione">
    <w:name w:val="header"/>
    <w:basedOn w:val="Normale"/>
    <w:link w:val="IntestazioneCarattere"/>
    <w:uiPriority w:val="99"/>
    <w:unhideWhenUsed/>
    <w:rsid w:val="00CC2F1A"/>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CC2F1A"/>
  </w:style>
  <w:style w:type="paragraph" w:styleId="Pidipagina">
    <w:name w:val="footer"/>
    <w:basedOn w:val="Normale"/>
    <w:link w:val="PidipaginaCarattere"/>
    <w:uiPriority w:val="99"/>
    <w:unhideWhenUsed/>
    <w:rsid w:val="00CC2F1A"/>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CC2F1A"/>
  </w:style>
  <w:style w:type="paragraph" w:styleId="Didascalia">
    <w:name w:val="caption"/>
    <w:basedOn w:val="Normale"/>
    <w:next w:val="Normale"/>
    <w:uiPriority w:val="35"/>
    <w:unhideWhenUsed/>
    <w:qFormat/>
    <w:rsid w:val="00002ACD"/>
    <w:pPr>
      <w:spacing w:after="200" w:line="240" w:lineRule="auto"/>
    </w:pPr>
    <w:rPr>
      <w:i/>
      <w:iCs/>
      <w:color w:val="0E2841" w:themeColor="text2"/>
      <w:sz w:val="18"/>
      <w:szCs w:val="18"/>
    </w:rPr>
  </w:style>
  <w:style w:type="table" w:styleId="Grigliatabella">
    <w:name w:val="Table Grid"/>
    <w:basedOn w:val="Tabellanormale"/>
    <w:uiPriority w:val="39"/>
    <w:rsid w:val="000336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stonotaapidipagina">
    <w:name w:val="footnote text"/>
    <w:basedOn w:val="Normale"/>
    <w:link w:val="TestonotaapidipaginaCarattere"/>
    <w:uiPriority w:val="99"/>
    <w:semiHidden/>
    <w:unhideWhenUsed/>
    <w:rsid w:val="00783906"/>
    <w:pPr>
      <w:spacing w:after="0" w:line="240" w:lineRule="auto"/>
    </w:pPr>
    <w:rPr>
      <w:sz w:val="20"/>
      <w:szCs w:val="20"/>
    </w:rPr>
  </w:style>
  <w:style w:type="character" w:customStyle="1" w:styleId="TestonotaapidipaginaCarattere">
    <w:name w:val="Testo nota a piè di pagina Carattere"/>
    <w:basedOn w:val="Carpredefinitoparagrafo"/>
    <w:link w:val="Testonotaapidipagina"/>
    <w:uiPriority w:val="99"/>
    <w:semiHidden/>
    <w:rsid w:val="00783906"/>
    <w:rPr>
      <w:sz w:val="20"/>
      <w:szCs w:val="20"/>
    </w:rPr>
  </w:style>
  <w:style w:type="character" w:styleId="Rimandonotaapidipagina">
    <w:name w:val="footnote reference"/>
    <w:basedOn w:val="Carpredefinitoparagrafo"/>
    <w:uiPriority w:val="99"/>
    <w:semiHidden/>
    <w:unhideWhenUsed/>
    <w:rsid w:val="00783906"/>
    <w:rPr>
      <w:vertAlign w:val="superscript"/>
    </w:rPr>
  </w:style>
  <w:style w:type="character" w:styleId="Enfasidelicata">
    <w:name w:val="Subtle Emphasis"/>
    <w:basedOn w:val="Carpredefinitoparagrafo"/>
    <w:uiPriority w:val="19"/>
    <w:qFormat/>
    <w:rsid w:val="009663E6"/>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C1A93A-F1A1-48FC-8B36-180C316263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205</TotalTime>
  <Pages>26</Pages>
  <Words>10812</Words>
  <Characters>61632</Characters>
  <Application>Microsoft Office Word</Application>
  <DocSecurity>0</DocSecurity>
  <Lines>513</Lines>
  <Paragraphs>144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72300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Martina GAMBINA</dc:creator>
  <cp:keywords/>
  <dc:description/>
  <cp:lastModifiedBy>Martina GAMBINA</cp:lastModifiedBy>
  <cp:revision>15</cp:revision>
  <dcterms:created xsi:type="dcterms:W3CDTF">2026-05-10T07:37:00Z</dcterms:created>
  <dcterms:modified xsi:type="dcterms:W3CDTF">2026-05-27T11:31:00Z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f8d54c8a-fa99-4505-bd16-ed4d992ad6a0</vt:lpwstr>
  </property>
</Properties>
</file>