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D149" w14:textId="5D958914" w:rsidR="0022295B" w:rsidRPr="0022295B" w:rsidRDefault="006E079F" w:rsidP="0022295B">
      <w:pPr>
        <w:jc w:val="both"/>
        <w:rPr>
          <w:rFonts w:ascii="Times New Roman" w:hAnsi="Times New Roman" w:cs="Times New Roman"/>
          <w:b/>
          <w:bCs/>
          <w:sz w:val="24"/>
          <w:szCs w:val="24"/>
        </w:rPr>
      </w:pPr>
      <w:r>
        <w:rPr>
          <w:rFonts w:ascii="Times New Roman" w:hAnsi="Times New Roman" w:cs="Times New Roman"/>
          <w:b/>
          <w:bCs/>
          <w:sz w:val="24"/>
          <w:szCs w:val="24"/>
        </w:rPr>
        <w:t xml:space="preserve">Capitolo </w:t>
      </w:r>
      <w:r w:rsidR="007D19CB">
        <w:rPr>
          <w:rFonts w:ascii="Times New Roman" w:hAnsi="Times New Roman" w:cs="Times New Roman"/>
          <w:b/>
          <w:bCs/>
          <w:sz w:val="24"/>
          <w:szCs w:val="24"/>
        </w:rPr>
        <w:t>3</w:t>
      </w:r>
      <w:r w:rsidR="0022295B" w:rsidRPr="0022295B">
        <w:rPr>
          <w:rFonts w:ascii="Times New Roman" w:hAnsi="Times New Roman" w:cs="Times New Roman"/>
          <w:b/>
          <w:bCs/>
          <w:sz w:val="24"/>
          <w:szCs w:val="24"/>
        </w:rPr>
        <w:t xml:space="preserve">. </w:t>
      </w:r>
      <w:r w:rsidR="00D11ED9">
        <w:rPr>
          <w:rFonts w:ascii="Times New Roman" w:hAnsi="Times New Roman" w:cs="Times New Roman"/>
          <w:b/>
          <w:bCs/>
          <w:sz w:val="24"/>
          <w:szCs w:val="24"/>
        </w:rPr>
        <w:t>Empirical Evidence</w:t>
      </w:r>
    </w:p>
    <w:p w14:paraId="79832AAB" w14:textId="0C1E461A"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 xml:space="preserve">Il presente capitolo illustra i risultati empirici ottenuti dall’implementazione del framework sperimentale descritto nel Capitolo </w:t>
      </w:r>
      <w:r w:rsidR="00216505">
        <w:rPr>
          <w:rFonts w:ascii="Times New Roman" w:hAnsi="Times New Roman" w:cs="Times New Roman"/>
          <w:sz w:val="24"/>
          <w:szCs w:val="24"/>
        </w:rPr>
        <w:t>2</w:t>
      </w:r>
      <w:r w:rsidRPr="0022295B">
        <w:rPr>
          <w:rFonts w:ascii="Times New Roman" w:hAnsi="Times New Roman" w:cs="Times New Roman"/>
          <w:sz w:val="24"/>
          <w:szCs w:val="24"/>
        </w:rPr>
        <w:t>, finalizzato a valutare la capacità predittiva di modelli linguistici di grandi dimensioni (LLMs) nel contesto del forecasting azionario intraday. L’analisi è stata condotta in ambiente rigorosamente real-time e out-of-sample.</w:t>
      </w:r>
    </w:p>
    <w:p w14:paraId="3808EB9E" w14:textId="18DED2DC"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L’esperimento ha coinvolto tre differenti configurazioni di modelli linguistici: ChatGPT</w:t>
      </w:r>
      <w:r w:rsidR="009B0043">
        <w:rPr>
          <w:rFonts w:ascii="Times New Roman" w:hAnsi="Times New Roman" w:cs="Times New Roman"/>
          <w:sz w:val="24"/>
          <w:szCs w:val="24"/>
        </w:rPr>
        <w:t xml:space="preserve"> 5.5</w:t>
      </w:r>
      <w:r w:rsidRPr="0022295B">
        <w:rPr>
          <w:rFonts w:ascii="Times New Roman" w:hAnsi="Times New Roman" w:cs="Times New Roman"/>
          <w:sz w:val="24"/>
          <w:szCs w:val="24"/>
        </w:rPr>
        <w:t xml:space="preserve"> versione loggata (CGL), ChatGPT</w:t>
      </w:r>
      <w:r w:rsidR="009B0043">
        <w:rPr>
          <w:rFonts w:ascii="Times New Roman" w:hAnsi="Times New Roman" w:cs="Times New Roman"/>
          <w:sz w:val="24"/>
          <w:szCs w:val="24"/>
        </w:rPr>
        <w:t xml:space="preserve"> 5.5</w:t>
      </w:r>
      <w:r w:rsidRPr="0022295B">
        <w:rPr>
          <w:rFonts w:ascii="Times New Roman" w:hAnsi="Times New Roman" w:cs="Times New Roman"/>
          <w:sz w:val="24"/>
          <w:szCs w:val="24"/>
        </w:rPr>
        <w:t xml:space="preserve"> versione non loggata (CGP) e Gemini Pro</w:t>
      </w:r>
      <w:r w:rsidR="009B0043">
        <w:rPr>
          <w:rFonts w:ascii="Times New Roman" w:hAnsi="Times New Roman" w:cs="Times New Roman"/>
          <w:sz w:val="24"/>
          <w:szCs w:val="24"/>
        </w:rPr>
        <w:t xml:space="preserve"> 3.1</w:t>
      </w:r>
      <w:r w:rsidRPr="0022295B">
        <w:rPr>
          <w:rFonts w:ascii="Times New Roman" w:hAnsi="Times New Roman" w:cs="Times New Roman"/>
          <w:sz w:val="24"/>
          <w:szCs w:val="24"/>
        </w:rPr>
        <w:t xml:space="preserve"> (G). Per ciascun modello sono stati raccolti quotidianamente segnali relativi a:</w:t>
      </w:r>
    </w:p>
    <w:p w14:paraId="4943CBDD" w14:textId="77777777" w:rsidR="0022295B" w:rsidRPr="0022295B" w:rsidRDefault="0022295B" w:rsidP="0022295B">
      <w:pPr>
        <w:numPr>
          <w:ilvl w:val="0"/>
          <w:numId w:val="1"/>
        </w:numPr>
        <w:jc w:val="both"/>
        <w:rPr>
          <w:rFonts w:ascii="Times New Roman" w:hAnsi="Times New Roman" w:cs="Times New Roman"/>
          <w:sz w:val="24"/>
          <w:szCs w:val="24"/>
        </w:rPr>
      </w:pPr>
      <w:r w:rsidRPr="0022295B">
        <w:rPr>
          <w:rFonts w:ascii="Times New Roman" w:hAnsi="Times New Roman" w:cs="Times New Roman"/>
          <w:sz w:val="24"/>
          <w:szCs w:val="24"/>
        </w:rPr>
        <w:t>selezione dei titoli con maggiore probabilità di sovraperformance (Long);</w:t>
      </w:r>
    </w:p>
    <w:p w14:paraId="48F0B15B" w14:textId="77777777" w:rsidR="0022295B" w:rsidRPr="0022295B" w:rsidRDefault="0022295B" w:rsidP="0022295B">
      <w:pPr>
        <w:numPr>
          <w:ilvl w:val="0"/>
          <w:numId w:val="1"/>
        </w:numPr>
        <w:jc w:val="both"/>
        <w:rPr>
          <w:rFonts w:ascii="Times New Roman" w:hAnsi="Times New Roman" w:cs="Times New Roman"/>
          <w:sz w:val="24"/>
          <w:szCs w:val="24"/>
        </w:rPr>
      </w:pPr>
      <w:r w:rsidRPr="0022295B">
        <w:rPr>
          <w:rFonts w:ascii="Times New Roman" w:hAnsi="Times New Roman" w:cs="Times New Roman"/>
          <w:sz w:val="24"/>
          <w:szCs w:val="24"/>
        </w:rPr>
        <w:t>selezione dei titoli con maggiore probabilità di sottoperformance (Short);</w:t>
      </w:r>
    </w:p>
    <w:p w14:paraId="54D0C241" w14:textId="77777777" w:rsidR="0022295B" w:rsidRPr="0022295B" w:rsidRDefault="0022295B" w:rsidP="0022295B">
      <w:pPr>
        <w:numPr>
          <w:ilvl w:val="0"/>
          <w:numId w:val="1"/>
        </w:numPr>
        <w:jc w:val="both"/>
        <w:rPr>
          <w:rFonts w:ascii="Times New Roman" w:hAnsi="Times New Roman" w:cs="Times New Roman"/>
          <w:sz w:val="24"/>
          <w:szCs w:val="24"/>
        </w:rPr>
      </w:pPr>
      <w:r w:rsidRPr="0022295B">
        <w:rPr>
          <w:rFonts w:ascii="Times New Roman" w:hAnsi="Times New Roman" w:cs="Times New Roman"/>
          <w:sz w:val="24"/>
          <w:szCs w:val="24"/>
        </w:rPr>
        <w:t>previsione direzionale dell’indice S&amp;P 500;</w:t>
      </w:r>
    </w:p>
    <w:p w14:paraId="67B91B6A" w14:textId="77777777" w:rsidR="0022295B" w:rsidRPr="0022295B" w:rsidRDefault="0022295B" w:rsidP="0022295B">
      <w:pPr>
        <w:numPr>
          <w:ilvl w:val="0"/>
          <w:numId w:val="1"/>
        </w:numPr>
        <w:jc w:val="both"/>
        <w:rPr>
          <w:rFonts w:ascii="Times New Roman" w:hAnsi="Times New Roman" w:cs="Times New Roman"/>
          <w:sz w:val="24"/>
          <w:szCs w:val="24"/>
        </w:rPr>
      </w:pPr>
      <w:r w:rsidRPr="0022295B">
        <w:rPr>
          <w:rFonts w:ascii="Times New Roman" w:hAnsi="Times New Roman" w:cs="Times New Roman"/>
          <w:sz w:val="24"/>
          <w:szCs w:val="24"/>
        </w:rPr>
        <w:t>stime puntuali del prezzo di chiusura del giorno successivo.</w:t>
      </w:r>
    </w:p>
    <w:p w14:paraId="435DAF9D" w14:textId="7F199BBA"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A partire da tali output sono stati costruiti differenti portafogli sperimentali mediante tre schemi di ponderazione: equally weighted (EW), signal weighted (SW) e value weighted (VW). Le performance ottenute sono state successivamente valutate sia in termini di rendimenti grezzi sia attraverso metriche risk-adjusted coerenti con la letteratura di asset pricing</w:t>
      </w:r>
      <w:r>
        <w:rPr>
          <w:rStyle w:val="Rimandonotaapidipagina"/>
          <w:rFonts w:ascii="Times New Roman" w:hAnsi="Times New Roman" w:cs="Times New Roman"/>
          <w:sz w:val="24"/>
          <w:szCs w:val="24"/>
        </w:rPr>
        <w:footnoteReference w:id="1"/>
      </w:r>
      <w:r>
        <w:rPr>
          <w:rFonts w:ascii="Times New Roman" w:hAnsi="Times New Roman" w:cs="Times New Roman"/>
          <w:sz w:val="24"/>
          <w:szCs w:val="24"/>
        </w:rPr>
        <w:t>.</w:t>
      </w:r>
    </w:p>
    <w:p w14:paraId="0D4DCBC0" w14:textId="77777777" w:rsidR="009B0043"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 xml:space="preserve">L’obiettivo dell’analisi non consiste esclusivamente nel verificare l’accuratezza direzionale delle previsioni generate dagli LLMs, ma soprattutto nel determinare se tali modelli siano in grado di produrre rendimenti economicamente significativi e statisticamente robusti una volta </w:t>
      </w:r>
      <w:r w:rsidR="009B0043">
        <w:rPr>
          <w:rFonts w:ascii="Times New Roman" w:hAnsi="Times New Roman" w:cs="Times New Roman"/>
          <w:sz w:val="24"/>
          <w:szCs w:val="24"/>
        </w:rPr>
        <w:t>corretti</w:t>
      </w:r>
      <w:r w:rsidRPr="0022295B">
        <w:rPr>
          <w:rFonts w:ascii="Times New Roman" w:hAnsi="Times New Roman" w:cs="Times New Roman"/>
          <w:sz w:val="24"/>
          <w:szCs w:val="24"/>
        </w:rPr>
        <w:t xml:space="preserve"> per il rischio sistematico. </w:t>
      </w:r>
    </w:p>
    <w:p w14:paraId="7BAEDDD5" w14:textId="406C1426"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I risultati empirici mostrano un quadro articolato. Da un lato, alcuni portafogli — in particolare quelli costruiti utilizzando il modello Gemini Pro e schemi di ponderazione value-weighted — evidenziano performance cumulative positive e Sharpe ratio moderatamente superiori rispetto alle alternative considerate. Dall’altro lato, tali evidenze tendono a perdere significatività una volta analizzate all’interno di un framework risk-adjusted, suggerendo che i rendimenti osservati possano riflettere prevalentemente esposizioni sistematiche al rischio piuttosto che reale capacità di stock selection da parte dei modelli linguistici.</w:t>
      </w:r>
    </w:p>
    <w:p w14:paraId="7E811E8C" w14:textId="523E4AD9"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Parallelamente, l’analisi qualitativa delle sessioni di raccolta dati evidenzia significativi problemi di instabilità operativa e incoerenza inferenziale. Nel corso dell’esperimento sono infatti emersi fenomeni ricorrenti di prompt non-compliance, allucinazioni numeriche, divergenze cross-session e incoerenze direzionali interne agli stessi modelli</w:t>
      </w:r>
      <w:r>
        <w:rPr>
          <w:rStyle w:val="Rimandonotaapidipagina"/>
          <w:rFonts w:ascii="Times New Roman" w:hAnsi="Times New Roman" w:cs="Times New Roman"/>
          <w:sz w:val="24"/>
          <w:szCs w:val="24"/>
        </w:rPr>
        <w:footnoteReference w:id="2"/>
      </w:r>
      <w:r w:rsidRPr="0022295B">
        <w:rPr>
          <w:rFonts w:ascii="Times New Roman" w:hAnsi="Times New Roman" w:cs="Times New Roman"/>
          <w:sz w:val="24"/>
          <w:szCs w:val="24"/>
        </w:rPr>
        <w:t>.</w:t>
      </w:r>
      <w:r>
        <w:rPr>
          <w:rFonts w:ascii="Times New Roman" w:hAnsi="Times New Roman" w:cs="Times New Roman"/>
          <w:sz w:val="24"/>
          <w:szCs w:val="24"/>
        </w:rPr>
        <w:t xml:space="preserve"> </w:t>
      </w:r>
      <w:r w:rsidRPr="0022295B">
        <w:rPr>
          <w:rFonts w:ascii="Times New Roman" w:hAnsi="Times New Roman" w:cs="Times New Roman"/>
          <w:sz w:val="24"/>
          <w:szCs w:val="24"/>
        </w:rPr>
        <w:t xml:space="preserve">Tali evidenze assumono particolare rilevanza metodologica poiché suggeriscono che il comportamento operativo degli LLMs in ambiente real-time </w:t>
      </w:r>
      <w:r w:rsidRPr="0022295B">
        <w:rPr>
          <w:rFonts w:ascii="Times New Roman" w:hAnsi="Times New Roman" w:cs="Times New Roman"/>
          <w:sz w:val="24"/>
          <w:szCs w:val="24"/>
        </w:rPr>
        <w:lastRenderedPageBreak/>
        <w:t>risulti significativamente meno stabile rispetto a quanto spesso implicato dalla letteratura sperimentale retrospettiva.</w:t>
      </w:r>
    </w:p>
    <w:p w14:paraId="3A7DEFE6" w14:textId="1869E75B" w:rsidR="0022295B" w:rsidRPr="0022295B" w:rsidRDefault="009B0043" w:rsidP="0022295B">
      <w:pPr>
        <w:jc w:val="both"/>
        <w:rPr>
          <w:rFonts w:ascii="Times New Roman" w:hAnsi="Times New Roman" w:cs="Times New Roman"/>
          <w:sz w:val="24"/>
          <w:szCs w:val="24"/>
        </w:rPr>
      </w:pPr>
      <w:r>
        <w:rPr>
          <w:rFonts w:ascii="Times New Roman" w:hAnsi="Times New Roman" w:cs="Times New Roman"/>
          <w:sz w:val="24"/>
          <w:szCs w:val="24"/>
        </w:rPr>
        <w:t xml:space="preserve">I </w:t>
      </w:r>
      <w:r w:rsidR="0022295B" w:rsidRPr="0022295B">
        <w:rPr>
          <w:rFonts w:ascii="Times New Roman" w:hAnsi="Times New Roman" w:cs="Times New Roman"/>
          <w:sz w:val="24"/>
          <w:szCs w:val="24"/>
        </w:rPr>
        <w:t>risultati ottenuti indicano che, pur producendo output finanziariamente plausibili e talvolta coerenti con il sentiment di mercato prevalente, i modelli linguistici analizzati non mostrano evidenza robusta di capacità predittiva economicamente sfruttabile nel contesto intraday considerato.</w:t>
      </w:r>
    </w:p>
    <w:p w14:paraId="604627A5" w14:textId="35FFE3AF" w:rsidR="0022295B" w:rsidRPr="00216505" w:rsidRDefault="007D19CB" w:rsidP="0022295B">
      <w:pPr>
        <w:jc w:val="both"/>
        <w:rPr>
          <w:rFonts w:ascii="Times New Roman" w:hAnsi="Times New Roman" w:cs="Times New Roman"/>
          <w:b/>
          <w:bCs/>
          <w:sz w:val="24"/>
          <w:szCs w:val="24"/>
        </w:rPr>
      </w:pPr>
      <w:r w:rsidRPr="00216505">
        <w:rPr>
          <w:rFonts w:ascii="Times New Roman" w:hAnsi="Times New Roman" w:cs="Times New Roman"/>
          <w:b/>
          <w:bCs/>
          <w:sz w:val="24"/>
          <w:szCs w:val="24"/>
        </w:rPr>
        <w:t>3</w:t>
      </w:r>
      <w:r w:rsidR="0022295B" w:rsidRPr="00216505">
        <w:rPr>
          <w:rFonts w:ascii="Times New Roman" w:hAnsi="Times New Roman" w:cs="Times New Roman"/>
          <w:b/>
          <w:bCs/>
          <w:sz w:val="24"/>
          <w:szCs w:val="24"/>
        </w:rPr>
        <w:t>.</w:t>
      </w:r>
      <w:r w:rsidR="00D11ED9" w:rsidRPr="00216505">
        <w:rPr>
          <w:rFonts w:ascii="Times New Roman" w:hAnsi="Times New Roman" w:cs="Times New Roman"/>
          <w:b/>
          <w:bCs/>
          <w:sz w:val="24"/>
          <w:szCs w:val="24"/>
        </w:rPr>
        <w:t>1</w:t>
      </w:r>
      <w:r w:rsidR="0022295B" w:rsidRPr="00216505">
        <w:rPr>
          <w:rFonts w:ascii="Times New Roman" w:hAnsi="Times New Roman" w:cs="Times New Roman"/>
          <w:b/>
          <w:bCs/>
          <w:sz w:val="24"/>
          <w:szCs w:val="24"/>
        </w:rPr>
        <w:t xml:space="preserve"> Directional Accuracy </w:t>
      </w:r>
      <w:r w:rsidR="00D11ED9" w:rsidRPr="00216505">
        <w:rPr>
          <w:rFonts w:ascii="Times New Roman" w:hAnsi="Times New Roman" w:cs="Times New Roman"/>
          <w:b/>
          <w:bCs/>
          <w:sz w:val="24"/>
          <w:szCs w:val="24"/>
        </w:rPr>
        <w:t>and</w:t>
      </w:r>
      <w:r w:rsidR="0022295B" w:rsidRPr="00216505">
        <w:rPr>
          <w:rFonts w:ascii="Times New Roman" w:hAnsi="Times New Roman" w:cs="Times New Roman"/>
          <w:b/>
          <w:bCs/>
          <w:sz w:val="24"/>
          <w:szCs w:val="24"/>
        </w:rPr>
        <w:t xml:space="preserve"> Market Timing</w:t>
      </w:r>
    </w:p>
    <w:p w14:paraId="7E6BD016" w14:textId="7777777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La prima dimensione analizzata riguarda la capacità dei modelli linguistici di prevedere correttamente la direzione dei rendimenti azionari nel giorno di trading successivo. In particolare, l’analisi si concentra sia sull’accuratezza dei segnali Long e Short relativi ai singoli titoli, sia sulla capacità di market timing riferita all’indice S&amp;P 500.</w:t>
      </w:r>
    </w:p>
    <w:p w14:paraId="091AD275" w14:textId="7777777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L’accuratezza direzionale rappresenta una misura intuitiva della qualità predittiva di un modello, ma non necessariamente sufficiente a dimostrare la presenza di una reale capacità di generare abnormal returns. In mercati caratterizzati da elevata efficienza informativa, infatti, anche percentuali di successo leggermente superiori al 50% possono risultare economicamente irrilevanti una volta considerati costi di transazione, volatilità e rischio sistematico. Per tale ragione, i risultati presentati in questa sezione costituiscono soltanto il primo livello dell’analisi empirica, successivamente approfondito mediante metriche risk-adjusted.</w:t>
      </w:r>
    </w:p>
    <w:p w14:paraId="65088CB9" w14:textId="50C73433" w:rsidR="0022295B" w:rsidRPr="00D11ED9" w:rsidRDefault="007D19CB" w:rsidP="0022295B">
      <w:pPr>
        <w:jc w:val="both"/>
        <w:rPr>
          <w:rFonts w:ascii="Times New Roman" w:hAnsi="Times New Roman" w:cs="Times New Roman"/>
          <w:b/>
          <w:bCs/>
          <w:sz w:val="24"/>
          <w:szCs w:val="24"/>
          <w:lang w:val="en-GB"/>
        </w:rPr>
      </w:pPr>
      <w:r w:rsidRPr="00D11ED9">
        <w:rPr>
          <w:rFonts w:ascii="Times New Roman" w:hAnsi="Times New Roman" w:cs="Times New Roman"/>
          <w:b/>
          <w:bCs/>
          <w:sz w:val="24"/>
          <w:szCs w:val="24"/>
          <w:lang w:val="en-GB"/>
        </w:rPr>
        <w:t>3</w:t>
      </w:r>
      <w:r w:rsidR="0022295B" w:rsidRPr="00D11ED9">
        <w:rPr>
          <w:rFonts w:ascii="Times New Roman" w:hAnsi="Times New Roman" w:cs="Times New Roman"/>
          <w:b/>
          <w:bCs/>
          <w:sz w:val="24"/>
          <w:szCs w:val="24"/>
          <w:lang w:val="en-GB"/>
        </w:rPr>
        <w:t>.</w:t>
      </w:r>
      <w:r w:rsidR="00D11ED9" w:rsidRPr="00D11ED9">
        <w:rPr>
          <w:rFonts w:ascii="Times New Roman" w:hAnsi="Times New Roman" w:cs="Times New Roman"/>
          <w:b/>
          <w:bCs/>
          <w:sz w:val="24"/>
          <w:szCs w:val="24"/>
          <w:lang w:val="en-GB"/>
        </w:rPr>
        <w:t>1</w:t>
      </w:r>
      <w:r w:rsidR="0022295B" w:rsidRPr="00D11ED9">
        <w:rPr>
          <w:rFonts w:ascii="Times New Roman" w:hAnsi="Times New Roman" w:cs="Times New Roman"/>
          <w:b/>
          <w:bCs/>
          <w:sz w:val="24"/>
          <w:szCs w:val="24"/>
          <w:lang w:val="en-GB"/>
        </w:rPr>
        <w:t xml:space="preserve">.1 </w:t>
      </w:r>
      <w:r w:rsidR="00D11ED9" w:rsidRPr="00D11ED9">
        <w:rPr>
          <w:rFonts w:ascii="Times New Roman" w:hAnsi="Times New Roman" w:cs="Times New Roman"/>
          <w:b/>
          <w:bCs/>
          <w:sz w:val="24"/>
          <w:szCs w:val="24"/>
          <w:lang w:val="en-GB"/>
        </w:rPr>
        <w:t>Directional Accuracy of Long and Short Signals</w:t>
      </w:r>
    </w:p>
    <w:p w14:paraId="140B7438" w14:textId="5D281C5F"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sz w:val="24"/>
          <w:szCs w:val="24"/>
        </w:rPr>
        <w:t xml:space="preserve">La Tabella </w:t>
      </w:r>
      <w:r w:rsidR="00D97E63">
        <w:rPr>
          <w:rFonts w:ascii="Times New Roman" w:hAnsi="Times New Roman" w:cs="Times New Roman"/>
          <w:sz w:val="24"/>
          <w:szCs w:val="24"/>
        </w:rPr>
        <w:t>1</w:t>
      </w:r>
      <w:r w:rsidRPr="0022295B">
        <w:rPr>
          <w:rFonts w:ascii="Times New Roman" w:hAnsi="Times New Roman" w:cs="Times New Roman"/>
          <w:sz w:val="24"/>
          <w:szCs w:val="24"/>
        </w:rPr>
        <w:t xml:space="preserve"> riporta i risultati relativi ai test di accuratezza direzionale per i segnali Long e Short generati dai modelli linguistici.</w:t>
      </w:r>
    </w:p>
    <w:p w14:paraId="383ECD2A" w14:textId="31A1FFA8" w:rsidR="00D97E63" w:rsidRPr="00216505" w:rsidRDefault="00D97E63" w:rsidP="00216505">
      <w:pPr>
        <w:pStyle w:val="Didascalia"/>
        <w:keepNext/>
        <w:rPr>
          <w:color w:val="auto"/>
        </w:rPr>
      </w:pPr>
      <w:r w:rsidRPr="00D97E63">
        <w:rPr>
          <w:color w:val="auto"/>
        </w:rPr>
        <w:t xml:space="preserve">Tabella </w:t>
      </w:r>
      <w:r w:rsidRPr="00D97E63">
        <w:rPr>
          <w:color w:val="auto"/>
        </w:rPr>
        <w:fldChar w:fldCharType="begin"/>
      </w:r>
      <w:r w:rsidRPr="00D97E63">
        <w:rPr>
          <w:color w:val="auto"/>
        </w:rPr>
        <w:instrText xml:space="preserve"> SEQ Tabella \* ARABIC </w:instrText>
      </w:r>
      <w:r w:rsidRPr="00D97E63">
        <w:rPr>
          <w:color w:val="auto"/>
        </w:rPr>
        <w:fldChar w:fldCharType="separate"/>
      </w:r>
      <w:r w:rsidR="00D11ED9">
        <w:rPr>
          <w:noProof/>
          <w:color w:val="auto"/>
        </w:rPr>
        <w:t>1</w:t>
      </w:r>
      <w:r w:rsidRPr="00D97E63">
        <w:rPr>
          <w:color w:val="auto"/>
        </w:rPr>
        <w:fldChar w:fldCharType="end"/>
      </w:r>
    </w:p>
    <w:tbl>
      <w:tblPr>
        <w:tblStyle w:val="Grigliatabella"/>
        <w:tblW w:w="0" w:type="auto"/>
        <w:tblLook w:val="04A0" w:firstRow="1" w:lastRow="0" w:firstColumn="1" w:lastColumn="0" w:noHBand="0" w:noVBand="1"/>
      </w:tblPr>
      <w:tblGrid>
        <w:gridCol w:w="1437"/>
        <w:gridCol w:w="1170"/>
        <w:gridCol w:w="876"/>
        <w:gridCol w:w="1236"/>
        <w:gridCol w:w="1449"/>
      </w:tblGrid>
      <w:tr w:rsidR="00D97E63" w:rsidRPr="00D97E63" w14:paraId="56784918" w14:textId="77777777" w:rsidTr="00D97E63">
        <w:tc>
          <w:tcPr>
            <w:tcW w:w="0" w:type="auto"/>
            <w:tcBorders>
              <w:top w:val="single" w:sz="4" w:space="0" w:color="auto"/>
              <w:left w:val="nil"/>
              <w:bottom w:val="single" w:sz="4" w:space="0" w:color="auto"/>
              <w:right w:val="nil"/>
            </w:tcBorders>
            <w:hideMark/>
          </w:tcPr>
          <w:p w14:paraId="39518B8D"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b/>
                <w:bCs/>
                <w:color w:val="1F1F1F"/>
                <w:kern w:val="0"/>
                <w:sz w:val="24"/>
                <w:szCs w:val="24"/>
                <w:bdr w:val="none" w:sz="0" w:space="0" w:color="auto" w:frame="1"/>
                <w:lang w:eastAsia="it-IT"/>
                <w14:ligatures w14:val="none"/>
              </w:rPr>
              <w:t>Signal Type</w:t>
            </w:r>
          </w:p>
        </w:tc>
        <w:tc>
          <w:tcPr>
            <w:tcW w:w="0" w:type="auto"/>
            <w:tcBorders>
              <w:top w:val="single" w:sz="4" w:space="0" w:color="auto"/>
              <w:left w:val="nil"/>
              <w:bottom w:val="single" w:sz="4" w:space="0" w:color="auto"/>
              <w:right w:val="nil"/>
            </w:tcBorders>
            <w:hideMark/>
          </w:tcPr>
          <w:p w14:paraId="086375DF"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b/>
                <w:bCs/>
                <w:color w:val="1F1F1F"/>
                <w:kern w:val="0"/>
                <w:sz w:val="24"/>
                <w:szCs w:val="24"/>
                <w:bdr w:val="none" w:sz="0" w:space="0" w:color="auto" w:frame="1"/>
                <w:lang w:eastAsia="it-IT"/>
                <w14:ligatures w14:val="none"/>
              </w:rPr>
              <w:t>Hit Ratio</w:t>
            </w:r>
          </w:p>
        </w:tc>
        <w:tc>
          <w:tcPr>
            <w:tcW w:w="0" w:type="auto"/>
            <w:tcBorders>
              <w:top w:val="single" w:sz="4" w:space="0" w:color="auto"/>
              <w:left w:val="nil"/>
              <w:bottom w:val="single" w:sz="4" w:space="0" w:color="auto"/>
              <w:right w:val="nil"/>
            </w:tcBorders>
            <w:hideMark/>
          </w:tcPr>
          <w:p w14:paraId="6AAD90B9"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b/>
                <w:bCs/>
                <w:color w:val="1F1F1F"/>
                <w:kern w:val="0"/>
                <w:sz w:val="24"/>
                <w:szCs w:val="24"/>
                <w:bdr w:val="none" w:sz="0" w:space="0" w:color="auto" w:frame="1"/>
                <w:lang w:eastAsia="it-IT"/>
                <w14:ligatures w14:val="none"/>
              </w:rPr>
              <w:t>t-stat</w:t>
            </w:r>
          </w:p>
        </w:tc>
        <w:tc>
          <w:tcPr>
            <w:tcW w:w="0" w:type="auto"/>
            <w:tcBorders>
              <w:top w:val="single" w:sz="4" w:space="0" w:color="auto"/>
              <w:left w:val="nil"/>
              <w:bottom w:val="single" w:sz="4" w:space="0" w:color="auto"/>
              <w:right w:val="nil"/>
            </w:tcBorders>
            <w:hideMark/>
          </w:tcPr>
          <w:p w14:paraId="1F960990"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b/>
                <w:bCs/>
                <w:color w:val="1F1F1F"/>
                <w:kern w:val="0"/>
                <w:sz w:val="24"/>
                <w:szCs w:val="24"/>
                <w:bdr w:val="none" w:sz="0" w:space="0" w:color="auto" w:frame="1"/>
                <w:lang w:eastAsia="it-IT"/>
                <w14:ligatures w14:val="none"/>
              </w:rPr>
              <w:t>p-value</w:t>
            </w:r>
          </w:p>
        </w:tc>
        <w:tc>
          <w:tcPr>
            <w:tcW w:w="0" w:type="auto"/>
            <w:tcBorders>
              <w:top w:val="single" w:sz="4" w:space="0" w:color="auto"/>
              <w:left w:val="nil"/>
              <w:bottom w:val="single" w:sz="4" w:space="0" w:color="auto"/>
              <w:right w:val="nil"/>
            </w:tcBorders>
            <w:hideMark/>
          </w:tcPr>
          <w:p w14:paraId="59F9928E" w14:textId="57919B26" w:rsidR="00D97E63" w:rsidRPr="00D97E63" w:rsidRDefault="00BD3852" w:rsidP="00D97E63">
            <w:pPr>
              <w:rPr>
                <w:rFonts w:ascii="Times New Roman" w:eastAsia="Times New Roman" w:hAnsi="Times New Roman" w:cs="Times New Roman"/>
                <w:color w:val="1F1F1F"/>
                <w:kern w:val="0"/>
                <w:sz w:val="24"/>
                <w:szCs w:val="24"/>
                <w:lang w:eastAsia="it-IT"/>
                <w14:ligatures w14:val="none"/>
              </w:rPr>
            </w:pPr>
            <w:r>
              <w:rPr>
                <w:rFonts w:ascii="Times New Roman" w:eastAsia="Times New Roman" w:hAnsi="Times New Roman" w:cs="Times New Roman"/>
                <w:b/>
                <w:bCs/>
                <w:color w:val="1F1F1F"/>
                <w:kern w:val="0"/>
                <w:sz w:val="24"/>
                <w:szCs w:val="24"/>
                <w:bdr w:val="none" w:sz="0" w:space="0" w:color="auto" w:frame="1"/>
                <w:lang w:eastAsia="it-IT"/>
                <w14:ligatures w14:val="none"/>
              </w:rPr>
              <w:t>Data Frame</w:t>
            </w:r>
          </w:p>
        </w:tc>
      </w:tr>
      <w:tr w:rsidR="00D97E63" w:rsidRPr="00D97E63" w14:paraId="1092130F" w14:textId="77777777" w:rsidTr="00D97E63">
        <w:tc>
          <w:tcPr>
            <w:tcW w:w="0" w:type="auto"/>
            <w:tcBorders>
              <w:top w:val="single" w:sz="4" w:space="0" w:color="auto"/>
              <w:left w:val="nil"/>
              <w:bottom w:val="nil"/>
              <w:right w:val="nil"/>
            </w:tcBorders>
            <w:hideMark/>
          </w:tcPr>
          <w:p w14:paraId="5F99130E"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Long Picks</w:t>
            </w:r>
          </w:p>
        </w:tc>
        <w:tc>
          <w:tcPr>
            <w:tcW w:w="0" w:type="auto"/>
            <w:tcBorders>
              <w:top w:val="single" w:sz="4" w:space="0" w:color="auto"/>
              <w:left w:val="nil"/>
              <w:bottom w:val="nil"/>
              <w:right w:val="nil"/>
            </w:tcBorders>
            <w:hideMark/>
          </w:tcPr>
          <w:p w14:paraId="0E7CEB29"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53.81% </w:t>
            </w:r>
          </w:p>
        </w:tc>
        <w:tc>
          <w:tcPr>
            <w:tcW w:w="0" w:type="auto"/>
            <w:tcBorders>
              <w:top w:val="single" w:sz="4" w:space="0" w:color="auto"/>
              <w:left w:val="nil"/>
              <w:bottom w:val="nil"/>
              <w:right w:val="nil"/>
            </w:tcBorders>
            <w:hideMark/>
          </w:tcPr>
          <w:p w14:paraId="69564D06" w14:textId="55081B3F"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1.995</w:t>
            </w:r>
            <w:r w:rsidR="00BD3852">
              <w:rPr>
                <w:rFonts w:ascii="Times New Roman" w:eastAsia="Times New Roman" w:hAnsi="Times New Roman" w:cs="Times New Roman"/>
                <w:color w:val="1F1F1F"/>
                <w:kern w:val="0"/>
                <w:sz w:val="24"/>
                <w:szCs w:val="24"/>
                <w:bdr w:val="none" w:sz="0" w:space="0" w:color="auto" w:frame="1"/>
                <w:lang w:eastAsia="it-IT"/>
                <w14:ligatures w14:val="none"/>
              </w:rPr>
              <w:t>5</w:t>
            </w: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 </w:t>
            </w:r>
          </w:p>
        </w:tc>
        <w:tc>
          <w:tcPr>
            <w:tcW w:w="0" w:type="auto"/>
            <w:tcBorders>
              <w:top w:val="single" w:sz="4" w:space="0" w:color="auto"/>
              <w:left w:val="nil"/>
              <w:bottom w:val="nil"/>
              <w:right w:val="nil"/>
            </w:tcBorders>
            <w:hideMark/>
          </w:tcPr>
          <w:p w14:paraId="2ED5C3CF" w14:textId="5CD40899"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0.046</w:t>
            </w:r>
            <w:r w:rsidR="00BD3852">
              <w:rPr>
                <w:rFonts w:ascii="Times New Roman" w:eastAsia="Times New Roman" w:hAnsi="Times New Roman" w:cs="Times New Roman"/>
                <w:color w:val="1F1F1F"/>
                <w:kern w:val="0"/>
                <w:sz w:val="24"/>
                <w:szCs w:val="24"/>
                <w:bdr w:val="none" w:sz="0" w:space="0" w:color="auto" w:frame="1"/>
                <w:lang w:eastAsia="it-IT"/>
                <w14:ligatures w14:val="none"/>
              </w:rPr>
              <w:t>38</w:t>
            </w: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 </w:t>
            </w:r>
          </w:p>
        </w:tc>
        <w:tc>
          <w:tcPr>
            <w:tcW w:w="0" w:type="auto"/>
            <w:tcBorders>
              <w:top w:val="single" w:sz="4" w:space="0" w:color="auto"/>
              <w:left w:val="nil"/>
              <w:bottom w:val="nil"/>
              <w:right w:val="nil"/>
            </w:tcBorders>
            <w:hideMark/>
          </w:tcPr>
          <w:p w14:paraId="59C5B3DD" w14:textId="264EB788"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68</w:t>
            </w:r>
            <w:r w:rsidR="00BD3852">
              <w:rPr>
                <w:rFonts w:ascii="Times New Roman" w:eastAsia="Times New Roman" w:hAnsi="Times New Roman" w:cs="Times New Roman"/>
                <w:color w:val="1F1F1F"/>
                <w:kern w:val="0"/>
                <w:sz w:val="24"/>
                <w:szCs w:val="24"/>
                <w:bdr w:val="none" w:sz="0" w:space="0" w:color="auto" w:frame="1"/>
                <w:lang w:eastAsia="it-IT"/>
                <w14:ligatures w14:val="none"/>
              </w:rPr>
              <w:t>1</w:t>
            </w: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 </w:t>
            </w:r>
          </w:p>
        </w:tc>
      </w:tr>
      <w:tr w:rsidR="00D97E63" w:rsidRPr="00D97E63" w14:paraId="58917B53" w14:textId="77777777" w:rsidTr="007D19CB">
        <w:tc>
          <w:tcPr>
            <w:tcW w:w="0" w:type="auto"/>
            <w:tcBorders>
              <w:top w:val="nil"/>
              <w:left w:val="nil"/>
              <w:bottom w:val="single" w:sz="4" w:space="0" w:color="auto"/>
              <w:right w:val="nil"/>
            </w:tcBorders>
            <w:hideMark/>
          </w:tcPr>
          <w:p w14:paraId="4EF1DDE5"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Short Picks</w:t>
            </w:r>
          </w:p>
        </w:tc>
        <w:tc>
          <w:tcPr>
            <w:tcW w:w="0" w:type="auto"/>
            <w:tcBorders>
              <w:top w:val="nil"/>
              <w:left w:val="nil"/>
              <w:bottom w:val="single" w:sz="4" w:space="0" w:color="auto"/>
              <w:right w:val="nil"/>
            </w:tcBorders>
            <w:hideMark/>
          </w:tcPr>
          <w:p w14:paraId="2FDA83EB"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51.79% </w:t>
            </w:r>
          </w:p>
        </w:tc>
        <w:tc>
          <w:tcPr>
            <w:tcW w:w="0" w:type="auto"/>
            <w:tcBorders>
              <w:top w:val="nil"/>
              <w:left w:val="nil"/>
              <w:bottom w:val="single" w:sz="4" w:space="0" w:color="auto"/>
              <w:right w:val="nil"/>
            </w:tcBorders>
            <w:hideMark/>
          </w:tcPr>
          <w:p w14:paraId="6D038D29" w14:textId="330A1AA0"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0.927</w:t>
            </w:r>
            <w:r w:rsidR="00BD3852">
              <w:rPr>
                <w:rFonts w:ascii="Times New Roman" w:eastAsia="Times New Roman" w:hAnsi="Times New Roman" w:cs="Times New Roman"/>
                <w:color w:val="1F1F1F"/>
                <w:kern w:val="0"/>
                <w:sz w:val="24"/>
                <w:szCs w:val="24"/>
                <w:bdr w:val="none" w:sz="0" w:space="0" w:color="auto" w:frame="1"/>
                <w:lang w:eastAsia="it-IT"/>
                <w14:ligatures w14:val="none"/>
              </w:rPr>
              <w:t>1</w:t>
            </w: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 </w:t>
            </w:r>
          </w:p>
        </w:tc>
        <w:tc>
          <w:tcPr>
            <w:tcW w:w="0" w:type="auto"/>
            <w:tcBorders>
              <w:top w:val="nil"/>
              <w:left w:val="nil"/>
              <w:bottom w:val="single" w:sz="4" w:space="0" w:color="auto"/>
              <w:right w:val="nil"/>
            </w:tcBorders>
            <w:hideMark/>
          </w:tcPr>
          <w:p w14:paraId="3C4B3FFA" w14:textId="77777777"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0.354 </w:t>
            </w:r>
          </w:p>
        </w:tc>
        <w:tc>
          <w:tcPr>
            <w:tcW w:w="0" w:type="auto"/>
            <w:tcBorders>
              <w:top w:val="nil"/>
              <w:left w:val="nil"/>
              <w:bottom w:val="single" w:sz="4" w:space="0" w:color="auto"/>
              <w:right w:val="nil"/>
            </w:tcBorders>
            <w:hideMark/>
          </w:tcPr>
          <w:p w14:paraId="2DE22AD2" w14:textId="06AAC189" w:rsidR="00D97E63" w:rsidRPr="00D97E63" w:rsidRDefault="00D97E63" w:rsidP="00D97E63">
            <w:pPr>
              <w:rPr>
                <w:rFonts w:ascii="Times New Roman" w:eastAsia="Times New Roman" w:hAnsi="Times New Roman" w:cs="Times New Roman"/>
                <w:color w:val="1F1F1F"/>
                <w:kern w:val="0"/>
                <w:sz w:val="24"/>
                <w:szCs w:val="24"/>
                <w:lang w:eastAsia="it-IT"/>
                <w14:ligatures w14:val="none"/>
              </w:rPr>
            </w:pPr>
            <w:r w:rsidRPr="00D97E63">
              <w:rPr>
                <w:rFonts w:ascii="Times New Roman" w:eastAsia="Times New Roman" w:hAnsi="Times New Roman" w:cs="Times New Roman"/>
                <w:color w:val="1F1F1F"/>
                <w:kern w:val="0"/>
                <w:sz w:val="24"/>
                <w:szCs w:val="24"/>
                <w:bdr w:val="none" w:sz="0" w:space="0" w:color="auto" w:frame="1"/>
                <w:lang w:eastAsia="it-IT"/>
                <w14:ligatures w14:val="none"/>
              </w:rPr>
              <w:t>6</w:t>
            </w:r>
            <w:r w:rsidR="00BD3852">
              <w:rPr>
                <w:rFonts w:ascii="Times New Roman" w:eastAsia="Times New Roman" w:hAnsi="Times New Roman" w:cs="Times New Roman"/>
                <w:color w:val="1F1F1F"/>
                <w:kern w:val="0"/>
                <w:sz w:val="24"/>
                <w:szCs w:val="24"/>
                <w:bdr w:val="none" w:sz="0" w:space="0" w:color="auto" w:frame="1"/>
                <w:lang w:eastAsia="it-IT"/>
                <w14:ligatures w14:val="none"/>
              </w:rPr>
              <w:t>69</w:t>
            </w:r>
            <w:r w:rsidRPr="00D97E63">
              <w:rPr>
                <w:rFonts w:ascii="Times New Roman" w:eastAsia="Times New Roman" w:hAnsi="Times New Roman" w:cs="Times New Roman"/>
                <w:color w:val="1F1F1F"/>
                <w:kern w:val="0"/>
                <w:sz w:val="24"/>
                <w:szCs w:val="24"/>
                <w:bdr w:val="none" w:sz="0" w:space="0" w:color="auto" w:frame="1"/>
                <w:lang w:eastAsia="it-IT"/>
                <w14:ligatures w14:val="none"/>
              </w:rPr>
              <w:t xml:space="preserve"> </w:t>
            </w:r>
          </w:p>
        </w:tc>
      </w:tr>
    </w:tbl>
    <w:p w14:paraId="0F5D4AE3" w14:textId="77777777" w:rsidR="00D97E63" w:rsidRDefault="0022295B" w:rsidP="0022295B">
      <w:pPr>
        <w:jc w:val="both"/>
        <w:rPr>
          <w:rFonts w:ascii="Times New Roman" w:hAnsi="Times New Roman" w:cs="Times New Roman"/>
          <w:i/>
          <w:iCs/>
          <w:sz w:val="24"/>
          <w:szCs w:val="24"/>
        </w:rPr>
      </w:pPr>
      <w:r w:rsidRPr="0022295B">
        <w:rPr>
          <w:rFonts w:ascii="Times New Roman" w:hAnsi="Times New Roman" w:cs="Times New Roman"/>
          <w:i/>
          <w:iCs/>
          <w:sz w:val="24"/>
          <w:szCs w:val="24"/>
        </w:rPr>
        <w:t xml:space="preserve">Nota. </w:t>
      </w:r>
      <w:r w:rsidR="00D97E63" w:rsidRPr="00D97E63">
        <w:rPr>
          <w:rFonts w:ascii="Times New Roman" w:hAnsi="Times New Roman" w:cs="Times New Roman"/>
          <w:i/>
          <w:iCs/>
          <w:sz w:val="24"/>
          <w:szCs w:val="24"/>
        </w:rPr>
        <w:t>La tabella riporta i risultati dei one-sample t-test condotti confrontando l’accuratezza osservata con una probabilità teorica pari al 50%. I livelli di significatività statistica sono indicati come segue: p &lt; 0.05.</w:t>
      </w:r>
    </w:p>
    <w:p w14:paraId="69C027D3" w14:textId="46B8919B" w:rsidR="00D97E63" w:rsidRDefault="009B0043" w:rsidP="0022295B">
      <w:pPr>
        <w:jc w:val="both"/>
        <w:rPr>
          <w:rFonts w:ascii="Times New Roman" w:hAnsi="Times New Roman" w:cs="Times New Roman"/>
          <w:sz w:val="24"/>
          <w:szCs w:val="24"/>
        </w:rPr>
      </w:pPr>
      <w:r>
        <w:rPr>
          <w:rFonts w:ascii="Times New Roman" w:hAnsi="Times New Roman" w:cs="Times New Roman"/>
          <w:sz w:val="24"/>
          <w:szCs w:val="24"/>
        </w:rPr>
        <w:t>I</w:t>
      </w:r>
      <w:r w:rsidR="00D97E63" w:rsidRPr="00D97E63">
        <w:rPr>
          <w:rFonts w:ascii="Times New Roman" w:hAnsi="Times New Roman" w:cs="Times New Roman"/>
          <w:sz w:val="24"/>
          <w:szCs w:val="24"/>
        </w:rPr>
        <w:t xml:space="preserve"> segnali Long mostrano un hit ratio pari al 53.81</w:t>
      </w:r>
      <w:r w:rsidR="007D19CB" w:rsidRPr="00D97E63">
        <w:rPr>
          <w:rFonts w:ascii="Times New Roman" w:hAnsi="Times New Roman" w:cs="Times New Roman"/>
          <w:sz w:val="24"/>
          <w:szCs w:val="24"/>
        </w:rPr>
        <w:t>%,</w:t>
      </w:r>
      <w:r w:rsidR="00D97E63" w:rsidRPr="00D97E63">
        <w:rPr>
          <w:rFonts w:ascii="Times New Roman" w:hAnsi="Times New Roman" w:cs="Times New Roman"/>
          <w:sz w:val="24"/>
          <w:szCs w:val="24"/>
        </w:rPr>
        <w:t xml:space="preserve"> mentre i segnali Short si attestano al 51.79%. </w:t>
      </w:r>
      <w:r>
        <w:rPr>
          <w:rFonts w:ascii="Times New Roman" w:hAnsi="Times New Roman" w:cs="Times New Roman"/>
          <w:sz w:val="24"/>
          <w:szCs w:val="24"/>
        </w:rPr>
        <w:t>L</w:t>
      </w:r>
      <w:r w:rsidR="00D97E63" w:rsidRPr="00D97E63">
        <w:rPr>
          <w:rFonts w:ascii="Times New Roman" w:hAnsi="Times New Roman" w:cs="Times New Roman"/>
          <w:sz w:val="24"/>
          <w:szCs w:val="24"/>
        </w:rPr>
        <w:t>'accuratezza direzionale delle posizioni Long risulta statisticamente significativa (con un p-value pari a 0.046), rigettando l'ipotesi nulla di un processo puramente casuale. Al contrario, la capacità predittiva sui segnali Short mantiene un p-value di 0.354, confermandosi statisticamente indistinguibile dal caso.</w:t>
      </w:r>
    </w:p>
    <w:p w14:paraId="0B8B99ED" w14:textId="6D2281B1" w:rsidR="00D97E63" w:rsidRDefault="00D97E63" w:rsidP="0022295B">
      <w:pPr>
        <w:jc w:val="both"/>
        <w:rPr>
          <w:rFonts w:ascii="Times New Roman" w:hAnsi="Times New Roman" w:cs="Times New Roman"/>
          <w:sz w:val="24"/>
          <w:szCs w:val="24"/>
        </w:rPr>
      </w:pPr>
      <w:r w:rsidRPr="00D97E63">
        <w:rPr>
          <w:rFonts w:ascii="Times New Roman" w:hAnsi="Times New Roman" w:cs="Times New Roman"/>
          <w:sz w:val="24"/>
          <w:szCs w:val="24"/>
        </w:rPr>
        <w:t xml:space="preserve"> Da un punto di vista economico, sebbene emerga un lieve ma statisticamente significativo vantaggio direzionale sui titoli Long, quest</w:t>
      </w:r>
      <w:r w:rsidR="009B0043">
        <w:rPr>
          <w:rFonts w:ascii="Times New Roman" w:hAnsi="Times New Roman" w:cs="Times New Roman"/>
          <w:sz w:val="24"/>
          <w:szCs w:val="24"/>
        </w:rPr>
        <w:t>o</w:t>
      </w:r>
      <w:r w:rsidRPr="00D97E63">
        <w:rPr>
          <w:rFonts w:ascii="Times New Roman" w:hAnsi="Times New Roman" w:cs="Times New Roman"/>
          <w:sz w:val="24"/>
          <w:szCs w:val="24"/>
        </w:rPr>
        <w:t xml:space="preserve"> non fornisce evidenza sufficiente a dimostrare che i modelli linguistici siano in grado di estrarre, in modo sistematico e nel brevissimo termine, un'informazione predittiva concretamente sfruttabile dai dati pubblicamente disponibili. Sebbene le risposte generate appaiano frequentemente plausibili dal punto di vista narrativo e coerenti con il contesto macro-finanziario del momento, tale plausibilità linguistica non si traduce in una capacità robusta e generalizzata di anticipare il movimento dei prezzi in entrambe le direzioni.</w:t>
      </w:r>
    </w:p>
    <w:p w14:paraId="1F9D2865" w14:textId="3D1BEFFA" w:rsidR="00D97E63" w:rsidRDefault="00D97E63" w:rsidP="0022295B">
      <w:pPr>
        <w:jc w:val="both"/>
        <w:rPr>
          <w:rFonts w:ascii="Times New Roman" w:hAnsi="Times New Roman" w:cs="Times New Roman"/>
          <w:sz w:val="24"/>
          <w:szCs w:val="24"/>
        </w:rPr>
      </w:pPr>
      <w:r w:rsidRPr="00D97E63">
        <w:rPr>
          <w:rFonts w:ascii="Times New Roman" w:hAnsi="Times New Roman" w:cs="Times New Roman"/>
          <w:sz w:val="24"/>
          <w:szCs w:val="24"/>
        </w:rPr>
        <w:t xml:space="preserve">Questo risultato appare coerente con l’ipotesi di efficienza semi-forte dei mercati finanziari discussa nel Capitolo </w:t>
      </w:r>
      <w:r w:rsidR="009B0043">
        <w:rPr>
          <w:rFonts w:ascii="Times New Roman" w:hAnsi="Times New Roman" w:cs="Times New Roman"/>
          <w:sz w:val="24"/>
          <w:szCs w:val="24"/>
        </w:rPr>
        <w:t>1</w:t>
      </w:r>
      <w:r w:rsidRPr="00D97E63">
        <w:rPr>
          <w:rFonts w:ascii="Times New Roman" w:hAnsi="Times New Roman" w:cs="Times New Roman"/>
          <w:sz w:val="24"/>
          <w:szCs w:val="24"/>
        </w:rPr>
        <w:t xml:space="preserve">. In un contesto altamente liquido e caratterizzato da rapidissima incorporazione delle </w:t>
      </w:r>
      <w:r w:rsidRPr="00D97E63">
        <w:rPr>
          <w:rFonts w:ascii="Times New Roman" w:hAnsi="Times New Roman" w:cs="Times New Roman"/>
          <w:sz w:val="24"/>
          <w:szCs w:val="24"/>
        </w:rPr>
        <w:lastRenderedPageBreak/>
        <w:t>informazioni pubbliche nei prezzi, eventuali vantaggi derivanti dalla capacità di sintesi testuale degli LLMs tendono infatti a dissiparsi rapidamente.</w:t>
      </w:r>
    </w:p>
    <w:p w14:paraId="20011F17" w14:textId="138ED445" w:rsidR="00D97E63" w:rsidRDefault="00D97E63" w:rsidP="0022295B">
      <w:pPr>
        <w:jc w:val="both"/>
        <w:rPr>
          <w:rFonts w:ascii="Times New Roman" w:hAnsi="Times New Roman" w:cs="Times New Roman"/>
          <w:sz w:val="24"/>
          <w:szCs w:val="24"/>
        </w:rPr>
      </w:pPr>
      <w:r w:rsidRPr="00D97E63">
        <w:rPr>
          <w:rFonts w:ascii="Times New Roman" w:hAnsi="Times New Roman" w:cs="Times New Roman"/>
          <w:sz w:val="24"/>
          <w:szCs w:val="24"/>
        </w:rPr>
        <w:t xml:space="preserve">Dal punto di vista metodologico, è inoltre importante sottolineare che l’esperimento è stato condotto in ambiente rigorosamente out-of-sample e real-time. A differenza di numerosi studi recenti sugli LLMs applicati alla finanza, le previsioni non sono state generate retrospettivamente su dataset storici già consolidati, ma raccolte quotidianamente prima dell’apertura del mercato statunitense successivo. </w:t>
      </w:r>
    </w:p>
    <w:p w14:paraId="04BF6BBD" w14:textId="77777777" w:rsidR="00D11ED9" w:rsidRPr="00D11ED9" w:rsidRDefault="007D19CB" w:rsidP="0022295B">
      <w:pPr>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3</w:t>
      </w:r>
      <w:r w:rsidR="0022295B" w:rsidRPr="0022295B">
        <w:rPr>
          <w:rFonts w:ascii="Times New Roman" w:hAnsi="Times New Roman" w:cs="Times New Roman"/>
          <w:b/>
          <w:bCs/>
          <w:sz w:val="24"/>
          <w:szCs w:val="24"/>
          <w:lang w:val="en-GB"/>
        </w:rPr>
        <w:t>.</w:t>
      </w:r>
      <w:r w:rsidR="00D11ED9">
        <w:rPr>
          <w:rFonts w:ascii="Times New Roman" w:hAnsi="Times New Roman" w:cs="Times New Roman"/>
          <w:b/>
          <w:bCs/>
          <w:sz w:val="24"/>
          <w:szCs w:val="24"/>
          <w:lang w:val="en-GB"/>
        </w:rPr>
        <w:t>1</w:t>
      </w:r>
      <w:r w:rsidR="0022295B" w:rsidRPr="0022295B">
        <w:rPr>
          <w:rFonts w:ascii="Times New Roman" w:hAnsi="Times New Roman" w:cs="Times New Roman"/>
          <w:b/>
          <w:bCs/>
          <w:sz w:val="24"/>
          <w:szCs w:val="24"/>
          <w:lang w:val="en-GB"/>
        </w:rPr>
        <w:t xml:space="preserve">.2 </w:t>
      </w:r>
      <w:r w:rsidR="00D11ED9" w:rsidRPr="00D11ED9">
        <w:rPr>
          <w:rFonts w:ascii="Times New Roman" w:hAnsi="Times New Roman" w:cs="Times New Roman"/>
          <w:b/>
          <w:bCs/>
          <w:sz w:val="24"/>
          <w:szCs w:val="24"/>
          <w:lang w:val="en-GB"/>
        </w:rPr>
        <w:t>Market Timing on the S&amp;P 500 Index</w:t>
      </w:r>
    </w:p>
    <w:p w14:paraId="5EF6827A" w14:textId="6FB47211" w:rsidR="0022295B" w:rsidRPr="0022295B" w:rsidRDefault="00E70A7B" w:rsidP="0022295B">
      <w:pPr>
        <w:jc w:val="both"/>
        <w:rPr>
          <w:rFonts w:ascii="Times New Roman" w:hAnsi="Times New Roman" w:cs="Times New Roman"/>
          <w:sz w:val="24"/>
          <w:szCs w:val="24"/>
        </w:rPr>
      </w:pPr>
      <w:r w:rsidRPr="00E70A7B">
        <w:rPr>
          <w:rFonts w:ascii="Times New Roman" w:hAnsi="Times New Roman" w:cs="Times New Roman"/>
          <w:sz w:val="24"/>
          <w:szCs w:val="24"/>
        </w:rPr>
        <w:t>Oltre allo stock picking sui singoli titoli, ai modelli linguistici è stato richiesto di prevedere la direzione giornaliera dell’indice S&amp;P 500. Questo task consente di valutare se gli LLMs siano maggiormente efficaci nell’interpretazione del sentiment macroeconomico aggregato rispetto alla previsione cross-sectional delle singole azioni</w:t>
      </w:r>
      <w:r w:rsidR="0022295B" w:rsidRPr="0022295B">
        <w:rPr>
          <w:rFonts w:ascii="Times New Roman" w:hAnsi="Times New Roman" w:cs="Times New Roman"/>
          <w:sz w:val="24"/>
          <w:szCs w:val="24"/>
        </w:rPr>
        <w:t>.</w:t>
      </w:r>
    </w:p>
    <w:p w14:paraId="355B84D2" w14:textId="7008D9AA" w:rsidR="0024249D" w:rsidRPr="00216505" w:rsidRDefault="0024249D" w:rsidP="00216505">
      <w:pPr>
        <w:pStyle w:val="Didascalia"/>
        <w:keepNext/>
        <w:rPr>
          <w:color w:val="auto"/>
        </w:rPr>
      </w:pPr>
      <w:r w:rsidRPr="0024249D">
        <w:rPr>
          <w:color w:val="auto"/>
        </w:rPr>
        <w:t xml:space="preserve">Tabella </w:t>
      </w:r>
      <w:r w:rsidRPr="0024249D">
        <w:rPr>
          <w:color w:val="auto"/>
        </w:rPr>
        <w:fldChar w:fldCharType="begin"/>
      </w:r>
      <w:r w:rsidRPr="0024249D">
        <w:rPr>
          <w:color w:val="auto"/>
        </w:rPr>
        <w:instrText xml:space="preserve"> SEQ Tabella \* ARABIC </w:instrText>
      </w:r>
      <w:r w:rsidRPr="0024249D">
        <w:rPr>
          <w:color w:val="auto"/>
        </w:rPr>
        <w:fldChar w:fldCharType="separate"/>
      </w:r>
      <w:r w:rsidR="00D11ED9">
        <w:rPr>
          <w:noProof/>
          <w:color w:val="auto"/>
        </w:rPr>
        <w:t>2</w:t>
      </w:r>
      <w:r w:rsidRPr="0024249D">
        <w:rPr>
          <w:color w:val="auto"/>
        </w:rPr>
        <w:fldChar w:fldCharType="end"/>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1056"/>
        <w:gridCol w:w="870"/>
        <w:gridCol w:w="1170"/>
        <w:gridCol w:w="2050"/>
      </w:tblGrid>
      <w:tr w:rsidR="00E70A7B" w:rsidRPr="00E70A7B" w14:paraId="62EBA7E5" w14:textId="77777777" w:rsidTr="00E70A7B">
        <w:tc>
          <w:tcPr>
            <w:tcW w:w="0" w:type="auto"/>
            <w:tcBorders>
              <w:top w:val="single" w:sz="4" w:space="0" w:color="auto"/>
              <w:bottom w:val="single" w:sz="4" w:space="0" w:color="auto"/>
            </w:tcBorders>
            <w:hideMark/>
          </w:tcPr>
          <w:p w14:paraId="78FCB165"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b/>
                <w:bCs/>
                <w:color w:val="1F1F1F"/>
                <w:kern w:val="0"/>
                <w:sz w:val="24"/>
                <w:szCs w:val="24"/>
                <w:bdr w:val="none" w:sz="0" w:space="0" w:color="auto" w:frame="1"/>
                <w:lang w:eastAsia="it-IT"/>
                <w14:ligatures w14:val="none"/>
              </w:rPr>
              <w:t>Modello</w:t>
            </w:r>
          </w:p>
        </w:tc>
        <w:tc>
          <w:tcPr>
            <w:tcW w:w="0" w:type="auto"/>
            <w:tcBorders>
              <w:top w:val="single" w:sz="4" w:space="0" w:color="auto"/>
              <w:bottom w:val="single" w:sz="4" w:space="0" w:color="auto"/>
            </w:tcBorders>
            <w:hideMark/>
          </w:tcPr>
          <w:p w14:paraId="112E5A8B"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b/>
                <w:bCs/>
                <w:color w:val="1F1F1F"/>
                <w:kern w:val="0"/>
                <w:sz w:val="24"/>
                <w:szCs w:val="24"/>
                <w:bdr w:val="none" w:sz="0" w:space="0" w:color="auto" w:frame="1"/>
                <w:lang w:eastAsia="it-IT"/>
                <w14:ligatures w14:val="none"/>
              </w:rPr>
              <w:t>Successi</w:t>
            </w:r>
          </w:p>
        </w:tc>
        <w:tc>
          <w:tcPr>
            <w:tcW w:w="0" w:type="auto"/>
            <w:tcBorders>
              <w:top w:val="single" w:sz="4" w:space="0" w:color="auto"/>
              <w:bottom w:val="single" w:sz="4" w:space="0" w:color="auto"/>
            </w:tcBorders>
            <w:hideMark/>
          </w:tcPr>
          <w:p w14:paraId="3A543ADF"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b/>
                <w:bCs/>
                <w:color w:val="1F1F1F"/>
                <w:kern w:val="0"/>
                <w:sz w:val="24"/>
                <w:szCs w:val="24"/>
                <w:bdr w:val="none" w:sz="0" w:space="0" w:color="auto" w:frame="1"/>
                <w:lang w:eastAsia="it-IT"/>
                <w14:ligatures w14:val="none"/>
              </w:rPr>
              <w:t>Totale</w:t>
            </w:r>
          </w:p>
        </w:tc>
        <w:tc>
          <w:tcPr>
            <w:tcW w:w="0" w:type="auto"/>
            <w:tcBorders>
              <w:top w:val="single" w:sz="4" w:space="0" w:color="auto"/>
              <w:bottom w:val="single" w:sz="4" w:space="0" w:color="auto"/>
            </w:tcBorders>
            <w:hideMark/>
          </w:tcPr>
          <w:p w14:paraId="4C635594"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b/>
                <w:bCs/>
                <w:color w:val="1F1F1F"/>
                <w:kern w:val="0"/>
                <w:sz w:val="24"/>
                <w:szCs w:val="24"/>
                <w:bdr w:val="none" w:sz="0" w:space="0" w:color="auto" w:frame="1"/>
                <w:lang w:eastAsia="it-IT"/>
                <w14:ligatures w14:val="none"/>
              </w:rPr>
              <w:t>Hit Ratio</w:t>
            </w:r>
          </w:p>
        </w:tc>
        <w:tc>
          <w:tcPr>
            <w:tcW w:w="0" w:type="auto"/>
            <w:tcBorders>
              <w:top w:val="single" w:sz="4" w:space="0" w:color="auto"/>
              <w:bottom w:val="single" w:sz="4" w:space="0" w:color="auto"/>
            </w:tcBorders>
            <w:hideMark/>
          </w:tcPr>
          <w:p w14:paraId="19D6DD11"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b/>
                <w:bCs/>
                <w:color w:val="1F1F1F"/>
                <w:kern w:val="0"/>
                <w:sz w:val="24"/>
                <w:szCs w:val="24"/>
                <w:bdr w:val="none" w:sz="0" w:space="0" w:color="auto" w:frame="1"/>
                <w:lang w:eastAsia="it-IT"/>
                <w14:ligatures w14:val="none"/>
              </w:rPr>
              <w:t>p-value binomiale</w:t>
            </w:r>
          </w:p>
        </w:tc>
      </w:tr>
      <w:tr w:rsidR="00E70A7B" w:rsidRPr="00E70A7B" w14:paraId="436B10F7" w14:textId="77777777" w:rsidTr="00E70A7B">
        <w:tc>
          <w:tcPr>
            <w:tcW w:w="0" w:type="auto"/>
            <w:tcBorders>
              <w:top w:val="single" w:sz="4" w:space="0" w:color="auto"/>
            </w:tcBorders>
            <w:hideMark/>
          </w:tcPr>
          <w:p w14:paraId="0594EA6A"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CGL</w:t>
            </w:r>
          </w:p>
        </w:tc>
        <w:tc>
          <w:tcPr>
            <w:tcW w:w="0" w:type="auto"/>
            <w:tcBorders>
              <w:top w:val="single" w:sz="4" w:space="0" w:color="auto"/>
            </w:tcBorders>
            <w:hideMark/>
          </w:tcPr>
          <w:p w14:paraId="3CF19F67"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39</w:t>
            </w:r>
          </w:p>
        </w:tc>
        <w:tc>
          <w:tcPr>
            <w:tcW w:w="0" w:type="auto"/>
            <w:tcBorders>
              <w:top w:val="single" w:sz="4" w:space="0" w:color="auto"/>
            </w:tcBorders>
            <w:hideMark/>
          </w:tcPr>
          <w:p w14:paraId="1C7D036B"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75</w:t>
            </w:r>
          </w:p>
        </w:tc>
        <w:tc>
          <w:tcPr>
            <w:tcW w:w="0" w:type="auto"/>
            <w:tcBorders>
              <w:top w:val="single" w:sz="4" w:space="0" w:color="auto"/>
            </w:tcBorders>
            <w:hideMark/>
          </w:tcPr>
          <w:p w14:paraId="02F8E0EA"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52.0%</w:t>
            </w:r>
          </w:p>
        </w:tc>
        <w:tc>
          <w:tcPr>
            <w:tcW w:w="0" w:type="auto"/>
            <w:tcBorders>
              <w:top w:val="single" w:sz="4" w:space="0" w:color="auto"/>
            </w:tcBorders>
            <w:hideMark/>
          </w:tcPr>
          <w:p w14:paraId="20D91799"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0.818</w:t>
            </w:r>
          </w:p>
        </w:tc>
      </w:tr>
      <w:tr w:rsidR="00E70A7B" w:rsidRPr="00E70A7B" w14:paraId="0F68CD4A" w14:textId="77777777" w:rsidTr="00E70A7B">
        <w:tc>
          <w:tcPr>
            <w:tcW w:w="0" w:type="auto"/>
            <w:hideMark/>
          </w:tcPr>
          <w:p w14:paraId="7D76B00A"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CGP</w:t>
            </w:r>
          </w:p>
        </w:tc>
        <w:tc>
          <w:tcPr>
            <w:tcW w:w="0" w:type="auto"/>
            <w:hideMark/>
          </w:tcPr>
          <w:p w14:paraId="4D4C6771"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40</w:t>
            </w:r>
          </w:p>
        </w:tc>
        <w:tc>
          <w:tcPr>
            <w:tcW w:w="0" w:type="auto"/>
            <w:hideMark/>
          </w:tcPr>
          <w:p w14:paraId="072944FA"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75</w:t>
            </w:r>
          </w:p>
        </w:tc>
        <w:tc>
          <w:tcPr>
            <w:tcW w:w="0" w:type="auto"/>
            <w:hideMark/>
          </w:tcPr>
          <w:p w14:paraId="5547E603"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53.3%</w:t>
            </w:r>
          </w:p>
        </w:tc>
        <w:tc>
          <w:tcPr>
            <w:tcW w:w="0" w:type="auto"/>
            <w:hideMark/>
          </w:tcPr>
          <w:p w14:paraId="424FEDF6"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0.644</w:t>
            </w:r>
          </w:p>
        </w:tc>
      </w:tr>
      <w:tr w:rsidR="00E70A7B" w:rsidRPr="00E70A7B" w14:paraId="7D9A2778" w14:textId="77777777" w:rsidTr="00E70A7B">
        <w:tc>
          <w:tcPr>
            <w:tcW w:w="0" w:type="auto"/>
            <w:hideMark/>
          </w:tcPr>
          <w:p w14:paraId="429837F8"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G</w:t>
            </w:r>
          </w:p>
        </w:tc>
        <w:tc>
          <w:tcPr>
            <w:tcW w:w="0" w:type="auto"/>
            <w:hideMark/>
          </w:tcPr>
          <w:p w14:paraId="64A805C0"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41</w:t>
            </w:r>
          </w:p>
        </w:tc>
        <w:tc>
          <w:tcPr>
            <w:tcW w:w="0" w:type="auto"/>
            <w:hideMark/>
          </w:tcPr>
          <w:p w14:paraId="1CF17CBB"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75</w:t>
            </w:r>
          </w:p>
        </w:tc>
        <w:tc>
          <w:tcPr>
            <w:tcW w:w="0" w:type="auto"/>
            <w:hideMark/>
          </w:tcPr>
          <w:p w14:paraId="774ACD93"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54.7%</w:t>
            </w:r>
          </w:p>
        </w:tc>
        <w:tc>
          <w:tcPr>
            <w:tcW w:w="0" w:type="auto"/>
            <w:hideMark/>
          </w:tcPr>
          <w:p w14:paraId="0BBD70B9" w14:textId="77777777" w:rsidR="00E70A7B" w:rsidRPr="00E70A7B" w:rsidRDefault="00E70A7B" w:rsidP="00E70A7B">
            <w:pPr>
              <w:rPr>
                <w:rFonts w:ascii="Times New Roman" w:eastAsia="Times New Roman" w:hAnsi="Times New Roman" w:cs="Times New Roman"/>
                <w:color w:val="1F1F1F"/>
                <w:kern w:val="0"/>
                <w:sz w:val="24"/>
                <w:szCs w:val="24"/>
                <w:lang w:eastAsia="it-IT"/>
                <w14:ligatures w14:val="none"/>
              </w:rPr>
            </w:pPr>
            <w:r w:rsidRPr="00E70A7B">
              <w:rPr>
                <w:rFonts w:ascii="Times New Roman" w:eastAsia="Times New Roman" w:hAnsi="Times New Roman" w:cs="Times New Roman"/>
                <w:color w:val="1F1F1F"/>
                <w:kern w:val="0"/>
                <w:sz w:val="24"/>
                <w:szCs w:val="24"/>
                <w:bdr w:val="none" w:sz="0" w:space="0" w:color="auto" w:frame="1"/>
                <w:lang w:eastAsia="it-IT"/>
                <w14:ligatures w14:val="none"/>
              </w:rPr>
              <w:t>0.489</w:t>
            </w:r>
          </w:p>
        </w:tc>
      </w:tr>
      <w:tr w:rsidR="00E70A7B" w:rsidRPr="00E70A7B" w14:paraId="1689DC45" w14:textId="77777777" w:rsidTr="007D19CB">
        <w:tc>
          <w:tcPr>
            <w:tcW w:w="0" w:type="auto"/>
            <w:tcBorders>
              <w:bottom w:val="single" w:sz="4" w:space="0" w:color="auto"/>
            </w:tcBorders>
          </w:tcPr>
          <w:p w14:paraId="6B815AC0" w14:textId="77777777" w:rsidR="00E70A7B" w:rsidRPr="00E70A7B" w:rsidRDefault="00E70A7B" w:rsidP="00E70A7B">
            <w:pPr>
              <w:rPr>
                <w:rFonts w:ascii="Times New Roman" w:eastAsia="Times New Roman" w:hAnsi="Times New Roman" w:cs="Times New Roman"/>
                <w:color w:val="1F1F1F"/>
                <w:kern w:val="0"/>
                <w:sz w:val="24"/>
                <w:szCs w:val="24"/>
                <w:bdr w:val="none" w:sz="0" w:space="0" w:color="auto" w:frame="1"/>
                <w:lang w:eastAsia="it-IT"/>
                <w14:ligatures w14:val="none"/>
              </w:rPr>
            </w:pPr>
          </w:p>
        </w:tc>
        <w:tc>
          <w:tcPr>
            <w:tcW w:w="0" w:type="auto"/>
            <w:tcBorders>
              <w:bottom w:val="single" w:sz="4" w:space="0" w:color="auto"/>
            </w:tcBorders>
          </w:tcPr>
          <w:p w14:paraId="5C835CFA" w14:textId="77777777" w:rsidR="00E70A7B" w:rsidRPr="00E70A7B" w:rsidRDefault="00E70A7B" w:rsidP="00E70A7B">
            <w:pPr>
              <w:rPr>
                <w:rFonts w:ascii="Times New Roman" w:eastAsia="Times New Roman" w:hAnsi="Times New Roman" w:cs="Times New Roman"/>
                <w:color w:val="1F1F1F"/>
                <w:kern w:val="0"/>
                <w:sz w:val="24"/>
                <w:szCs w:val="24"/>
                <w:bdr w:val="none" w:sz="0" w:space="0" w:color="auto" w:frame="1"/>
                <w:lang w:eastAsia="it-IT"/>
                <w14:ligatures w14:val="none"/>
              </w:rPr>
            </w:pPr>
          </w:p>
        </w:tc>
        <w:tc>
          <w:tcPr>
            <w:tcW w:w="0" w:type="auto"/>
            <w:tcBorders>
              <w:bottom w:val="single" w:sz="4" w:space="0" w:color="auto"/>
            </w:tcBorders>
          </w:tcPr>
          <w:p w14:paraId="3692CBF2" w14:textId="77777777" w:rsidR="00E70A7B" w:rsidRPr="00E70A7B" w:rsidRDefault="00E70A7B" w:rsidP="00E70A7B">
            <w:pPr>
              <w:rPr>
                <w:rFonts w:ascii="Times New Roman" w:eastAsia="Times New Roman" w:hAnsi="Times New Roman" w:cs="Times New Roman"/>
                <w:color w:val="1F1F1F"/>
                <w:kern w:val="0"/>
                <w:sz w:val="24"/>
                <w:szCs w:val="24"/>
                <w:bdr w:val="none" w:sz="0" w:space="0" w:color="auto" w:frame="1"/>
                <w:lang w:eastAsia="it-IT"/>
                <w14:ligatures w14:val="none"/>
              </w:rPr>
            </w:pPr>
          </w:p>
        </w:tc>
        <w:tc>
          <w:tcPr>
            <w:tcW w:w="0" w:type="auto"/>
            <w:tcBorders>
              <w:bottom w:val="single" w:sz="4" w:space="0" w:color="auto"/>
            </w:tcBorders>
          </w:tcPr>
          <w:p w14:paraId="38A6D6AF" w14:textId="77777777" w:rsidR="00E70A7B" w:rsidRPr="00E70A7B" w:rsidRDefault="00E70A7B" w:rsidP="00E70A7B">
            <w:pPr>
              <w:rPr>
                <w:rFonts w:ascii="Times New Roman" w:eastAsia="Times New Roman" w:hAnsi="Times New Roman" w:cs="Times New Roman"/>
                <w:color w:val="1F1F1F"/>
                <w:kern w:val="0"/>
                <w:sz w:val="24"/>
                <w:szCs w:val="24"/>
                <w:bdr w:val="none" w:sz="0" w:space="0" w:color="auto" w:frame="1"/>
                <w:lang w:eastAsia="it-IT"/>
                <w14:ligatures w14:val="none"/>
              </w:rPr>
            </w:pPr>
          </w:p>
        </w:tc>
        <w:tc>
          <w:tcPr>
            <w:tcW w:w="0" w:type="auto"/>
            <w:tcBorders>
              <w:bottom w:val="single" w:sz="4" w:space="0" w:color="auto"/>
            </w:tcBorders>
          </w:tcPr>
          <w:p w14:paraId="7386D442" w14:textId="77777777" w:rsidR="00E70A7B" w:rsidRPr="00E70A7B" w:rsidRDefault="00E70A7B" w:rsidP="00E70A7B">
            <w:pPr>
              <w:rPr>
                <w:rFonts w:ascii="Times New Roman" w:eastAsia="Times New Roman" w:hAnsi="Times New Roman" w:cs="Times New Roman"/>
                <w:color w:val="1F1F1F"/>
                <w:kern w:val="0"/>
                <w:sz w:val="24"/>
                <w:szCs w:val="24"/>
                <w:bdr w:val="none" w:sz="0" w:space="0" w:color="auto" w:frame="1"/>
                <w:lang w:eastAsia="it-IT"/>
                <w14:ligatures w14:val="none"/>
              </w:rPr>
            </w:pPr>
          </w:p>
        </w:tc>
      </w:tr>
    </w:tbl>
    <w:p w14:paraId="797CB8FA" w14:textId="77777777" w:rsidR="0022295B" w:rsidRPr="0022295B" w:rsidRDefault="0022295B" w:rsidP="0022295B">
      <w:pPr>
        <w:jc w:val="both"/>
        <w:rPr>
          <w:rFonts w:ascii="Times New Roman" w:hAnsi="Times New Roman" w:cs="Times New Roman"/>
          <w:sz w:val="24"/>
          <w:szCs w:val="24"/>
        </w:rPr>
      </w:pPr>
      <w:r w:rsidRPr="0022295B">
        <w:rPr>
          <w:rFonts w:ascii="Times New Roman" w:hAnsi="Times New Roman" w:cs="Times New Roman"/>
          <w:i/>
          <w:iCs/>
          <w:sz w:val="24"/>
          <w:szCs w:val="24"/>
        </w:rPr>
        <w:t>Nota. I p-value sono ottenuti tramite test binomiale con probabilità teorica pari al 50%.</w:t>
      </w:r>
    </w:p>
    <w:p w14:paraId="389FBC42" w14:textId="77777777" w:rsidR="009F5B5F" w:rsidRDefault="00E70A7B" w:rsidP="0022295B">
      <w:pPr>
        <w:jc w:val="both"/>
        <w:rPr>
          <w:rFonts w:ascii="Times New Roman" w:hAnsi="Times New Roman" w:cs="Times New Roman"/>
          <w:sz w:val="24"/>
          <w:szCs w:val="24"/>
        </w:rPr>
      </w:pPr>
      <w:r w:rsidRPr="00E70A7B">
        <w:rPr>
          <w:rFonts w:ascii="Times New Roman" w:hAnsi="Times New Roman" w:cs="Times New Roman"/>
          <w:sz w:val="24"/>
          <w:szCs w:val="24"/>
        </w:rPr>
        <w:t xml:space="preserve">La Tabella 2 riporta i risultati relativi all’accuratezza di market timing per ciascun modello, associando le frequenze di successo ai rispettivi p-value calcolati mediante test binomiale. Sebbene Gemini Pro mostri la percentuale di successo più elevata, pari al 54.7%, nessuno dei modelli raggiunge i livelli convenzionali di significatività statistica. </w:t>
      </w:r>
    </w:p>
    <w:p w14:paraId="30F782B3" w14:textId="571AC260" w:rsidR="00E70A7B" w:rsidRDefault="00E70A7B" w:rsidP="0022295B">
      <w:pPr>
        <w:jc w:val="both"/>
        <w:rPr>
          <w:rFonts w:ascii="Times New Roman" w:hAnsi="Times New Roman" w:cs="Times New Roman"/>
          <w:sz w:val="24"/>
          <w:szCs w:val="24"/>
        </w:rPr>
      </w:pPr>
      <w:r w:rsidRPr="00E70A7B">
        <w:rPr>
          <w:rFonts w:ascii="Times New Roman" w:hAnsi="Times New Roman" w:cs="Times New Roman"/>
          <w:sz w:val="24"/>
          <w:szCs w:val="24"/>
        </w:rPr>
        <w:t>Tuttavia, i risultati continuano a suggerire alcune differenze qualitative interessanti tra i modelli. Sebbene Gemini Pro mostri il più elevato hit ratio nel task di market timing, le successive regressioni multifattoriali non evidenziano una sistematica esposizione statisticamente significativa al fattore momentum. Tale evidenza suggerisce che la relativa superiorità osservata nel market timing non possa essere ricondotta semplicemente a strategie implicitamente momentum-oriented.</w:t>
      </w:r>
    </w:p>
    <w:p w14:paraId="06BC37FB" w14:textId="09420A17" w:rsidR="0022295B" w:rsidRPr="0022295B" w:rsidRDefault="00E70A7B" w:rsidP="0022295B">
      <w:pPr>
        <w:jc w:val="both"/>
        <w:rPr>
          <w:rFonts w:ascii="Times New Roman" w:hAnsi="Times New Roman" w:cs="Times New Roman"/>
          <w:sz w:val="24"/>
          <w:szCs w:val="24"/>
        </w:rPr>
      </w:pPr>
      <w:r w:rsidRPr="00E70A7B">
        <w:rPr>
          <w:rFonts w:ascii="Times New Roman" w:hAnsi="Times New Roman" w:cs="Times New Roman"/>
          <w:sz w:val="24"/>
          <w:szCs w:val="24"/>
        </w:rPr>
        <w:t>Le versioni ChatGPT, al contrario, mostrano una maggiore instabilità cross-session e una più elevata dipendenza dal contesto operativo. Nel corso della raccolta dati sono infatti emersi numerosi episodi di divergenza tra versione loggata e non loggata dello stesso modello, nonché casi in cui differenti sessioni producevano previsioni opposte a fronte di prompt identici</w:t>
      </w:r>
      <w:r w:rsidR="0022295B">
        <w:rPr>
          <w:rStyle w:val="Rimandonotaapidipagina"/>
          <w:rFonts w:ascii="Times New Roman" w:hAnsi="Times New Roman" w:cs="Times New Roman"/>
          <w:sz w:val="24"/>
          <w:szCs w:val="24"/>
        </w:rPr>
        <w:footnoteReference w:id="3"/>
      </w:r>
      <w:r w:rsidR="0022295B" w:rsidRPr="0022295B">
        <w:rPr>
          <w:rFonts w:ascii="Times New Roman" w:hAnsi="Times New Roman" w:cs="Times New Roman"/>
          <w:sz w:val="24"/>
          <w:szCs w:val="24"/>
        </w:rPr>
        <w:t>.</w:t>
      </w:r>
    </w:p>
    <w:p w14:paraId="7DBC49DC" w14:textId="359C0387" w:rsidR="0022295B" w:rsidRPr="0022295B" w:rsidRDefault="00E70A7B" w:rsidP="0022295B">
      <w:pPr>
        <w:jc w:val="both"/>
        <w:rPr>
          <w:rFonts w:ascii="Times New Roman" w:hAnsi="Times New Roman" w:cs="Times New Roman"/>
          <w:sz w:val="24"/>
          <w:szCs w:val="24"/>
        </w:rPr>
      </w:pPr>
      <w:r w:rsidRPr="00E70A7B">
        <w:rPr>
          <w:rFonts w:ascii="Times New Roman" w:hAnsi="Times New Roman" w:cs="Times New Roman"/>
          <w:sz w:val="24"/>
          <w:szCs w:val="24"/>
        </w:rPr>
        <w:t>Nel complesso, l’evidenza empirica presentata in questa sezione conferma che i modelli linguistici analizzati non siano in grado di prevedere con accuratezza statisticamente significativa la direzione dei rendimenti azionari o dell’indice di mercato nel brevissimo termine. Sebbene alcuni modelli mostrino occasionalmente performance superiori al benchmark casuale, tali risultati appaiono fragili, instabili e non sufficienti a supportare l’esistenza di una reale capacità predittiva sistematica.</w:t>
      </w:r>
    </w:p>
    <w:p w14:paraId="74EF2F78" w14:textId="5F595511" w:rsidR="000B1B45" w:rsidRPr="000B1B45" w:rsidRDefault="007D19CB" w:rsidP="000B1B45">
      <w:pPr>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3</w:t>
      </w:r>
      <w:r w:rsidR="000B1B45" w:rsidRPr="000B1B45">
        <w:rPr>
          <w:rFonts w:ascii="Times New Roman" w:hAnsi="Times New Roman" w:cs="Times New Roman"/>
          <w:b/>
          <w:bCs/>
          <w:sz w:val="24"/>
          <w:szCs w:val="24"/>
          <w:lang w:val="en-GB"/>
        </w:rPr>
        <w:t>.</w:t>
      </w:r>
      <w:r w:rsidR="00D11ED9">
        <w:rPr>
          <w:rFonts w:ascii="Times New Roman" w:hAnsi="Times New Roman" w:cs="Times New Roman"/>
          <w:b/>
          <w:bCs/>
          <w:sz w:val="24"/>
          <w:szCs w:val="24"/>
          <w:lang w:val="en-GB"/>
        </w:rPr>
        <w:t>2</w:t>
      </w:r>
      <w:r w:rsidR="000B1B45" w:rsidRPr="000B1B45">
        <w:rPr>
          <w:rFonts w:ascii="Times New Roman" w:hAnsi="Times New Roman" w:cs="Times New Roman"/>
          <w:b/>
          <w:bCs/>
          <w:sz w:val="24"/>
          <w:szCs w:val="24"/>
          <w:lang w:val="en-GB"/>
        </w:rPr>
        <w:t xml:space="preserve"> Portfolio Performance </w:t>
      </w:r>
      <w:r w:rsidR="00D11ED9">
        <w:rPr>
          <w:rFonts w:ascii="Times New Roman" w:hAnsi="Times New Roman" w:cs="Times New Roman"/>
          <w:b/>
          <w:bCs/>
          <w:sz w:val="24"/>
          <w:szCs w:val="24"/>
          <w:lang w:val="en-GB"/>
        </w:rPr>
        <w:t>and</w:t>
      </w:r>
      <w:r w:rsidR="000B1B45" w:rsidRPr="000B1B45">
        <w:rPr>
          <w:rFonts w:ascii="Times New Roman" w:hAnsi="Times New Roman" w:cs="Times New Roman"/>
          <w:b/>
          <w:bCs/>
          <w:sz w:val="24"/>
          <w:szCs w:val="24"/>
          <w:lang w:val="en-GB"/>
        </w:rPr>
        <w:t xml:space="preserve"> Risk-Adjusted Returns</w:t>
      </w:r>
    </w:p>
    <w:p w14:paraId="16FD147E" w14:textId="77777777"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sz w:val="24"/>
          <w:szCs w:val="24"/>
        </w:rPr>
        <w:lastRenderedPageBreak/>
        <w:t>L’analisi dell’accuratezza direzionale, pur utile per valutare la coerenza dei segnali generati dai modelli linguistici, non consente di determinare se tali previsioni siano effettivamente traducibili in strategie economicamente profittevoli. Per questa ragione, il presente paragrafo esamina le performance dei portafogli costruiti a partire dai segnali Long generati dagli LLMs, valutandone sia i rendimenti grezzi sia le performance corrette per il rischio.</w:t>
      </w:r>
    </w:p>
    <w:p w14:paraId="0607F008" w14:textId="7B03B977"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sz w:val="24"/>
          <w:szCs w:val="24"/>
        </w:rPr>
        <w:t xml:space="preserve">Come illustrato nel Capitolo </w:t>
      </w:r>
      <w:r w:rsidR="009F5B5F">
        <w:rPr>
          <w:rFonts w:ascii="Times New Roman" w:hAnsi="Times New Roman" w:cs="Times New Roman"/>
          <w:sz w:val="24"/>
          <w:szCs w:val="24"/>
        </w:rPr>
        <w:t>2</w:t>
      </w:r>
      <w:r w:rsidRPr="000B1B45">
        <w:rPr>
          <w:rFonts w:ascii="Times New Roman" w:hAnsi="Times New Roman" w:cs="Times New Roman"/>
          <w:sz w:val="24"/>
          <w:szCs w:val="24"/>
        </w:rPr>
        <w:t>, sono stati implementati tre differenti schemi di ponderazione:</w:t>
      </w:r>
    </w:p>
    <w:p w14:paraId="7990169B" w14:textId="77777777" w:rsidR="000B1B45" w:rsidRPr="000B1B45" w:rsidRDefault="000B1B45" w:rsidP="000B1B45">
      <w:pPr>
        <w:numPr>
          <w:ilvl w:val="0"/>
          <w:numId w:val="2"/>
        </w:numPr>
        <w:jc w:val="both"/>
        <w:rPr>
          <w:rFonts w:ascii="Times New Roman" w:hAnsi="Times New Roman" w:cs="Times New Roman"/>
          <w:sz w:val="24"/>
          <w:szCs w:val="24"/>
        </w:rPr>
      </w:pPr>
      <w:r w:rsidRPr="000B1B45">
        <w:rPr>
          <w:rFonts w:ascii="Times New Roman" w:hAnsi="Times New Roman" w:cs="Times New Roman"/>
          <w:sz w:val="24"/>
          <w:szCs w:val="24"/>
        </w:rPr>
        <w:t>equally weighted (EW);</w:t>
      </w:r>
    </w:p>
    <w:p w14:paraId="27C01EE3" w14:textId="77777777" w:rsidR="000B1B45" w:rsidRPr="000B1B45" w:rsidRDefault="000B1B45" w:rsidP="000B1B45">
      <w:pPr>
        <w:numPr>
          <w:ilvl w:val="0"/>
          <w:numId w:val="2"/>
        </w:numPr>
        <w:jc w:val="both"/>
        <w:rPr>
          <w:rFonts w:ascii="Times New Roman" w:hAnsi="Times New Roman" w:cs="Times New Roman"/>
          <w:sz w:val="24"/>
          <w:szCs w:val="24"/>
        </w:rPr>
      </w:pPr>
      <w:r w:rsidRPr="000B1B45">
        <w:rPr>
          <w:rFonts w:ascii="Times New Roman" w:hAnsi="Times New Roman" w:cs="Times New Roman"/>
          <w:sz w:val="24"/>
          <w:szCs w:val="24"/>
        </w:rPr>
        <w:t>signal weighted (SW);</w:t>
      </w:r>
    </w:p>
    <w:p w14:paraId="106DB792" w14:textId="77777777" w:rsidR="000B1B45" w:rsidRPr="000B1B45" w:rsidRDefault="000B1B45" w:rsidP="000B1B45">
      <w:pPr>
        <w:numPr>
          <w:ilvl w:val="0"/>
          <w:numId w:val="2"/>
        </w:numPr>
        <w:jc w:val="both"/>
        <w:rPr>
          <w:rFonts w:ascii="Times New Roman" w:hAnsi="Times New Roman" w:cs="Times New Roman"/>
          <w:sz w:val="24"/>
          <w:szCs w:val="24"/>
        </w:rPr>
      </w:pPr>
      <w:r w:rsidRPr="000B1B45">
        <w:rPr>
          <w:rFonts w:ascii="Times New Roman" w:hAnsi="Times New Roman" w:cs="Times New Roman"/>
          <w:sz w:val="24"/>
          <w:szCs w:val="24"/>
        </w:rPr>
        <w:t>value weighted (VW).</w:t>
      </w:r>
    </w:p>
    <w:p w14:paraId="5C280BFE" w14:textId="77777777"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sz w:val="24"/>
          <w:szCs w:val="24"/>
        </w:rPr>
        <w:t>L’obiettivo è verificare se differenti modalità di allocazione del capitale possano influenzare la capacità dei segnali generati dagli LLMs di produrre rendimenti economicamente significativi.</w:t>
      </w:r>
    </w:p>
    <w:p w14:paraId="0760F2B5" w14:textId="40C8ADEE" w:rsidR="000B1B45" w:rsidRPr="000B1B45" w:rsidRDefault="007D19CB" w:rsidP="000B1B45">
      <w:pPr>
        <w:jc w:val="both"/>
        <w:rPr>
          <w:rFonts w:ascii="Times New Roman" w:hAnsi="Times New Roman" w:cs="Times New Roman"/>
          <w:b/>
          <w:bCs/>
          <w:sz w:val="24"/>
          <w:szCs w:val="24"/>
        </w:rPr>
      </w:pPr>
      <w:r>
        <w:rPr>
          <w:rFonts w:ascii="Times New Roman" w:hAnsi="Times New Roman" w:cs="Times New Roman"/>
          <w:b/>
          <w:bCs/>
          <w:sz w:val="24"/>
          <w:szCs w:val="24"/>
        </w:rPr>
        <w:t>3</w:t>
      </w:r>
      <w:r w:rsidR="000B1B45" w:rsidRPr="000B1B45">
        <w:rPr>
          <w:rFonts w:ascii="Times New Roman" w:hAnsi="Times New Roman" w:cs="Times New Roman"/>
          <w:b/>
          <w:bCs/>
          <w:sz w:val="24"/>
          <w:szCs w:val="24"/>
        </w:rPr>
        <w:t>.</w:t>
      </w:r>
      <w:r w:rsidR="00D11ED9">
        <w:rPr>
          <w:rFonts w:ascii="Times New Roman" w:hAnsi="Times New Roman" w:cs="Times New Roman"/>
          <w:b/>
          <w:bCs/>
          <w:sz w:val="24"/>
          <w:szCs w:val="24"/>
        </w:rPr>
        <w:t>2</w:t>
      </w:r>
      <w:r w:rsidR="000B1B45" w:rsidRPr="000B1B45">
        <w:rPr>
          <w:rFonts w:ascii="Times New Roman" w:hAnsi="Times New Roman" w:cs="Times New Roman"/>
          <w:b/>
          <w:bCs/>
          <w:sz w:val="24"/>
          <w:szCs w:val="24"/>
        </w:rPr>
        <w:t xml:space="preserve">.1 </w:t>
      </w:r>
      <w:r w:rsidR="00D11ED9">
        <w:rPr>
          <w:rFonts w:ascii="Times New Roman" w:hAnsi="Times New Roman" w:cs="Times New Roman"/>
          <w:b/>
          <w:bCs/>
          <w:sz w:val="24"/>
          <w:szCs w:val="24"/>
        </w:rPr>
        <w:t>Cumulative Performance of portfolios</w:t>
      </w:r>
    </w:p>
    <w:p w14:paraId="47CC36ED" w14:textId="6E9F2372" w:rsidR="00E70A7B" w:rsidRDefault="00E70A7B" w:rsidP="00E70A7B">
      <w:pPr>
        <w:keepNext/>
        <w:jc w:val="both"/>
      </w:pPr>
      <w:r w:rsidRPr="00E70A7B">
        <w:rPr>
          <w:rFonts w:ascii="Times New Roman" w:hAnsi="Times New Roman" w:cs="Times New Roman"/>
          <w:sz w:val="24"/>
          <w:szCs w:val="24"/>
        </w:rPr>
        <w:t>La Figura 1 riporta l’andamento dei cumulative returns per i tre schemi di ponderazione considerati lungo l'intero orizzonte campionario</w:t>
      </w:r>
      <w:r w:rsidR="00216505">
        <w:rPr>
          <w:rFonts w:ascii="Times New Roman" w:hAnsi="Times New Roman" w:cs="Times New Roman"/>
          <w:sz w:val="24"/>
          <w:szCs w:val="24"/>
        </w:rPr>
        <w:t>.</w:t>
      </w:r>
    </w:p>
    <w:p w14:paraId="56F78589" w14:textId="77777777" w:rsidR="00E70A7B" w:rsidRPr="00216505" w:rsidRDefault="00E70A7B" w:rsidP="003F1C17">
      <w:pPr>
        <w:jc w:val="center"/>
      </w:pPr>
    </w:p>
    <w:p w14:paraId="36FDB983" w14:textId="77777777" w:rsidR="00216505" w:rsidRDefault="00D03047" w:rsidP="00216505">
      <w:pPr>
        <w:keepNext/>
        <w:jc w:val="center"/>
      </w:pPr>
      <w:r w:rsidRPr="00D03047">
        <w:rPr>
          <w:noProof/>
        </w:rPr>
        <w:drawing>
          <wp:inline distT="0" distB="0" distL="0" distR="0" wp14:anchorId="20B62033" wp14:editId="650C455D">
            <wp:extent cx="3896139" cy="2860456"/>
            <wp:effectExtent l="0" t="0" r="0" b="0"/>
            <wp:docPr id="197067089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9580" cy="2870324"/>
                    </a:xfrm>
                    <a:prstGeom prst="rect">
                      <a:avLst/>
                    </a:prstGeom>
                    <a:noFill/>
                    <a:ln>
                      <a:noFill/>
                    </a:ln>
                  </pic:spPr>
                </pic:pic>
              </a:graphicData>
            </a:graphic>
          </wp:inline>
        </w:drawing>
      </w:r>
    </w:p>
    <w:p w14:paraId="05FE0F29" w14:textId="61A3222C" w:rsidR="00D03047" w:rsidRPr="00C27D44" w:rsidRDefault="00216505" w:rsidP="00216505">
      <w:pPr>
        <w:pStyle w:val="Didascalia"/>
        <w:jc w:val="center"/>
        <w:rPr>
          <w:rFonts w:ascii="Times New Roman" w:hAnsi="Times New Roman" w:cs="Times New Roman"/>
          <w:color w:val="auto"/>
        </w:rPr>
      </w:pPr>
      <w:r w:rsidRPr="00216505">
        <w:rPr>
          <w:rFonts w:ascii="Times New Roman" w:hAnsi="Times New Roman" w:cs="Times New Roman"/>
          <w:color w:val="auto"/>
        </w:rPr>
        <w:t xml:space="preserve">Figure </w:t>
      </w:r>
      <w:r w:rsidRPr="00216505">
        <w:rPr>
          <w:rFonts w:ascii="Times New Roman" w:hAnsi="Times New Roman" w:cs="Times New Roman"/>
          <w:color w:val="auto"/>
        </w:rPr>
        <w:fldChar w:fldCharType="begin"/>
      </w:r>
      <w:r w:rsidRPr="00216505">
        <w:rPr>
          <w:rFonts w:ascii="Times New Roman" w:hAnsi="Times New Roman" w:cs="Times New Roman"/>
          <w:color w:val="auto"/>
        </w:rPr>
        <w:instrText xml:space="preserve"> SEQ Figure \* ARABIC </w:instrText>
      </w:r>
      <w:r w:rsidRPr="00216505">
        <w:rPr>
          <w:rFonts w:ascii="Times New Roman" w:hAnsi="Times New Roman" w:cs="Times New Roman"/>
          <w:color w:val="auto"/>
        </w:rPr>
        <w:fldChar w:fldCharType="separate"/>
      </w:r>
      <w:r>
        <w:rPr>
          <w:rFonts w:ascii="Times New Roman" w:hAnsi="Times New Roman" w:cs="Times New Roman"/>
          <w:noProof/>
          <w:color w:val="auto"/>
        </w:rPr>
        <w:t>1</w:t>
      </w:r>
      <w:r w:rsidRPr="00216505">
        <w:rPr>
          <w:rFonts w:ascii="Times New Roman" w:hAnsi="Times New Roman" w:cs="Times New Roman"/>
          <w:color w:val="auto"/>
        </w:rPr>
        <w:fldChar w:fldCharType="end"/>
      </w:r>
      <w:r w:rsidRPr="00216505">
        <w:rPr>
          <w:rFonts w:ascii="Times New Roman" w:hAnsi="Times New Roman" w:cs="Times New Roman"/>
          <w:color w:val="auto"/>
        </w:rPr>
        <w:t xml:space="preserve">  </w:t>
      </w:r>
    </w:p>
    <w:p w14:paraId="5EC8F99A" w14:textId="6E62D2CA"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i/>
          <w:iCs/>
          <w:sz w:val="24"/>
          <w:szCs w:val="24"/>
        </w:rPr>
        <w:t xml:space="preserve">Nota. </w:t>
      </w:r>
      <w:r w:rsidR="00D03047" w:rsidRPr="00D03047">
        <w:rPr>
          <w:rFonts w:ascii="Times New Roman" w:hAnsi="Times New Roman" w:cs="Times New Roman"/>
          <w:i/>
          <w:iCs/>
          <w:sz w:val="24"/>
          <w:szCs w:val="24"/>
        </w:rPr>
        <w:t>La figura mostra l'andamento dei rendimenti cumulati dei portafogli EW, SW e VW costruiti utilizzando i segnali generati dai modelli linguistici nel periodo 5 febbraio 2026 – 22 maggio 2026. La linea tratteggiata rappresenta il benchmark S&amp;P500 calcolato mediante rendimenti intraday Open-to-Close.</w:t>
      </w:r>
    </w:p>
    <w:p w14:paraId="4B3F141C" w14:textId="77777777" w:rsidR="00D03047" w:rsidRPr="00D03047" w:rsidRDefault="00D03047" w:rsidP="00D03047">
      <w:pPr>
        <w:jc w:val="both"/>
        <w:rPr>
          <w:rFonts w:ascii="Times New Roman" w:hAnsi="Times New Roman" w:cs="Times New Roman"/>
          <w:sz w:val="24"/>
          <w:szCs w:val="24"/>
        </w:rPr>
      </w:pPr>
      <w:r w:rsidRPr="00D03047">
        <w:rPr>
          <w:rFonts w:ascii="Times New Roman" w:hAnsi="Times New Roman" w:cs="Times New Roman"/>
          <w:sz w:val="24"/>
          <w:szCs w:val="24"/>
        </w:rPr>
        <w:t>L'evidenza grafica mostra una marcata eterogeneità delle performance tra i diversi modelli e schemi di ponderazione. Nelle configurazioni equally weighted (EW) e signal weighted (SW), ChatGPT versione non loggata (CGP) e Gemini Pro (G) registrano le performance cumulative più elevate, superando in modo significativo il benchmark di mercato. Al contrario, ChatGPT versione loggata (CGL) evidenzia risultati più contenuti, pur mantenendo una performance complessivamente positiva nello schema EW.</w:t>
      </w:r>
    </w:p>
    <w:p w14:paraId="4DF35362" w14:textId="03A19937" w:rsidR="00D03047" w:rsidRPr="00D03047" w:rsidRDefault="00D03047" w:rsidP="00D03047">
      <w:pPr>
        <w:jc w:val="both"/>
        <w:rPr>
          <w:rFonts w:ascii="Times New Roman" w:hAnsi="Times New Roman" w:cs="Times New Roman"/>
          <w:sz w:val="24"/>
          <w:szCs w:val="24"/>
        </w:rPr>
      </w:pPr>
      <w:r w:rsidRPr="00D03047">
        <w:rPr>
          <w:rFonts w:ascii="Times New Roman" w:hAnsi="Times New Roman" w:cs="Times New Roman"/>
          <w:sz w:val="24"/>
          <w:szCs w:val="24"/>
        </w:rPr>
        <w:lastRenderedPageBreak/>
        <w:t xml:space="preserve">Nello schema value-weighted (VW), la graduatoria delle performance risulta differente: Gemini Pro (G) mantiene il rendimento cumulato più elevato, mentre ChatGPT versione loggata (CGL) mostra un netto miglioramento rispetto agli altri criteri di ponderazione, superando anch'esso il benchmark. Diversamente, la versione </w:t>
      </w:r>
      <w:r>
        <w:rPr>
          <w:rFonts w:ascii="Times New Roman" w:hAnsi="Times New Roman" w:cs="Times New Roman"/>
          <w:sz w:val="24"/>
          <w:szCs w:val="24"/>
        </w:rPr>
        <w:t>pubblica</w:t>
      </w:r>
      <w:r w:rsidRPr="00D03047">
        <w:rPr>
          <w:rFonts w:ascii="Times New Roman" w:hAnsi="Times New Roman" w:cs="Times New Roman"/>
          <w:sz w:val="24"/>
          <w:szCs w:val="24"/>
        </w:rPr>
        <w:t xml:space="preserve"> di ChatGPT (CGP) evidenzia una riduzione significativa della performance cumulata.</w:t>
      </w:r>
    </w:p>
    <w:p w14:paraId="0AD2AEF2" w14:textId="77777777" w:rsidR="00D03047" w:rsidRPr="00D03047" w:rsidRDefault="00D03047" w:rsidP="00D03047">
      <w:pPr>
        <w:jc w:val="both"/>
        <w:rPr>
          <w:rFonts w:ascii="Times New Roman" w:hAnsi="Times New Roman" w:cs="Times New Roman"/>
          <w:sz w:val="24"/>
          <w:szCs w:val="24"/>
        </w:rPr>
      </w:pPr>
      <w:r w:rsidRPr="00D03047">
        <w:rPr>
          <w:rFonts w:ascii="Times New Roman" w:hAnsi="Times New Roman" w:cs="Times New Roman"/>
          <w:sz w:val="24"/>
          <w:szCs w:val="24"/>
        </w:rPr>
        <w:t>Il risultato economicamente più rilevante emerge nel portafoglio equally weighted costruito sui segnali di ChatGPT versione non loggata (CGP), che consegue un rendimento cumulato pari al 25,4%, seguito a brevissima distanza da Gemini Pro (G) con il 25,0%. In entrambi i casi la sovraperformance rispetto al benchmark S&amp;P500, pari al 7,8% nel medesimo periodo, risulta particolarmente marcata. Nello schema value-weighted, il miglior risultato è ottenuto da Gemini Pro (G), che raggiunge un rendimento cumulato del 20,7%.</w:t>
      </w:r>
    </w:p>
    <w:p w14:paraId="4F8E334F" w14:textId="77777777" w:rsidR="00D03047" w:rsidRPr="00D03047" w:rsidRDefault="00D03047" w:rsidP="00D03047">
      <w:pPr>
        <w:jc w:val="both"/>
        <w:rPr>
          <w:rFonts w:ascii="Times New Roman" w:hAnsi="Times New Roman" w:cs="Times New Roman"/>
          <w:sz w:val="24"/>
          <w:szCs w:val="24"/>
        </w:rPr>
      </w:pPr>
      <w:r w:rsidRPr="00D03047">
        <w:rPr>
          <w:rFonts w:ascii="Times New Roman" w:hAnsi="Times New Roman" w:cs="Times New Roman"/>
          <w:sz w:val="24"/>
          <w:szCs w:val="24"/>
        </w:rPr>
        <w:t>Particolarmente interessante risulta il confronto tra gli schemi di ponderazione. I portafogli equally weighted appaiono maggiormente efficaci per Gemini Pro (G) e per ChatGPT versione non loggata (CGP), mentre il criterio value-weighted risulta più favorevole per ChatGPT versione loggata (CGL). Tale evidenza suggerisce che l'efficacia delle regole di allocazione del capitale non sia univoca, ma dipenda dall'interazione tra il criterio di ponderazione adottato e le caratteristiche del modello linguistico impiegato.</w:t>
      </w:r>
    </w:p>
    <w:p w14:paraId="1083AF6D" w14:textId="7D3A5F21" w:rsidR="00C74CBA" w:rsidRPr="00C74CBA" w:rsidRDefault="00D03047" w:rsidP="00C74CBA">
      <w:pPr>
        <w:jc w:val="both"/>
        <w:rPr>
          <w:rFonts w:ascii="Times New Roman" w:hAnsi="Times New Roman" w:cs="Times New Roman"/>
          <w:sz w:val="24"/>
          <w:szCs w:val="24"/>
        </w:rPr>
      </w:pPr>
      <w:r w:rsidRPr="00D03047">
        <w:rPr>
          <w:rFonts w:ascii="Times New Roman" w:hAnsi="Times New Roman" w:cs="Times New Roman"/>
          <w:sz w:val="24"/>
          <w:szCs w:val="24"/>
        </w:rPr>
        <w:t>I risultati devono tuttavia essere interpretati con cautela. Il periodo campionario risulta relativamente breve e potrebbe riflettere condizioni di mercato specifiche non necessariamente rappresentative di contesti differenti. Inoltre, la performance osservata non appare uniforme tra modelli e schemi di ponderazione, suggerendo la necessità di verificare la robustezza statistica dei risultati attraverso le successive analisi di rischio, Sharpe Ratio e regressioni multifattoriali.</w:t>
      </w:r>
    </w:p>
    <w:p w14:paraId="0FBE9CB1" w14:textId="4520C119" w:rsidR="000B1B45" w:rsidRPr="000B1B45" w:rsidRDefault="007D19CB" w:rsidP="000B1B45">
      <w:pPr>
        <w:jc w:val="both"/>
        <w:rPr>
          <w:rFonts w:ascii="Times New Roman" w:hAnsi="Times New Roman" w:cs="Times New Roman"/>
          <w:b/>
          <w:bCs/>
          <w:sz w:val="24"/>
          <w:szCs w:val="24"/>
        </w:rPr>
      </w:pPr>
      <w:r>
        <w:rPr>
          <w:rFonts w:ascii="Times New Roman" w:hAnsi="Times New Roman" w:cs="Times New Roman"/>
          <w:b/>
          <w:bCs/>
          <w:sz w:val="24"/>
          <w:szCs w:val="24"/>
        </w:rPr>
        <w:t>3</w:t>
      </w:r>
      <w:r w:rsidR="000B1B45" w:rsidRPr="000B1B45">
        <w:rPr>
          <w:rFonts w:ascii="Times New Roman" w:hAnsi="Times New Roman" w:cs="Times New Roman"/>
          <w:b/>
          <w:bCs/>
          <w:sz w:val="24"/>
          <w:szCs w:val="24"/>
        </w:rPr>
        <w:t>.</w:t>
      </w:r>
      <w:r w:rsidR="00D11ED9">
        <w:rPr>
          <w:rFonts w:ascii="Times New Roman" w:hAnsi="Times New Roman" w:cs="Times New Roman"/>
          <w:b/>
          <w:bCs/>
          <w:sz w:val="24"/>
          <w:szCs w:val="24"/>
        </w:rPr>
        <w:t>2</w:t>
      </w:r>
      <w:r w:rsidR="000B1B45" w:rsidRPr="000B1B45">
        <w:rPr>
          <w:rFonts w:ascii="Times New Roman" w:hAnsi="Times New Roman" w:cs="Times New Roman"/>
          <w:b/>
          <w:bCs/>
          <w:sz w:val="24"/>
          <w:szCs w:val="24"/>
        </w:rPr>
        <w:t>.2 Statistiche descrittive dei rendimenti</w:t>
      </w:r>
    </w:p>
    <w:p w14:paraId="1E8DEF85" w14:textId="307AF665"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sz w:val="24"/>
          <w:szCs w:val="24"/>
        </w:rPr>
        <w:t xml:space="preserve">La Tabella </w:t>
      </w:r>
      <w:r w:rsidR="003F1C17">
        <w:rPr>
          <w:rFonts w:ascii="Times New Roman" w:hAnsi="Times New Roman" w:cs="Times New Roman"/>
          <w:sz w:val="24"/>
          <w:szCs w:val="24"/>
        </w:rPr>
        <w:t>3</w:t>
      </w:r>
      <w:r w:rsidRPr="000B1B45">
        <w:rPr>
          <w:rFonts w:ascii="Times New Roman" w:hAnsi="Times New Roman" w:cs="Times New Roman"/>
          <w:sz w:val="24"/>
          <w:szCs w:val="24"/>
        </w:rPr>
        <w:t xml:space="preserve"> riporta le principali statistiche descrittive dei rendimenti giornalieri dei portafogli costruiti mediante i tre differenti schemi di ponderazione.</w:t>
      </w:r>
    </w:p>
    <w:p w14:paraId="71B22A10" w14:textId="6CB5D44D" w:rsidR="000B1B45" w:rsidRPr="00216505" w:rsidRDefault="000B1B45" w:rsidP="00216505">
      <w:pPr>
        <w:pStyle w:val="Didascalia"/>
        <w:keepNext/>
        <w:rPr>
          <w:color w:val="auto"/>
        </w:rPr>
      </w:pPr>
      <w:r w:rsidRPr="000B1B45">
        <w:rPr>
          <w:color w:val="auto"/>
        </w:rPr>
        <w:t xml:space="preserve">Tabella </w:t>
      </w:r>
      <w:r w:rsidRPr="000B1B45">
        <w:rPr>
          <w:color w:val="auto"/>
        </w:rPr>
        <w:fldChar w:fldCharType="begin"/>
      </w:r>
      <w:r w:rsidRPr="000B1B45">
        <w:rPr>
          <w:color w:val="auto"/>
        </w:rPr>
        <w:instrText xml:space="preserve"> SEQ Tabella \* ARABIC </w:instrText>
      </w:r>
      <w:r w:rsidRPr="000B1B45">
        <w:rPr>
          <w:color w:val="auto"/>
        </w:rPr>
        <w:fldChar w:fldCharType="separate"/>
      </w:r>
      <w:r w:rsidR="00D11ED9">
        <w:rPr>
          <w:noProof/>
          <w:color w:val="auto"/>
        </w:rPr>
        <w:t>3</w:t>
      </w:r>
      <w:r w:rsidRPr="000B1B45">
        <w:rPr>
          <w:color w:val="auto"/>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714"/>
        <w:gridCol w:w="1440"/>
        <w:gridCol w:w="987"/>
        <w:gridCol w:w="1034"/>
        <w:gridCol w:w="956"/>
      </w:tblGrid>
      <w:tr w:rsidR="00BF04E8" w:rsidRPr="00BF04E8" w14:paraId="23F6DCE3" w14:textId="77777777" w:rsidTr="00BF04E8">
        <w:trPr>
          <w:tblHeader/>
          <w:tblCellSpacing w:w="15" w:type="dxa"/>
        </w:trPr>
        <w:tc>
          <w:tcPr>
            <w:tcW w:w="0" w:type="auto"/>
            <w:tcBorders>
              <w:top w:val="single" w:sz="4" w:space="0" w:color="auto"/>
              <w:bottom w:val="single" w:sz="4" w:space="0" w:color="auto"/>
            </w:tcBorders>
            <w:vAlign w:val="center"/>
            <w:hideMark/>
          </w:tcPr>
          <w:p w14:paraId="2DE336C8"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Type</w:t>
            </w:r>
          </w:p>
        </w:tc>
        <w:tc>
          <w:tcPr>
            <w:tcW w:w="0" w:type="auto"/>
            <w:tcBorders>
              <w:top w:val="single" w:sz="4" w:space="0" w:color="auto"/>
              <w:bottom w:val="single" w:sz="4" w:space="0" w:color="auto"/>
            </w:tcBorders>
            <w:vAlign w:val="center"/>
            <w:hideMark/>
          </w:tcPr>
          <w:p w14:paraId="00B96CC1"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Model</w:t>
            </w:r>
          </w:p>
        </w:tc>
        <w:tc>
          <w:tcPr>
            <w:tcW w:w="0" w:type="auto"/>
            <w:tcBorders>
              <w:top w:val="single" w:sz="4" w:space="0" w:color="auto"/>
              <w:bottom w:val="single" w:sz="4" w:space="0" w:color="auto"/>
            </w:tcBorders>
            <w:vAlign w:val="center"/>
            <w:hideMark/>
          </w:tcPr>
          <w:p w14:paraId="648DE747"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Mean Return</w:t>
            </w:r>
          </w:p>
        </w:tc>
        <w:tc>
          <w:tcPr>
            <w:tcW w:w="0" w:type="auto"/>
            <w:tcBorders>
              <w:top w:val="single" w:sz="4" w:space="0" w:color="auto"/>
              <w:bottom w:val="single" w:sz="4" w:space="0" w:color="auto"/>
            </w:tcBorders>
            <w:vAlign w:val="center"/>
            <w:hideMark/>
          </w:tcPr>
          <w:p w14:paraId="32EE6D5B"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Std. Dev.</w:t>
            </w:r>
          </w:p>
        </w:tc>
        <w:tc>
          <w:tcPr>
            <w:tcW w:w="0" w:type="auto"/>
            <w:tcBorders>
              <w:top w:val="single" w:sz="4" w:space="0" w:color="auto"/>
              <w:bottom w:val="single" w:sz="4" w:space="0" w:color="auto"/>
            </w:tcBorders>
            <w:vAlign w:val="center"/>
            <w:hideMark/>
          </w:tcPr>
          <w:p w14:paraId="7FE603D6"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Skewness</w:t>
            </w:r>
          </w:p>
        </w:tc>
        <w:tc>
          <w:tcPr>
            <w:tcW w:w="0" w:type="auto"/>
            <w:tcBorders>
              <w:top w:val="single" w:sz="4" w:space="0" w:color="auto"/>
              <w:bottom w:val="single" w:sz="4" w:space="0" w:color="auto"/>
            </w:tcBorders>
            <w:vAlign w:val="center"/>
            <w:hideMark/>
          </w:tcPr>
          <w:p w14:paraId="362E2965" w14:textId="77777777" w:rsidR="00BF04E8" w:rsidRPr="00BF04E8" w:rsidRDefault="00BF04E8" w:rsidP="00BF04E8">
            <w:pPr>
              <w:spacing w:after="0" w:line="240" w:lineRule="auto"/>
              <w:rPr>
                <w:rFonts w:ascii="Times New Roman" w:eastAsia="Times New Roman" w:hAnsi="Times New Roman" w:cs="Times New Roman"/>
                <w:b/>
                <w:bCs/>
                <w:kern w:val="0"/>
                <w:sz w:val="24"/>
                <w:szCs w:val="24"/>
                <w:lang w:eastAsia="it-IT"/>
                <w14:ligatures w14:val="none"/>
              </w:rPr>
            </w:pPr>
            <w:r w:rsidRPr="00BF04E8">
              <w:rPr>
                <w:rFonts w:ascii="Times New Roman" w:eastAsia="Times New Roman" w:hAnsi="Times New Roman" w:cs="Times New Roman"/>
                <w:b/>
                <w:bCs/>
                <w:kern w:val="0"/>
                <w:sz w:val="24"/>
                <w:szCs w:val="24"/>
                <w:lang w:eastAsia="it-IT"/>
                <w14:ligatures w14:val="none"/>
              </w:rPr>
              <w:t>Kurtosis</w:t>
            </w:r>
          </w:p>
        </w:tc>
      </w:tr>
      <w:tr w:rsidR="00BF04E8" w:rsidRPr="00BF04E8" w14:paraId="5AFDC454" w14:textId="77777777">
        <w:trPr>
          <w:tblCellSpacing w:w="15" w:type="dxa"/>
        </w:trPr>
        <w:tc>
          <w:tcPr>
            <w:tcW w:w="0" w:type="auto"/>
            <w:vAlign w:val="center"/>
            <w:hideMark/>
          </w:tcPr>
          <w:p w14:paraId="5084B818"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0E976370"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60CE76AF"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0.00101</w:t>
            </w:r>
          </w:p>
        </w:tc>
        <w:tc>
          <w:tcPr>
            <w:tcW w:w="0" w:type="auto"/>
            <w:vAlign w:val="center"/>
            <w:hideMark/>
          </w:tcPr>
          <w:p w14:paraId="6BABFDD9"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0.0177</w:t>
            </w:r>
          </w:p>
        </w:tc>
        <w:tc>
          <w:tcPr>
            <w:tcW w:w="0" w:type="auto"/>
            <w:vAlign w:val="center"/>
            <w:hideMark/>
          </w:tcPr>
          <w:p w14:paraId="40366BB6"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0.263</w:t>
            </w:r>
          </w:p>
        </w:tc>
        <w:tc>
          <w:tcPr>
            <w:tcW w:w="0" w:type="auto"/>
            <w:vAlign w:val="center"/>
            <w:hideMark/>
          </w:tcPr>
          <w:p w14:paraId="02CF04F4"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0.086</w:t>
            </w:r>
          </w:p>
        </w:tc>
      </w:tr>
      <w:tr w:rsidR="00BF04E8" w:rsidRPr="00BF04E8" w14:paraId="172EE09D" w14:textId="77777777">
        <w:trPr>
          <w:tblCellSpacing w:w="15" w:type="dxa"/>
        </w:trPr>
        <w:tc>
          <w:tcPr>
            <w:tcW w:w="0" w:type="auto"/>
            <w:vAlign w:val="center"/>
            <w:hideMark/>
          </w:tcPr>
          <w:p w14:paraId="5461B37E"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432FC59C"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1ABCCD89"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0.00324</w:t>
            </w:r>
          </w:p>
        </w:tc>
        <w:tc>
          <w:tcPr>
            <w:tcW w:w="0" w:type="auto"/>
            <w:vAlign w:val="center"/>
            <w:hideMark/>
          </w:tcPr>
          <w:p w14:paraId="5825CEC5"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0.0189</w:t>
            </w:r>
          </w:p>
        </w:tc>
        <w:tc>
          <w:tcPr>
            <w:tcW w:w="0" w:type="auto"/>
            <w:vAlign w:val="center"/>
            <w:hideMark/>
          </w:tcPr>
          <w:p w14:paraId="3D7A38C7"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0.345</w:t>
            </w:r>
          </w:p>
        </w:tc>
        <w:tc>
          <w:tcPr>
            <w:tcW w:w="0" w:type="auto"/>
            <w:vAlign w:val="center"/>
            <w:hideMark/>
          </w:tcPr>
          <w:p w14:paraId="14E102A3"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0.240</w:t>
            </w:r>
          </w:p>
        </w:tc>
      </w:tr>
      <w:tr w:rsidR="00BF04E8" w:rsidRPr="00BF04E8" w14:paraId="6E27EDA1" w14:textId="77777777">
        <w:trPr>
          <w:tblCellSpacing w:w="15" w:type="dxa"/>
        </w:trPr>
        <w:tc>
          <w:tcPr>
            <w:tcW w:w="0" w:type="auto"/>
            <w:vAlign w:val="center"/>
            <w:hideMark/>
          </w:tcPr>
          <w:p w14:paraId="7C6B9FC1"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47DC9C35"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G</w:t>
            </w:r>
          </w:p>
        </w:tc>
        <w:tc>
          <w:tcPr>
            <w:tcW w:w="0" w:type="auto"/>
            <w:vAlign w:val="center"/>
            <w:hideMark/>
          </w:tcPr>
          <w:p w14:paraId="75618913"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0.00319</w:t>
            </w:r>
          </w:p>
        </w:tc>
        <w:tc>
          <w:tcPr>
            <w:tcW w:w="0" w:type="auto"/>
            <w:vAlign w:val="center"/>
            <w:hideMark/>
          </w:tcPr>
          <w:p w14:paraId="39D4865A"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0.0164</w:t>
            </w:r>
          </w:p>
        </w:tc>
        <w:tc>
          <w:tcPr>
            <w:tcW w:w="0" w:type="auto"/>
            <w:vAlign w:val="center"/>
            <w:hideMark/>
          </w:tcPr>
          <w:p w14:paraId="29330CA1"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0.599</w:t>
            </w:r>
          </w:p>
        </w:tc>
        <w:tc>
          <w:tcPr>
            <w:tcW w:w="0" w:type="auto"/>
            <w:vAlign w:val="center"/>
            <w:hideMark/>
          </w:tcPr>
          <w:p w14:paraId="26783F7A"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0.454</w:t>
            </w:r>
          </w:p>
        </w:tc>
      </w:tr>
      <w:tr w:rsidR="00BF04E8" w:rsidRPr="00BF04E8" w14:paraId="511626EA" w14:textId="77777777">
        <w:trPr>
          <w:tblCellSpacing w:w="15" w:type="dxa"/>
        </w:trPr>
        <w:tc>
          <w:tcPr>
            <w:tcW w:w="0" w:type="auto"/>
            <w:vAlign w:val="center"/>
            <w:hideMark/>
          </w:tcPr>
          <w:p w14:paraId="0CD4302E"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4348FD66"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622DFDBB"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0.000291</w:t>
            </w:r>
          </w:p>
        </w:tc>
        <w:tc>
          <w:tcPr>
            <w:tcW w:w="0" w:type="auto"/>
            <w:vAlign w:val="center"/>
            <w:hideMark/>
          </w:tcPr>
          <w:p w14:paraId="196BDA4F"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59A2C757" w14:textId="07F9EC55"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0.032</w:t>
            </w:r>
            <w:r w:rsidR="00BD3852">
              <w:rPr>
                <w:rFonts w:ascii="Times New Roman" w:eastAsia="Times New Roman" w:hAnsi="Times New Roman" w:cs="Times New Roman"/>
                <w:kern w:val="0"/>
                <w:sz w:val="24"/>
                <w:szCs w:val="24"/>
                <w:lang w:eastAsia="it-IT"/>
                <w14:ligatures w14:val="none"/>
              </w:rPr>
              <w:t>1</w:t>
            </w:r>
          </w:p>
        </w:tc>
        <w:tc>
          <w:tcPr>
            <w:tcW w:w="0" w:type="auto"/>
            <w:vAlign w:val="center"/>
            <w:hideMark/>
          </w:tcPr>
          <w:p w14:paraId="54C628C0"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-0.273</w:t>
            </w:r>
          </w:p>
        </w:tc>
      </w:tr>
      <w:tr w:rsidR="00BF04E8" w:rsidRPr="00BF04E8" w14:paraId="313841B0" w14:textId="77777777">
        <w:trPr>
          <w:tblCellSpacing w:w="15" w:type="dxa"/>
        </w:trPr>
        <w:tc>
          <w:tcPr>
            <w:tcW w:w="0" w:type="auto"/>
            <w:vAlign w:val="center"/>
            <w:hideMark/>
          </w:tcPr>
          <w:p w14:paraId="59DFBEB1"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77A3646A"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525027B9"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0.00312</w:t>
            </w:r>
          </w:p>
        </w:tc>
        <w:tc>
          <w:tcPr>
            <w:tcW w:w="0" w:type="auto"/>
            <w:vAlign w:val="center"/>
            <w:hideMark/>
          </w:tcPr>
          <w:p w14:paraId="6810CFBA"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67FE0582"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0.145</w:t>
            </w:r>
          </w:p>
        </w:tc>
        <w:tc>
          <w:tcPr>
            <w:tcW w:w="0" w:type="auto"/>
            <w:vAlign w:val="center"/>
            <w:hideMark/>
          </w:tcPr>
          <w:p w14:paraId="17263E7F"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-0.210</w:t>
            </w:r>
          </w:p>
        </w:tc>
      </w:tr>
      <w:tr w:rsidR="00BF04E8" w:rsidRPr="00BF04E8" w14:paraId="01A8FF7D" w14:textId="77777777">
        <w:trPr>
          <w:tblCellSpacing w:w="15" w:type="dxa"/>
        </w:trPr>
        <w:tc>
          <w:tcPr>
            <w:tcW w:w="0" w:type="auto"/>
            <w:vAlign w:val="center"/>
            <w:hideMark/>
          </w:tcPr>
          <w:p w14:paraId="563CD594"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76DA6408"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G</w:t>
            </w:r>
          </w:p>
        </w:tc>
        <w:tc>
          <w:tcPr>
            <w:tcW w:w="0" w:type="auto"/>
            <w:vAlign w:val="center"/>
            <w:hideMark/>
          </w:tcPr>
          <w:p w14:paraId="333C7BDF"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0.00245</w:t>
            </w:r>
          </w:p>
        </w:tc>
        <w:tc>
          <w:tcPr>
            <w:tcW w:w="0" w:type="auto"/>
            <w:vAlign w:val="center"/>
            <w:hideMark/>
          </w:tcPr>
          <w:p w14:paraId="3268E252"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0.0171</w:t>
            </w:r>
          </w:p>
        </w:tc>
        <w:tc>
          <w:tcPr>
            <w:tcW w:w="0" w:type="auto"/>
            <w:vAlign w:val="center"/>
            <w:hideMark/>
          </w:tcPr>
          <w:p w14:paraId="7CBF2220"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0.668</w:t>
            </w:r>
          </w:p>
        </w:tc>
        <w:tc>
          <w:tcPr>
            <w:tcW w:w="0" w:type="auto"/>
            <w:vAlign w:val="center"/>
            <w:hideMark/>
          </w:tcPr>
          <w:p w14:paraId="4B8D2A9F" w14:textId="2D3858AD"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1.04</w:t>
            </w:r>
          </w:p>
        </w:tc>
      </w:tr>
      <w:tr w:rsidR="00BF04E8" w:rsidRPr="00BF04E8" w14:paraId="38249665" w14:textId="77777777">
        <w:trPr>
          <w:tblCellSpacing w:w="15" w:type="dxa"/>
        </w:trPr>
        <w:tc>
          <w:tcPr>
            <w:tcW w:w="0" w:type="auto"/>
            <w:vAlign w:val="center"/>
            <w:hideMark/>
          </w:tcPr>
          <w:p w14:paraId="4B5E1D33"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74930F9B"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48CAB00F"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0.00219</w:t>
            </w:r>
          </w:p>
        </w:tc>
        <w:tc>
          <w:tcPr>
            <w:tcW w:w="0" w:type="auto"/>
            <w:vAlign w:val="center"/>
            <w:hideMark/>
          </w:tcPr>
          <w:p w14:paraId="22D107F1"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0.0192</w:t>
            </w:r>
          </w:p>
        </w:tc>
        <w:tc>
          <w:tcPr>
            <w:tcW w:w="0" w:type="auto"/>
            <w:vAlign w:val="center"/>
            <w:hideMark/>
          </w:tcPr>
          <w:p w14:paraId="482A6FE2"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0.587</w:t>
            </w:r>
          </w:p>
        </w:tc>
        <w:tc>
          <w:tcPr>
            <w:tcW w:w="0" w:type="auto"/>
            <w:vAlign w:val="center"/>
            <w:hideMark/>
          </w:tcPr>
          <w:p w14:paraId="1F1307F2" w14:textId="1271A7A0"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1.10</w:t>
            </w:r>
          </w:p>
        </w:tc>
      </w:tr>
      <w:tr w:rsidR="00BF04E8" w:rsidRPr="00BF04E8" w14:paraId="3887F5F3" w14:textId="77777777">
        <w:trPr>
          <w:tblCellSpacing w:w="15" w:type="dxa"/>
        </w:trPr>
        <w:tc>
          <w:tcPr>
            <w:tcW w:w="0" w:type="auto"/>
            <w:vAlign w:val="center"/>
            <w:hideMark/>
          </w:tcPr>
          <w:p w14:paraId="6EAA8578"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1ECF3233"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0DC58DB2"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0.000618</w:t>
            </w:r>
          </w:p>
        </w:tc>
        <w:tc>
          <w:tcPr>
            <w:tcW w:w="0" w:type="auto"/>
            <w:vAlign w:val="center"/>
            <w:hideMark/>
          </w:tcPr>
          <w:p w14:paraId="6ED99DDC"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2D89E39B" w14:textId="19EC1F18"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0.087</w:t>
            </w:r>
            <w:r w:rsidR="00BD3852">
              <w:rPr>
                <w:rFonts w:ascii="Times New Roman" w:eastAsia="Times New Roman" w:hAnsi="Times New Roman" w:cs="Times New Roman"/>
                <w:kern w:val="0"/>
                <w:sz w:val="24"/>
                <w:szCs w:val="24"/>
                <w:lang w:eastAsia="it-IT"/>
                <w14:ligatures w14:val="none"/>
              </w:rPr>
              <w:t>4</w:t>
            </w:r>
          </w:p>
        </w:tc>
        <w:tc>
          <w:tcPr>
            <w:tcW w:w="0" w:type="auto"/>
            <w:vAlign w:val="center"/>
            <w:hideMark/>
          </w:tcPr>
          <w:p w14:paraId="1DED6D54"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-0.503</w:t>
            </w:r>
          </w:p>
        </w:tc>
      </w:tr>
      <w:tr w:rsidR="00BF04E8" w:rsidRPr="00BF04E8" w14:paraId="47A013C9" w14:textId="77777777" w:rsidTr="007D19CB">
        <w:trPr>
          <w:tblCellSpacing w:w="15" w:type="dxa"/>
        </w:trPr>
        <w:tc>
          <w:tcPr>
            <w:tcW w:w="0" w:type="auto"/>
            <w:tcBorders>
              <w:bottom w:val="single" w:sz="4" w:space="0" w:color="auto"/>
            </w:tcBorders>
            <w:vAlign w:val="center"/>
            <w:hideMark/>
          </w:tcPr>
          <w:p w14:paraId="52F33B3A"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VW</w:t>
            </w:r>
          </w:p>
        </w:tc>
        <w:tc>
          <w:tcPr>
            <w:tcW w:w="0" w:type="auto"/>
            <w:tcBorders>
              <w:bottom w:val="single" w:sz="4" w:space="0" w:color="auto"/>
            </w:tcBorders>
            <w:vAlign w:val="center"/>
            <w:hideMark/>
          </w:tcPr>
          <w:p w14:paraId="5833F2A4"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G</w:t>
            </w:r>
          </w:p>
        </w:tc>
        <w:tc>
          <w:tcPr>
            <w:tcW w:w="0" w:type="auto"/>
            <w:tcBorders>
              <w:bottom w:val="single" w:sz="4" w:space="0" w:color="auto"/>
            </w:tcBorders>
            <w:vAlign w:val="center"/>
            <w:hideMark/>
          </w:tcPr>
          <w:p w14:paraId="5BF05DDC"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0.00272</w:t>
            </w:r>
          </w:p>
        </w:tc>
        <w:tc>
          <w:tcPr>
            <w:tcW w:w="0" w:type="auto"/>
            <w:tcBorders>
              <w:bottom w:val="single" w:sz="4" w:space="0" w:color="auto"/>
            </w:tcBorders>
            <w:vAlign w:val="center"/>
            <w:hideMark/>
          </w:tcPr>
          <w:p w14:paraId="2F4DAA6C"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0.0174</w:t>
            </w:r>
          </w:p>
        </w:tc>
        <w:tc>
          <w:tcPr>
            <w:tcW w:w="0" w:type="auto"/>
            <w:tcBorders>
              <w:bottom w:val="single" w:sz="4" w:space="0" w:color="auto"/>
            </w:tcBorders>
            <w:vAlign w:val="center"/>
            <w:hideMark/>
          </w:tcPr>
          <w:p w14:paraId="518FC17B"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0.482</w:t>
            </w:r>
          </w:p>
        </w:tc>
        <w:tc>
          <w:tcPr>
            <w:tcW w:w="0" w:type="auto"/>
            <w:tcBorders>
              <w:bottom w:val="single" w:sz="4" w:space="0" w:color="auto"/>
            </w:tcBorders>
            <w:vAlign w:val="center"/>
            <w:hideMark/>
          </w:tcPr>
          <w:p w14:paraId="12FE7A22" w14:textId="77777777" w:rsidR="00BF04E8" w:rsidRPr="00BF04E8"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BF04E8">
              <w:rPr>
                <w:rFonts w:ascii="Times New Roman" w:eastAsia="Times New Roman" w:hAnsi="Times New Roman" w:cs="Times New Roman"/>
                <w:kern w:val="0"/>
                <w:sz w:val="24"/>
                <w:szCs w:val="24"/>
                <w:lang w:eastAsia="it-IT"/>
                <w14:ligatures w14:val="none"/>
              </w:rPr>
              <w:t>0.647</w:t>
            </w:r>
          </w:p>
        </w:tc>
      </w:tr>
    </w:tbl>
    <w:p w14:paraId="7687572C" w14:textId="77777777"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i/>
          <w:iCs/>
          <w:sz w:val="24"/>
          <w:szCs w:val="24"/>
        </w:rPr>
        <w:t>Fonte: elaborazione propria su dati raccolti in tempo reale.</w:t>
      </w:r>
    </w:p>
    <w:p w14:paraId="296D6651" w14:textId="7004353F" w:rsidR="00BF04E8" w:rsidRPr="00BF04E8" w:rsidRDefault="00BF04E8" w:rsidP="00BF04E8">
      <w:pPr>
        <w:jc w:val="both"/>
        <w:rPr>
          <w:rFonts w:ascii="Times New Roman" w:hAnsi="Times New Roman" w:cs="Times New Roman"/>
          <w:sz w:val="24"/>
          <w:szCs w:val="24"/>
        </w:rPr>
      </w:pPr>
      <w:r w:rsidRPr="00BF04E8">
        <w:rPr>
          <w:rFonts w:ascii="Times New Roman" w:hAnsi="Times New Roman" w:cs="Times New Roman"/>
          <w:sz w:val="24"/>
          <w:szCs w:val="24"/>
        </w:rPr>
        <w:t xml:space="preserve">Le statistiche descrittive evidenziano una moderata variabilità sia nei rendimenti medi sia nella distribuzione delle performance tra i diversi modelli. I portafogli costruiti mediante ChatGPT versione non loggata (CGP) e Gemini Pro (G) mostrano generalmente i rendimenti medi più elevati negli schemi equally weighted e signal weighted, mentre nel caso value weighted Gemini Pro registra </w:t>
      </w:r>
      <w:r w:rsidRPr="00BF04E8">
        <w:rPr>
          <w:rFonts w:ascii="Times New Roman" w:hAnsi="Times New Roman" w:cs="Times New Roman"/>
          <w:sz w:val="24"/>
          <w:szCs w:val="24"/>
        </w:rPr>
        <w:lastRenderedPageBreak/>
        <w:t>la performance media migliore. ChatGPT versione loggata (CGL) presenta invece rendimenti medi più contenuti nella maggior parte delle configurazioni considerate.</w:t>
      </w:r>
    </w:p>
    <w:p w14:paraId="64FAFDDA" w14:textId="77777777" w:rsidR="00BF04E8" w:rsidRPr="00BF04E8" w:rsidRDefault="00BF04E8" w:rsidP="00BF04E8">
      <w:pPr>
        <w:jc w:val="both"/>
        <w:rPr>
          <w:rFonts w:ascii="Times New Roman" w:hAnsi="Times New Roman" w:cs="Times New Roman"/>
          <w:sz w:val="24"/>
          <w:szCs w:val="24"/>
        </w:rPr>
      </w:pPr>
      <w:r w:rsidRPr="00BF04E8">
        <w:rPr>
          <w:rFonts w:ascii="Times New Roman" w:hAnsi="Times New Roman" w:cs="Times New Roman"/>
          <w:sz w:val="24"/>
          <w:szCs w:val="24"/>
        </w:rPr>
        <w:t>Dal punto di vista della volatilità, le deviazioni standard risultano relativamente omogenee tra i differenti schemi di ponderazione, suggerendo che le differenze osservate nei rendimenti non siano accompagnate da sostanziali divergenze nei livelli di rischio assunti.</w:t>
      </w:r>
    </w:p>
    <w:p w14:paraId="0BE97887" w14:textId="77777777" w:rsidR="00BF04E8" w:rsidRPr="00BF04E8" w:rsidRDefault="00BF04E8" w:rsidP="00BF04E8">
      <w:pPr>
        <w:jc w:val="both"/>
        <w:rPr>
          <w:rFonts w:ascii="Times New Roman" w:hAnsi="Times New Roman" w:cs="Times New Roman"/>
          <w:sz w:val="24"/>
          <w:szCs w:val="24"/>
        </w:rPr>
      </w:pPr>
      <w:r w:rsidRPr="00BF04E8">
        <w:rPr>
          <w:rFonts w:ascii="Times New Roman" w:hAnsi="Times New Roman" w:cs="Times New Roman"/>
          <w:sz w:val="24"/>
          <w:szCs w:val="24"/>
        </w:rPr>
        <w:t>La distribuzione dei rendimenti appare generalmente caratterizzata da livelli moderati di skewness positiva, in particolare nei portafogli Gemini Pro e nelle configurazioni value weighted di ChatGPT versione loggata. Tale evidenza suggerisce la presenza di alcune osservazioni positive estreme concentrate in specifiche giornate di mercato favorevoli.</w:t>
      </w:r>
    </w:p>
    <w:p w14:paraId="474D613E" w14:textId="1A719715"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sz w:val="24"/>
          <w:szCs w:val="24"/>
        </w:rPr>
        <w:t xml:space="preserve">La Figura </w:t>
      </w:r>
      <w:r>
        <w:rPr>
          <w:rFonts w:ascii="Times New Roman" w:hAnsi="Times New Roman" w:cs="Times New Roman"/>
          <w:sz w:val="24"/>
          <w:szCs w:val="24"/>
        </w:rPr>
        <w:t>2</w:t>
      </w:r>
      <w:r w:rsidRPr="000B1B45">
        <w:rPr>
          <w:rFonts w:ascii="Times New Roman" w:hAnsi="Times New Roman" w:cs="Times New Roman"/>
          <w:sz w:val="24"/>
          <w:szCs w:val="24"/>
        </w:rPr>
        <w:t xml:space="preserve"> mostra invece la distribuzione empirica dei rendimenti giornalieri dei portafogli.</w:t>
      </w:r>
    </w:p>
    <w:p w14:paraId="3B04A838" w14:textId="77777777" w:rsidR="003F1C17" w:rsidRPr="003F1C17" w:rsidRDefault="003F1C17" w:rsidP="003F1C17"/>
    <w:p w14:paraId="7D821AE0" w14:textId="77777777" w:rsidR="00216505" w:rsidRDefault="003F1C17" w:rsidP="00216505">
      <w:pPr>
        <w:keepNext/>
        <w:jc w:val="center"/>
      </w:pPr>
      <w:r>
        <w:rPr>
          <w:rFonts w:ascii="Times New Roman" w:hAnsi="Times New Roman" w:cs="Times New Roman"/>
          <w:noProof/>
          <w:sz w:val="24"/>
          <w:szCs w:val="24"/>
          <w:lang w:val="en-GB"/>
        </w:rPr>
        <w:drawing>
          <wp:inline distT="0" distB="0" distL="0" distR="0" wp14:anchorId="4136A8DE" wp14:editId="1F6F1A72">
            <wp:extent cx="4196885" cy="2771775"/>
            <wp:effectExtent l="0" t="0" r="0" b="0"/>
            <wp:docPr id="109749043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8812" cy="2779652"/>
                    </a:xfrm>
                    <a:prstGeom prst="rect">
                      <a:avLst/>
                    </a:prstGeom>
                    <a:noFill/>
                    <a:ln>
                      <a:noFill/>
                    </a:ln>
                  </pic:spPr>
                </pic:pic>
              </a:graphicData>
            </a:graphic>
          </wp:inline>
        </w:drawing>
      </w:r>
    </w:p>
    <w:p w14:paraId="3CE4D69D" w14:textId="208CF9BF" w:rsidR="003F1C17" w:rsidRPr="00216505" w:rsidRDefault="00216505" w:rsidP="00216505">
      <w:pPr>
        <w:pStyle w:val="Didascalia"/>
        <w:jc w:val="center"/>
        <w:rPr>
          <w:rFonts w:ascii="Times New Roman" w:hAnsi="Times New Roman" w:cs="Times New Roman"/>
          <w:color w:val="auto"/>
        </w:rPr>
      </w:pPr>
      <w:r w:rsidRPr="00216505">
        <w:rPr>
          <w:rFonts w:ascii="Times New Roman" w:hAnsi="Times New Roman" w:cs="Times New Roman"/>
          <w:color w:val="auto"/>
        </w:rPr>
        <w:t xml:space="preserve">Figure </w:t>
      </w:r>
      <w:r w:rsidRPr="00216505">
        <w:rPr>
          <w:rFonts w:ascii="Times New Roman" w:hAnsi="Times New Roman" w:cs="Times New Roman"/>
          <w:color w:val="auto"/>
        </w:rPr>
        <w:fldChar w:fldCharType="begin"/>
      </w:r>
      <w:r w:rsidRPr="00216505">
        <w:rPr>
          <w:rFonts w:ascii="Times New Roman" w:hAnsi="Times New Roman" w:cs="Times New Roman"/>
          <w:color w:val="auto"/>
        </w:rPr>
        <w:instrText xml:space="preserve"> SEQ Figure \* ARABIC </w:instrText>
      </w:r>
      <w:r w:rsidRPr="00216505">
        <w:rPr>
          <w:rFonts w:ascii="Times New Roman" w:hAnsi="Times New Roman" w:cs="Times New Roman"/>
          <w:color w:val="auto"/>
        </w:rPr>
        <w:fldChar w:fldCharType="separate"/>
      </w:r>
      <w:r>
        <w:rPr>
          <w:rFonts w:ascii="Times New Roman" w:hAnsi="Times New Roman" w:cs="Times New Roman"/>
          <w:noProof/>
          <w:color w:val="auto"/>
        </w:rPr>
        <w:t>2</w:t>
      </w:r>
      <w:r w:rsidRPr="00216505">
        <w:rPr>
          <w:rFonts w:ascii="Times New Roman" w:hAnsi="Times New Roman" w:cs="Times New Roman"/>
          <w:color w:val="auto"/>
        </w:rPr>
        <w:fldChar w:fldCharType="end"/>
      </w:r>
    </w:p>
    <w:p w14:paraId="2B4735EB" w14:textId="4CA3C88F" w:rsidR="000B1B45" w:rsidRPr="000B1B45" w:rsidRDefault="000B1B45" w:rsidP="00CD050A">
      <w:pPr>
        <w:jc w:val="both"/>
        <w:rPr>
          <w:rFonts w:ascii="Times New Roman" w:hAnsi="Times New Roman" w:cs="Times New Roman"/>
          <w:sz w:val="24"/>
          <w:szCs w:val="24"/>
        </w:rPr>
      </w:pPr>
      <w:r w:rsidRPr="00BF04E8">
        <w:rPr>
          <w:rFonts w:ascii="Times New Roman" w:hAnsi="Times New Roman" w:cs="Times New Roman"/>
          <w:i/>
          <w:iCs/>
          <w:sz w:val="24"/>
          <w:szCs w:val="24"/>
        </w:rPr>
        <w:t xml:space="preserve">Nota. </w:t>
      </w:r>
      <w:r w:rsidRPr="000B1B45">
        <w:rPr>
          <w:rFonts w:ascii="Times New Roman" w:hAnsi="Times New Roman" w:cs="Times New Roman"/>
          <w:i/>
          <w:iCs/>
          <w:sz w:val="24"/>
          <w:szCs w:val="24"/>
        </w:rPr>
        <w:t>La figura riporta la distribuzione empirica dei rendimenti giornalieri per ciascun modello e schema di ponderazione.</w:t>
      </w:r>
    </w:p>
    <w:p w14:paraId="78F60D7C" w14:textId="77777777" w:rsidR="00F43AE6" w:rsidRDefault="00F43AE6" w:rsidP="000B1B45">
      <w:pPr>
        <w:jc w:val="both"/>
        <w:rPr>
          <w:rFonts w:ascii="Times New Roman" w:hAnsi="Times New Roman" w:cs="Times New Roman"/>
          <w:sz w:val="24"/>
          <w:szCs w:val="24"/>
        </w:rPr>
      </w:pPr>
      <w:r w:rsidRPr="00F43AE6">
        <w:rPr>
          <w:rFonts w:ascii="Times New Roman" w:hAnsi="Times New Roman" w:cs="Times New Roman"/>
          <w:sz w:val="24"/>
          <w:szCs w:val="24"/>
        </w:rPr>
        <w:t>Dal punto di vista qualitativo, le distribuzioni risultano fortemente sovrapposte in tutti gli schemi di ponderazione, evidenziando come le differenze osservate nei rendimenti cumulati non derivino da una separazione netta delle distribuzioni giornaliere. Le divergenze tra i modelli appaiono piuttosto riconducibili a differenze relativamente contenute nei rendimenti medi e alla loro accumulazione nel tempo. Alcune differenze emergono nelle code delle distribuzioni, in particolare per Gemini Pro (G), che mostra una maggiore presenza di osservazioni positive estreme coerentemente con i livelli più elevati di skewness osservati nella Tabella 3.</w:t>
      </w:r>
    </w:p>
    <w:p w14:paraId="327FFCCE" w14:textId="58D4093C" w:rsidR="000B1B45" w:rsidRPr="000B1B45" w:rsidRDefault="007D19CB" w:rsidP="000B1B45">
      <w:pPr>
        <w:jc w:val="both"/>
        <w:rPr>
          <w:rFonts w:ascii="Times New Roman" w:hAnsi="Times New Roman" w:cs="Times New Roman"/>
          <w:b/>
          <w:bCs/>
          <w:sz w:val="24"/>
          <w:szCs w:val="24"/>
        </w:rPr>
      </w:pPr>
      <w:r>
        <w:rPr>
          <w:rFonts w:ascii="Times New Roman" w:hAnsi="Times New Roman" w:cs="Times New Roman"/>
          <w:b/>
          <w:bCs/>
          <w:sz w:val="24"/>
          <w:szCs w:val="24"/>
        </w:rPr>
        <w:t>3</w:t>
      </w:r>
      <w:r w:rsidR="000B1B45" w:rsidRPr="000B1B45">
        <w:rPr>
          <w:rFonts w:ascii="Times New Roman" w:hAnsi="Times New Roman" w:cs="Times New Roman"/>
          <w:b/>
          <w:bCs/>
          <w:sz w:val="24"/>
          <w:szCs w:val="24"/>
        </w:rPr>
        <w:t>.</w:t>
      </w:r>
      <w:r w:rsidR="00D11ED9">
        <w:rPr>
          <w:rFonts w:ascii="Times New Roman" w:hAnsi="Times New Roman" w:cs="Times New Roman"/>
          <w:b/>
          <w:bCs/>
          <w:sz w:val="24"/>
          <w:szCs w:val="24"/>
        </w:rPr>
        <w:t>2</w:t>
      </w:r>
      <w:r w:rsidR="000B1B45" w:rsidRPr="000B1B45">
        <w:rPr>
          <w:rFonts w:ascii="Times New Roman" w:hAnsi="Times New Roman" w:cs="Times New Roman"/>
          <w:b/>
          <w:bCs/>
          <w:sz w:val="24"/>
          <w:szCs w:val="24"/>
        </w:rPr>
        <w:t>.3 Risk-adjusted performance</w:t>
      </w:r>
    </w:p>
    <w:p w14:paraId="1BD67592" w14:textId="127DCEB5" w:rsidR="000B1B45" w:rsidRPr="000B1B45" w:rsidRDefault="00BF04E8" w:rsidP="000B1B45">
      <w:pPr>
        <w:jc w:val="both"/>
        <w:rPr>
          <w:rFonts w:ascii="Times New Roman" w:hAnsi="Times New Roman" w:cs="Times New Roman"/>
          <w:sz w:val="24"/>
          <w:szCs w:val="24"/>
        </w:rPr>
      </w:pPr>
      <w:r w:rsidRPr="00BF04E8">
        <w:rPr>
          <w:rFonts w:ascii="Times New Roman" w:hAnsi="Times New Roman" w:cs="Times New Roman"/>
          <w:sz w:val="24"/>
          <w:szCs w:val="24"/>
        </w:rPr>
        <w:t>La semplice osservazione dei rendimenti cumulati non è tuttavia sufficiente per valutare la reale qualità economica delle strategie implementate. In finanza, infatti, performance superiori possono riflettere semplicemente una maggiore esposizione al rischio piuttosto che una reale capacità predittiva. Per questa ragione, la valutazione delle strategie viene ora condotta utilizzando metriche risk-adjusted.</w:t>
      </w:r>
      <w:r>
        <w:rPr>
          <w:rFonts w:ascii="Times New Roman" w:hAnsi="Times New Roman" w:cs="Times New Roman"/>
          <w:sz w:val="24"/>
          <w:szCs w:val="24"/>
        </w:rPr>
        <w:t xml:space="preserve"> </w:t>
      </w:r>
      <w:r w:rsidR="000B1B45" w:rsidRPr="000B1B45">
        <w:rPr>
          <w:rFonts w:ascii="Times New Roman" w:hAnsi="Times New Roman" w:cs="Times New Roman"/>
          <w:sz w:val="24"/>
          <w:szCs w:val="24"/>
        </w:rPr>
        <w:t xml:space="preserve">La Tabella </w:t>
      </w:r>
      <w:r>
        <w:rPr>
          <w:rFonts w:ascii="Times New Roman" w:hAnsi="Times New Roman" w:cs="Times New Roman"/>
          <w:sz w:val="24"/>
          <w:szCs w:val="24"/>
        </w:rPr>
        <w:t>4</w:t>
      </w:r>
      <w:r w:rsidR="000B1B45" w:rsidRPr="000B1B45">
        <w:rPr>
          <w:rFonts w:ascii="Times New Roman" w:hAnsi="Times New Roman" w:cs="Times New Roman"/>
          <w:sz w:val="24"/>
          <w:szCs w:val="24"/>
        </w:rPr>
        <w:t xml:space="preserve"> riporta gli Sharpe ratio dei diversi portafogli.</w:t>
      </w:r>
    </w:p>
    <w:p w14:paraId="00BAA297" w14:textId="106C319B" w:rsidR="00BF04E8" w:rsidRPr="00216505" w:rsidRDefault="00BF04E8" w:rsidP="00216505">
      <w:pPr>
        <w:pStyle w:val="Didascalia"/>
        <w:keepNext/>
        <w:rPr>
          <w:color w:val="auto"/>
        </w:rPr>
      </w:pPr>
      <w:r w:rsidRPr="00BF04E8">
        <w:rPr>
          <w:color w:val="auto"/>
        </w:rPr>
        <w:lastRenderedPageBreak/>
        <w:t xml:space="preserve">Tabella </w:t>
      </w:r>
      <w:r w:rsidRPr="00BF04E8">
        <w:rPr>
          <w:color w:val="auto"/>
        </w:rPr>
        <w:fldChar w:fldCharType="begin"/>
      </w:r>
      <w:r w:rsidRPr="00BF04E8">
        <w:rPr>
          <w:color w:val="auto"/>
        </w:rPr>
        <w:instrText xml:space="preserve"> SEQ Tabella \* ARABIC </w:instrText>
      </w:r>
      <w:r w:rsidRPr="00BF04E8">
        <w:rPr>
          <w:color w:val="auto"/>
        </w:rPr>
        <w:fldChar w:fldCharType="separate"/>
      </w:r>
      <w:r w:rsidR="00D11ED9">
        <w:rPr>
          <w:noProof/>
          <w:color w:val="auto"/>
        </w:rPr>
        <w:t>4</w:t>
      </w:r>
      <w:r w:rsidRPr="00BF04E8">
        <w:rPr>
          <w:color w:val="auto"/>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714"/>
        <w:gridCol w:w="1440"/>
        <w:gridCol w:w="987"/>
        <w:gridCol w:w="1414"/>
        <w:gridCol w:w="615"/>
      </w:tblGrid>
      <w:tr w:rsidR="00BF04E8" w:rsidRPr="00924CA7" w14:paraId="555ECC57" w14:textId="77777777" w:rsidTr="00924CA7">
        <w:trPr>
          <w:tblHeader/>
          <w:tblCellSpacing w:w="15" w:type="dxa"/>
        </w:trPr>
        <w:tc>
          <w:tcPr>
            <w:tcW w:w="0" w:type="auto"/>
            <w:tcBorders>
              <w:top w:val="single" w:sz="4" w:space="0" w:color="auto"/>
              <w:bottom w:val="single" w:sz="4" w:space="0" w:color="auto"/>
            </w:tcBorders>
            <w:vAlign w:val="center"/>
            <w:hideMark/>
          </w:tcPr>
          <w:p w14:paraId="323A27C9"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Type</w:t>
            </w:r>
          </w:p>
        </w:tc>
        <w:tc>
          <w:tcPr>
            <w:tcW w:w="0" w:type="auto"/>
            <w:tcBorders>
              <w:top w:val="single" w:sz="4" w:space="0" w:color="auto"/>
              <w:bottom w:val="single" w:sz="4" w:space="0" w:color="auto"/>
            </w:tcBorders>
            <w:vAlign w:val="center"/>
            <w:hideMark/>
          </w:tcPr>
          <w:p w14:paraId="7C1526DA"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Model</w:t>
            </w:r>
          </w:p>
        </w:tc>
        <w:tc>
          <w:tcPr>
            <w:tcW w:w="0" w:type="auto"/>
            <w:tcBorders>
              <w:top w:val="single" w:sz="4" w:space="0" w:color="auto"/>
              <w:bottom w:val="single" w:sz="4" w:space="0" w:color="auto"/>
            </w:tcBorders>
            <w:vAlign w:val="center"/>
            <w:hideMark/>
          </w:tcPr>
          <w:p w14:paraId="52807B6B"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Mean Return</w:t>
            </w:r>
          </w:p>
        </w:tc>
        <w:tc>
          <w:tcPr>
            <w:tcW w:w="0" w:type="auto"/>
            <w:tcBorders>
              <w:top w:val="single" w:sz="4" w:space="0" w:color="auto"/>
              <w:bottom w:val="single" w:sz="4" w:space="0" w:color="auto"/>
            </w:tcBorders>
            <w:vAlign w:val="center"/>
            <w:hideMark/>
          </w:tcPr>
          <w:p w14:paraId="260BAC63"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Std. Dev.</w:t>
            </w:r>
          </w:p>
        </w:tc>
        <w:tc>
          <w:tcPr>
            <w:tcW w:w="0" w:type="auto"/>
            <w:tcBorders>
              <w:top w:val="single" w:sz="4" w:space="0" w:color="auto"/>
              <w:bottom w:val="single" w:sz="4" w:space="0" w:color="auto"/>
            </w:tcBorders>
            <w:vAlign w:val="center"/>
            <w:hideMark/>
          </w:tcPr>
          <w:p w14:paraId="28E116C0"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Sharpe Ratio</w:t>
            </w:r>
          </w:p>
        </w:tc>
        <w:tc>
          <w:tcPr>
            <w:tcW w:w="0" w:type="auto"/>
            <w:tcBorders>
              <w:top w:val="single" w:sz="4" w:space="0" w:color="auto"/>
              <w:bottom w:val="single" w:sz="4" w:space="0" w:color="auto"/>
            </w:tcBorders>
            <w:vAlign w:val="center"/>
            <w:hideMark/>
          </w:tcPr>
          <w:p w14:paraId="5E3293D9" w14:textId="77777777" w:rsidR="00BF04E8" w:rsidRPr="00924CA7" w:rsidRDefault="00BF04E8" w:rsidP="00BF04E8">
            <w:pPr>
              <w:spacing w:after="0" w:line="240" w:lineRule="auto"/>
              <w:jc w:val="center"/>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t-stat</w:t>
            </w:r>
          </w:p>
        </w:tc>
      </w:tr>
      <w:tr w:rsidR="00BF04E8" w:rsidRPr="00924CA7" w14:paraId="52A052D8" w14:textId="77777777" w:rsidTr="00924CA7">
        <w:trPr>
          <w:tblCellSpacing w:w="15" w:type="dxa"/>
        </w:trPr>
        <w:tc>
          <w:tcPr>
            <w:tcW w:w="0" w:type="auto"/>
            <w:vAlign w:val="center"/>
            <w:hideMark/>
          </w:tcPr>
          <w:p w14:paraId="30D1FDA6"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02FC8D3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2DC15A0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0.00101</w:t>
            </w:r>
          </w:p>
        </w:tc>
        <w:tc>
          <w:tcPr>
            <w:tcW w:w="0" w:type="auto"/>
            <w:vAlign w:val="center"/>
            <w:hideMark/>
          </w:tcPr>
          <w:p w14:paraId="6DA6C3F6"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0.0177</w:t>
            </w:r>
          </w:p>
        </w:tc>
        <w:tc>
          <w:tcPr>
            <w:tcW w:w="0" w:type="auto"/>
            <w:vAlign w:val="center"/>
            <w:hideMark/>
          </w:tcPr>
          <w:p w14:paraId="31B89EE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0.0571</w:t>
            </w:r>
          </w:p>
        </w:tc>
        <w:tc>
          <w:tcPr>
            <w:tcW w:w="0" w:type="auto"/>
            <w:vAlign w:val="center"/>
            <w:hideMark/>
          </w:tcPr>
          <w:p w14:paraId="12B55C3D"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0.498</w:t>
            </w:r>
          </w:p>
        </w:tc>
      </w:tr>
      <w:tr w:rsidR="00BF04E8" w:rsidRPr="00924CA7" w14:paraId="07E3262C" w14:textId="77777777" w:rsidTr="00924CA7">
        <w:trPr>
          <w:tblCellSpacing w:w="15" w:type="dxa"/>
        </w:trPr>
        <w:tc>
          <w:tcPr>
            <w:tcW w:w="0" w:type="auto"/>
            <w:vAlign w:val="center"/>
            <w:hideMark/>
          </w:tcPr>
          <w:p w14:paraId="6B971BA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1F0BF6A9"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29027EF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0.00324</w:t>
            </w:r>
          </w:p>
        </w:tc>
        <w:tc>
          <w:tcPr>
            <w:tcW w:w="0" w:type="auto"/>
            <w:vAlign w:val="center"/>
            <w:hideMark/>
          </w:tcPr>
          <w:p w14:paraId="5FCCE3AD"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0.0189</w:t>
            </w:r>
          </w:p>
        </w:tc>
        <w:tc>
          <w:tcPr>
            <w:tcW w:w="0" w:type="auto"/>
            <w:vAlign w:val="center"/>
            <w:hideMark/>
          </w:tcPr>
          <w:p w14:paraId="524754EA"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0.172</w:t>
            </w:r>
          </w:p>
        </w:tc>
        <w:tc>
          <w:tcPr>
            <w:tcW w:w="0" w:type="auto"/>
            <w:vAlign w:val="center"/>
            <w:hideMark/>
          </w:tcPr>
          <w:p w14:paraId="15917285"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1.48</w:t>
            </w:r>
          </w:p>
        </w:tc>
      </w:tr>
      <w:tr w:rsidR="00BF04E8" w:rsidRPr="00924CA7" w14:paraId="2E474EBC" w14:textId="77777777" w:rsidTr="00924CA7">
        <w:trPr>
          <w:tblCellSpacing w:w="15" w:type="dxa"/>
        </w:trPr>
        <w:tc>
          <w:tcPr>
            <w:tcW w:w="0" w:type="auto"/>
            <w:vAlign w:val="center"/>
            <w:hideMark/>
          </w:tcPr>
          <w:p w14:paraId="303C0EE6"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0B1447C7"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G</w:t>
            </w:r>
          </w:p>
        </w:tc>
        <w:tc>
          <w:tcPr>
            <w:tcW w:w="0" w:type="auto"/>
            <w:vAlign w:val="center"/>
            <w:hideMark/>
          </w:tcPr>
          <w:p w14:paraId="241255F1"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0.00319</w:t>
            </w:r>
          </w:p>
        </w:tc>
        <w:tc>
          <w:tcPr>
            <w:tcW w:w="0" w:type="auto"/>
            <w:vAlign w:val="center"/>
            <w:hideMark/>
          </w:tcPr>
          <w:p w14:paraId="6E77BE50"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0.0164</w:t>
            </w:r>
          </w:p>
        </w:tc>
        <w:tc>
          <w:tcPr>
            <w:tcW w:w="0" w:type="auto"/>
            <w:vAlign w:val="center"/>
            <w:hideMark/>
          </w:tcPr>
          <w:p w14:paraId="02CCF30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0.195</w:t>
            </w:r>
          </w:p>
        </w:tc>
        <w:tc>
          <w:tcPr>
            <w:tcW w:w="0" w:type="auto"/>
            <w:vAlign w:val="center"/>
            <w:hideMark/>
          </w:tcPr>
          <w:p w14:paraId="0B935598"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1.66</w:t>
            </w:r>
          </w:p>
        </w:tc>
      </w:tr>
      <w:tr w:rsidR="00BF04E8" w:rsidRPr="00924CA7" w14:paraId="7A4D7C32" w14:textId="77777777" w:rsidTr="00924CA7">
        <w:trPr>
          <w:tblCellSpacing w:w="15" w:type="dxa"/>
        </w:trPr>
        <w:tc>
          <w:tcPr>
            <w:tcW w:w="0" w:type="auto"/>
            <w:vAlign w:val="center"/>
            <w:hideMark/>
          </w:tcPr>
          <w:p w14:paraId="00A45AB5"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3C3882DF"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5F016E2E"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0.000291</w:t>
            </w:r>
          </w:p>
        </w:tc>
        <w:tc>
          <w:tcPr>
            <w:tcW w:w="0" w:type="auto"/>
            <w:vAlign w:val="center"/>
            <w:hideMark/>
          </w:tcPr>
          <w:p w14:paraId="54ECBB25"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18D44B84"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0.0160</w:t>
            </w:r>
          </w:p>
        </w:tc>
        <w:tc>
          <w:tcPr>
            <w:tcW w:w="0" w:type="auto"/>
            <w:vAlign w:val="center"/>
            <w:hideMark/>
          </w:tcPr>
          <w:p w14:paraId="2361CEF6"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0.139</w:t>
            </w:r>
          </w:p>
        </w:tc>
      </w:tr>
      <w:tr w:rsidR="00BF04E8" w:rsidRPr="00924CA7" w14:paraId="21E00B1E" w14:textId="77777777" w:rsidTr="00924CA7">
        <w:trPr>
          <w:tblCellSpacing w:w="15" w:type="dxa"/>
        </w:trPr>
        <w:tc>
          <w:tcPr>
            <w:tcW w:w="0" w:type="auto"/>
            <w:vAlign w:val="center"/>
            <w:hideMark/>
          </w:tcPr>
          <w:p w14:paraId="09A27949"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3913A76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4209277A"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0.00312</w:t>
            </w:r>
          </w:p>
        </w:tc>
        <w:tc>
          <w:tcPr>
            <w:tcW w:w="0" w:type="auto"/>
            <w:vAlign w:val="center"/>
            <w:hideMark/>
          </w:tcPr>
          <w:p w14:paraId="743C5B18"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4A7F9783"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0.172</w:t>
            </w:r>
          </w:p>
        </w:tc>
        <w:tc>
          <w:tcPr>
            <w:tcW w:w="0" w:type="auto"/>
            <w:vAlign w:val="center"/>
            <w:hideMark/>
          </w:tcPr>
          <w:p w14:paraId="1BE456B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1.48</w:t>
            </w:r>
          </w:p>
        </w:tc>
      </w:tr>
      <w:tr w:rsidR="00BF04E8" w:rsidRPr="00924CA7" w14:paraId="614386CB" w14:textId="77777777" w:rsidTr="00924CA7">
        <w:trPr>
          <w:tblCellSpacing w:w="15" w:type="dxa"/>
        </w:trPr>
        <w:tc>
          <w:tcPr>
            <w:tcW w:w="0" w:type="auto"/>
            <w:vAlign w:val="center"/>
            <w:hideMark/>
          </w:tcPr>
          <w:p w14:paraId="2B1746CE"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37041C8F"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G</w:t>
            </w:r>
          </w:p>
        </w:tc>
        <w:tc>
          <w:tcPr>
            <w:tcW w:w="0" w:type="auto"/>
            <w:vAlign w:val="center"/>
            <w:hideMark/>
          </w:tcPr>
          <w:p w14:paraId="33C87DF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0.00245</w:t>
            </w:r>
          </w:p>
        </w:tc>
        <w:tc>
          <w:tcPr>
            <w:tcW w:w="0" w:type="auto"/>
            <w:vAlign w:val="center"/>
            <w:hideMark/>
          </w:tcPr>
          <w:p w14:paraId="2D95CC78"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0.0171</w:t>
            </w:r>
          </w:p>
        </w:tc>
        <w:tc>
          <w:tcPr>
            <w:tcW w:w="0" w:type="auto"/>
            <w:vAlign w:val="center"/>
            <w:hideMark/>
          </w:tcPr>
          <w:p w14:paraId="66D1D99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0.143</w:t>
            </w:r>
          </w:p>
        </w:tc>
        <w:tc>
          <w:tcPr>
            <w:tcW w:w="0" w:type="auto"/>
            <w:vAlign w:val="center"/>
            <w:hideMark/>
          </w:tcPr>
          <w:p w14:paraId="1B95EA20"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1.22</w:t>
            </w:r>
          </w:p>
        </w:tc>
      </w:tr>
      <w:tr w:rsidR="00BF04E8" w:rsidRPr="00924CA7" w14:paraId="2F98F811" w14:textId="77777777" w:rsidTr="00924CA7">
        <w:trPr>
          <w:tblCellSpacing w:w="15" w:type="dxa"/>
        </w:trPr>
        <w:tc>
          <w:tcPr>
            <w:tcW w:w="0" w:type="auto"/>
            <w:vAlign w:val="center"/>
            <w:hideMark/>
          </w:tcPr>
          <w:p w14:paraId="76970A49"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1B728BF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1470E099"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0.00219</w:t>
            </w:r>
          </w:p>
        </w:tc>
        <w:tc>
          <w:tcPr>
            <w:tcW w:w="0" w:type="auto"/>
            <w:vAlign w:val="center"/>
            <w:hideMark/>
          </w:tcPr>
          <w:p w14:paraId="4964FAD7"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0.0192</w:t>
            </w:r>
          </w:p>
        </w:tc>
        <w:tc>
          <w:tcPr>
            <w:tcW w:w="0" w:type="auto"/>
            <w:vAlign w:val="center"/>
            <w:hideMark/>
          </w:tcPr>
          <w:p w14:paraId="41F7D8D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0.114</w:t>
            </w:r>
          </w:p>
        </w:tc>
        <w:tc>
          <w:tcPr>
            <w:tcW w:w="0" w:type="auto"/>
            <w:vAlign w:val="center"/>
            <w:hideMark/>
          </w:tcPr>
          <w:p w14:paraId="5C471FBA"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0.991</w:t>
            </w:r>
          </w:p>
        </w:tc>
      </w:tr>
      <w:tr w:rsidR="00BF04E8" w:rsidRPr="00924CA7" w14:paraId="7D0D57A0" w14:textId="77777777" w:rsidTr="00924CA7">
        <w:trPr>
          <w:tblCellSpacing w:w="15" w:type="dxa"/>
        </w:trPr>
        <w:tc>
          <w:tcPr>
            <w:tcW w:w="0" w:type="auto"/>
            <w:vAlign w:val="center"/>
            <w:hideMark/>
          </w:tcPr>
          <w:p w14:paraId="1A716152"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0AAF42A9"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009D05E5"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0.000618</w:t>
            </w:r>
          </w:p>
        </w:tc>
        <w:tc>
          <w:tcPr>
            <w:tcW w:w="0" w:type="auto"/>
            <w:vAlign w:val="center"/>
            <w:hideMark/>
          </w:tcPr>
          <w:p w14:paraId="22F7D405"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188D95A4"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0.0339</w:t>
            </w:r>
          </w:p>
        </w:tc>
        <w:tc>
          <w:tcPr>
            <w:tcW w:w="0" w:type="auto"/>
            <w:vAlign w:val="center"/>
            <w:hideMark/>
          </w:tcPr>
          <w:p w14:paraId="0AB2810C"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0.292</w:t>
            </w:r>
          </w:p>
        </w:tc>
      </w:tr>
      <w:tr w:rsidR="00BF04E8" w:rsidRPr="00924CA7" w14:paraId="3886C73D" w14:textId="77777777" w:rsidTr="007D19CB">
        <w:trPr>
          <w:tblCellSpacing w:w="15" w:type="dxa"/>
        </w:trPr>
        <w:tc>
          <w:tcPr>
            <w:tcW w:w="0" w:type="auto"/>
            <w:tcBorders>
              <w:bottom w:val="single" w:sz="4" w:space="0" w:color="auto"/>
            </w:tcBorders>
            <w:vAlign w:val="center"/>
            <w:hideMark/>
          </w:tcPr>
          <w:p w14:paraId="03E78868"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w:t>
            </w:r>
          </w:p>
        </w:tc>
        <w:tc>
          <w:tcPr>
            <w:tcW w:w="0" w:type="auto"/>
            <w:tcBorders>
              <w:bottom w:val="single" w:sz="4" w:space="0" w:color="auto"/>
            </w:tcBorders>
            <w:vAlign w:val="center"/>
            <w:hideMark/>
          </w:tcPr>
          <w:p w14:paraId="6468AF9B"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G</w:t>
            </w:r>
          </w:p>
        </w:tc>
        <w:tc>
          <w:tcPr>
            <w:tcW w:w="0" w:type="auto"/>
            <w:tcBorders>
              <w:bottom w:val="single" w:sz="4" w:space="0" w:color="auto"/>
            </w:tcBorders>
            <w:vAlign w:val="center"/>
            <w:hideMark/>
          </w:tcPr>
          <w:p w14:paraId="1F25C57F"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0.00272</w:t>
            </w:r>
          </w:p>
        </w:tc>
        <w:tc>
          <w:tcPr>
            <w:tcW w:w="0" w:type="auto"/>
            <w:tcBorders>
              <w:bottom w:val="single" w:sz="4" w:space="0" w:color="auto"/>
            </w:tcBorders>
            <w:vAlign w:val="center"/>
            <w:hideMark/>
          </w:tcPr>
          <w:p w14:paraId="07165A1A"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0.0174</w:t>
            </w:r>
          </w:p>
        </w:tc>
        <w:tc>
          <w:tcPr>
            <w:tcW w:w="0" w:type="auto"/>
            <w:tcBorders>
              <w:bottom w:val="single" w:sz="4" w:space="0" w:color="auto"/>
            </w:tcBorders>
            <w:vAlign w:val="center"/>
            <w:hideMark/>
          </w:tcPr>
          <w:p w14:paraId="7F8B5D6D"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0.156</w:t>
            </w:r>
          </w:p>
        </w:tc>
        <w:tc>
          <w:tcPr>
            <w:tcW w:w="0" w:type="auto"/>
            <w:tcBorders>
              <w:bottom w:val="single" w:sz="4" w:space="0" w:color="auto"/>
            </w:tcBorders>
            <w:vAlign w:val="center"/>
            <w:hideMark/>
          </w:tcPr>
          <w:p w14:paraId="208C1177" w14:textId="77777777" w:rsidR="00BF04E8" w:rsidRPr="00924CA7" w:rsidRDefault="00BF04E8" w:rsidP="00BF04E8">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1.33</w:t>
            </w:r>
          </w:p>
        </w:tc>
      </w:tr>
    </w:tbl>
    <w:p w14:paraId="2156823C" w14:textId="763C0A48" w:rsidR="000B1B45" w:rsidRPr="000B1B45" w:rsidRDefault="000B1B45" w:rsidP="000B1B45">
      <w:pPr>
        <w:jc w:val="both"/>
        <w:rPr>
          <w:rFonts w:ascii="Times New Roman" w:hAnsi="Times New Roman" w:cs="Times New Roman"/>
          <w:sz w:val="24"/>
          <w:szCs w:val="24"/>
        </w:rPr>
      </w:pPr>
      <w:r w:rsidRPr="000B1B45">
        <w:rPr>
          <w:rFonts w:ascii="Times New Roman" w:hAnsi="Times New Roman" w:cs="Times New Roman"/>
          <w:i/>
          <w:iCs/>
          <w:sz w:val="24"/>
          <w:szCs w:val="24"/>
        </w:rPr>
        <w:t>Nota. Lo Sharpe ratio è calcolato assumendo risk-free rate giornaliero pari a zero.</w:t>
      </w:r>
      <w:r w:rsidR="005F2160">
        <w:rPr>
          <w:rFonts w:ascii="Times New Roman" w:hAnsi="Times New Roman" w:cs="Times New Roman"/>
          <w:i/>
          <w:iCs/>
          <w:sz w:val="24"/>
          <w:szCs w:val="24"/>
        </w:rPr>
        <w:t xml:space="preserve"> </w:t>
      </w:r>
      <w:r w:rsidR="005F2160" w:rsidRPr="005F2160">
        <w:rPr>
          <w:rFonts w:ascii="Times New Roman" w:hAnsi="Times New Roman" w:cs="Times New Roman"/>
          <w:i/>
          <w:iCs/>
          <w:sz w:val="24"/>
          <w:szCs w:val="24"/>
        </w:rPr>
        <w:t>Gli Sharpe ratio riportati non</w:t>
      </w:r>
      <w:r w:rsidR="00F43AE6">
        <w:rPr>
          <w:rFonts w:ascii="Times New Roman" w:hAnsi="Times New Roman" w:cs="Times New Roman"/>
          <w:i/>
          <w:iCs/>
          <w:sz w:val="24"/>
          <w:szCs w:val="24"/>
        </w:rPr>
        <w:t xml:space="preserve"> sono</w:t>
      </w:r>
      <w:r w:rsidR="005F2160" w:rsidRPr="005F2160">
        <w:rPr>
          <w:rFonts w:ascii="Times New Roman" w:hAnsi="Times New Roman" w:cs="Times New Roman"/>
          <w:i/>
          <w:iCs/>
          <w:sz w:val="24"/>
          <w:szCs w:val="24"/>
        </w:rPr>
        <w:t xml:space="preserve"> annualizzati.</w:t>
      </w:r>
      <w:r w:rsidR="00A9380F">
        <w:rPr>
          <w:rFonts w:ascii="Times New Roman" w:hAnsi="Times New Roman" w:cs="Times New Roman"/>
          <w:i/>
          <w:iCs/>
          <w:sz w:val="24"/>
          <w:szCs w:val="24"/>
        </w:rPr>
        <w:t xml:space="preserve"> </w:t>
      </w:r>
      <w:r w:rsidR="00A9380F" w:rsidRPr="00A9380F">
        <w:rPr>
          <w:rFonts w:ascii="Times New Roman" w:hAnsi="Times New Roman" w:cs="Times New Roman"/>
          <w:i/>
          <w:iCs/>
          <w:sz w:val="24"/>
          <w:szCs w:val="24"/>
        </w:rPr>
        <w:t>Le statistiche associate devono pertanto essere interpretate esclusivamente come misura comparativa relativa tra le differenti strategie considerate.</w:t>
      </w:r>
    </w:p>
    <w:p w14:paraId="7F00B754"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I risultati mostrano come le performance corrette per il rischio risultino complessivamente moderate lungo tutte le configurazioni considerate. Sebbene alcuni portafogli evidenzino Sharpe ratio positivi, nessuna strategia mostra livelli particolarmente elevati o statisticamente robusti rispetto ai benchmark tradizionalmente osservati nella letteratura finanziaria.</w:t>
      </w:r>
    </w:p>
    <w:p w14:paraId="59861F5B" w14:textId="77777777" w:rsid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Le migliori performance risk-adjusted emergono nei portafogli equally weighted di Gemini Pro (G) e ChatGPT versione non loggata (CGP), che registrano Sharpe ratio rispettivamente pari a 0.195 e 0.172. Risultati relativamente simili si osservano anche nello schema signal weighted, mentre i portafogli value weighted mostrano performance più eterogenee e generalmente inferiori, in particolare nel caso di CGP.</w:t>
      </w:r>
    </w:p>
    <w:p w14:paraId="17C7C983" w14:textId="7AF5232E"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Dal punto di vista economico, tali evidenze suggeriscono che gli eventuali rendimenti positivi osservati siano accompagnati da livelli di volatilità tali da ridimensionare significativamente la qualità risk-adjusted delle strategie implementate. In altri termini, la capacità dei modelli linguistici di produrre output finanziariamente plausibili non si traduce automaticamente in performance corrette per il rischio particolarmente elevate o sistematicamente persistenti.</w:t>
      </w:r>
    </w:p>
    <w:p w14:paraId="26E69D08" w14:textId="77777777" w:rsidR="00924CA7" w:rsidRDefault="00924CA7" w:rsidP="005A7812">
      <w:pPr>
        <w:jc w:val="both"/>
        <w:rPr>
          <w:rFonts w:ascii="Times New Roman" w:hAnsi="Times New Roman" w:cs="Times New Roman"/>
          <w:sz w:val="24"/>
          <w:szCs w:val="24"/>
        </w:rPr>
      </w:pPr>
      <w:r w:rsidRPr="00924CA7">
        <w:rPr>
          <w:rFonts w:ascii="Times New Roman" w:hAnsi="Times New Roman" w:cs="Times New Roman"/>
          <w:sz w:val="24"/>
          <w:szCs w:val="24"/>
        </w:rPr>
        <w:t>I risultati ottenuti indicano pertanto che le strategie basate sui segnali generati dagli LLMs presentino performance risk-adjusted complessivamente moderate e non sufficientemente robuste da evidenziare una persistente capacità di generazione di excess returns corretti per il rischio.</w:t>
      </w:r>
    </w:p>
    <w:p w14:paraId="2270F837" w14:textId="33A50248" w:rsidR="005A7812" w:rsidRPr="005A7812" w:rsidRDefault="007D19CB" w:rsidP="005A7812">
      <w:pPr>
        <w:jc w:val="both"/>
        <w:rPr>
          <w:rFonts w:ascii="Times New Roman" w:hAnsi="Times New Roman" w:cs="Times New Roman"/>
          <w:b/>
          <w:bCs/>
          <w:sz w:val="24"/>
          <w:szCs w:val="24"/>
        </w:rPr>
      </w:pPr>
      <w:r>
        <w:rPr>
          <w:rFonts w:ascii="Times New Roman" w:hAnsi="Times New Roman" w:cs="Times New Roman"/>
          <w:b/>
          <w:bCs/>
          <w:sz w:val="24"/>
          <w:szCs w:val="24"/>
        </w:rPr>
        <w:t>3</w:t>
      </w:r>
      <w:r w:rsidR="005A7812" w:rsidRPr="005A7812">
        <w:rPr>
          <w:rFonts w:ascii="Times New Roman" w:hAnsi="Times New Roman" w:cs="Times New Roman"/>
          <w:b/>
          <w:bCs/>
          <w:sz w:val="24"/>
          <w:szCs w:val="24"/>
        </w:rPr>
        <w:t>.</w:t>
      </w:r>
      <w:r w:rsidR="00D11ED9">
        <w:rPr>
          <w:rFonts w:ascii="Times New Roman" w:hAnsi="Times New Roman" w:cs="Times New Roman"/>
          <w:b/>
          <w:bCs/>
          <w:sz w:val="24"/>
          <w:szCs w:val="24"/>
        </w:rPr>
        <w:t>2</w:t>
      </w:r>
      <w:r w:rsidR="005A7812" w:rsidRPr="005A7812">
        <w:rPr>
          <w:rFonts w:ascii="Times New Roman" w:hAnsi="Times New Roman" w:cs="Times New Roman"/>
          <w:b/>
          <w:bCs/>
          <w:sz w:val="24"/>
          <w:szCs w:val="24"/>
        </w:rPr>
        <w:t>.4 Asset Pricing Tests</w:t>
      </w:r>
    </w:p>
    <w:p w14:paraId="77619F9E" w14:textId="77777777" w:rsidR="00924CA7" w:rsidRPr="00924CA7" w:rsidRDefault="00924CA7" w:rsidP="00F43AE6">
      <w:pPr>
        <w:spacing w:before="100" w:beforeAutospacing="1" w:after="100" w:afterAutospacing="1" w:line="240" w:lineRule="auto"/>
        <w:jc w:val="both"/>
        <w:rPr>
          <w:rFonts w:ascii="Times New Roman" w:hAnsi="Times New Roman" w:cs="Times New Roman"/>
          <w:sz w:val="24"/>
          <w:szCs w:val="24"/>
        </w:rPr>
      </w:pPr>
      <w:r w:rsidRPr="00924CA7">
        <w:rPr>
          <w:rFonts w:ascii="Times New Roman" w:hAnsi="Times New Roman" w:cs="Times New Roman"/>
          <w:sz w:val="24"/>
          <w:szCs w:val="24"/>
        </w:rPr>
        <w:t>Al fine di verificare se le performance osservate riflettano una reale capacità di generare abnormal returns oppure semplici esposizioni sistematiche ai fattori di rischio tradizionali, i rendimenti dei portafogli sono stati successivamente analizzati mediante regressioni CAPM e modelli multifattoriali Fama-French-Carhart.</w:t>
      </w:r>
    </w:p>
    <w:p w14:paraId="77355B8B" w14:textId="77777777" w:rsidR="00924CA7" w:rsidRPr="00924CA7" w:rsidRDefault="00924CA7" w:rsidP="00F43AE6">
      <w:pPr>
        <w:spacing w:before="100" w:beforeAutospacing="1" w:after="100" w:afterAutospacing="1" w:line="240" w:lineRule="auto"/>
        <w:jc w:val="both"/>
        <w:rPr>
          <w:rFonts w:ascii="Times New Roman" w:hAnsi="Times New Roman" w:cs="Times New Roman"/>
          <w:sz w:val="24"/>
          <w:szCs w:val="24"/>
        </w:rPr>
      </w:pPr>
      <w:r w:rsidRPr="00924CA7">
        <w:rPr>
          <w:rFonts w:ascii="Times New Roman" w:hAnsi="Times New Roman" w:cs="Times New Roman"/>
          <w:sz w:val="24"/>
          <w:szCs w:val="24"/>
        </w:rPr>
        <w:t>L’utilizzo di modelli di asset pricing rappresenta un passaggio fondamentale nella valutazione delle strategie quantitative. Rendimenti medi positivi e Sharpe ratio moderatamente elevati non implicano infatti necessariamente l’esistenza di capacità predittiva economicamente significativa, poiché tali performance possono riflettere semplicemente una maggiore esposizione a fattori sistematici già ampiamente documentati nella letteratura finanziaria.</w:t>
      </w:r>
    </w:p>
    <w:p w14:paraId="5C8D2C54" w14:textId="363203FB" w:rsidR="00924CA7" w:rsidRPr="00924CA7" w:rsidRDefault="00924CA7" w:rsidP="00F43AE6">
      <w:pPr>
        <w:spacing w:before="100" w:beforeAutospacing="1" w:after="100" w:afterAutospacing="1" w:line="240" w:lineRule="auto"/>
        <w:jc w:val="both"/>
        <w:rPr>
          <w:rFonts w:ascii="Times New Roman" w:hAnsi="Times New Roman" w:cs="Times New Roman"/>
          <w:sz w:val="24"/>
          <w:szCs w:val="24"/>
        </w:rPr>
      </w:pPr>
      <w:r w:rsidRPr="00924CA7">
        <w:rPr>
          <w:rFonts w:ascii="Times New Roman" w:hAnsi="Times New Roman" w:cs="Times New Roman"/>
          <w:sz w:val="24"/>
          <w:szCs w:val="24"/>
        </w:rPr>
        <w:lastRenderedPageBreak/>
        <w:t>In una prima fase, i portafogli sono stati valutati mediante regressioni CAPM utilizzando come benchmark il market excess return intraday dell’indice S&amp;P 500.</w:t>
      </w:r>
      <w:r>
        <w:rPr>
          <w:rFonts w:ascii="Times New Roman" w:hAnsi="Times New Roman" w:cs="Times New Roman"/>
          <w:sz w:val="24"/>
          <w:szCs w:val="24"/>
        </w:rPr>
        <w:t xml:space="preserve"> </w:t>
      </w:r>
      <w:r w:rsidRPr="00924CA7">
        <w:rPr>
          <w:rFonts w:ascii="Times New Roman" w:hAnsi="Times New Roman" w:cs="Times New Roman"/>
          <w:sz w:val="24"/>
          <w:szCs w:val="24"/>
        </w:rPr>
        <w:t>La Tabella 5 riporta i risultati delle regressioni CAPM.</w:t>
      </w:r>
    </w:p>
    <w:p w14:paraId="1FCA624D" w14:textId="213A9A8C" w:rsidR="0092194D" w:rsidRPr="00216505" w:rsidRDefault="00924CA7" w:rsidP="00216505">
      <w:pPr>
        <w:pStyle w:val="Didascalia"/>
        <w:keepNext/>
        <w:rPr>
          <w:color w:val="auto"/>
        </w:rPr>
      </w:pPr>
      <w:r w:rsidRPr="00924CA7">
        <w:rPr>
          <w:color w:val="auto"/>
        </w:rPr>
        <w:t xml:space="preserve">Tabella </w:t>
      </w:r>
      <w:r w:rsidRPr="00924CA7">
        <w:rPr>
          <w:color w:val="auto"/>
        </w:rPr>
        <w:fldChar w:fldCharType="begin"/>
      </w:r>
      <w:r w:rsidRPr="00924CA7">
        <w:rPr>
          <w:color w:val="auto"/>
        </w:rPr>
        <w:instrText xml:space="preserve"> SEQ Tabella \* ARABIC </w:instrText>
      </w:r>
      <w:r w:rsidRPr="00924CA7">
        <w:rPr>
          <w:color w:val="auto"/>
        </w:rPr>
        <w:fldChar w:fldCharType="separate"/>
      </w:r>
      <w:r w:rsidR="00D11ED9">
        <w:rPr>
          <w:noProof/>
          <w:color w:val="auto"/>
        </w:rPr>
        <w:t>5</w:t>
      </w:r>
      <w:r w:rsidRPr="00924CA7">
        <w:rPr>
          <w:color w:val="auto"/>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040"/>
        <w:gridCol w:w="2015"/>
      </w:tblGrid>
      <w:tr w:rsidR="00924CA7" w:rsidRPr="00924CA7" w14:paraId="5341FA9E" w14:textId="77777777" w:rsidTr="00924CA7">
        <w:trPr>
          <w:tblHeader/>
          <w:tblCellSpacing w:w="15" w:type="dxa"/>
        </w:trPr>
        <w:tc>
          <w:tcPr>
            <w:tcW w:w="0" w:type="auto"/>
            <w:tcBorders>
              <w:top w:val="single" w:sz="4" w:space="0" w:color="auto"/>
              <w:bottom w:val="single" w:sz="4" w:space="0" w:color="auto"/>
            </w:tcBorders>
            <w:vAlign w:val="center"/>
            <w:hideMark/>
          </w:tcPr>
          <w:p w14:paraId="512A7337"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Portafoglio</w:t>
            </w:r>
          </w:p>
        </w:tc>
        <w:tc>
          <w:tcPr>
            <w:tcW w:w="0" w:type="auto"/>
            <w:tcBorders>
              <w:top w:val="single" w:sz="4" w:space="0" w:color="auto"/>
              <w:bottom w:val="single" w:sz="4" w:space="0" w:color="auto"/>
            </w:tcBorders>
            <w:vAlign w:val="center"/>
            <w:hideMark/>
          </w:tcPr>
          <w:p w14:paraId="6492E257"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Alpha</w:t>
            </w:r>
          </w:p>
        </w:tc>
        <w:tc>
          <w:tcPr>
            <w:tcW w:w="0" w:type="auto"/>
            <w:tcBorders>
              <w:top w:val="single" w:sz="4" w:space="0" w:color="auto"/>
              <w:bottom w:val="single" w:sz="4" w:space="0" w:color="auto"/>
            </w:tcBorders>
            <w:vAlign w:val="center"/>
            <w:hideMark/>
          </w:tcPr>
          <w:p w14:paraId="720209E1"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MKT-RF Intraday</w:t>
            </w:r>
          </w:p>
        </w:tc>
      </w:tr>
      <w:tr w:rsidR="00924CA7" w:rsidRPr="00924CA7" w14:paraId="071EB217" w14:textId="77777777">
        <w:trPr>
          <w:tblCellSpacing w:w="15" w:type="dxa"/>
        </w:trPr>
        <w:tc>
          <w:tcPr>
            <w:tcW w:w="0" w:type="auto"/>
            <w:vAlign w:val="center"/>
            <w:hideMark/>
          </w:tcPr>
          <w:p w14:paraId="25385F3C"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EW-CGL</w:t>
            </w:r>
          </w:p>
        </w:tc>
        <w:tc>
          <w:tcPr>
            <w:tcW w:w="0" w:type="auto"/>
            <w:vAlign w:val="center"/>
            <w:hideMark/>
          </w:tcPr>
          <w:p w14:paraId="79690E93" w14:textId="77777777" w:rsidR="0092194D" w:rsidRDefault="0092194D" w:rsidP="00924CA7">
            <w:pPr>
              <w:spacing w:after="0" w:line="240" w:lineRule="auto"/>
              <w:rPr>
                <w:rFonts w:ascii="Times New Roman" w:hAnsi="Times New Roman" w:cs="Times New Roman"/>
                <w:sz w:val="24"/>
                <w:szCs w:val="24"/>
              </w:rPr>
            </w:pPr>
            <w:r w:rsidRPr="0092194D">
              <w:rPr>
                <w:rFonts w:ascii="Times New Roman" w:hAnsi="Times New Roman" w:cs="Times New Roman"/>
                <w:sz w:val="24"/>
                <w:szCs w:val="24"/>
              </w:rPr>
              <w:t>-0.00019</w:t>
            </w:r>
          </w:p>
          <w:p w14:paraId="7EAA407C" w14:textId="1DDB195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(-0.114)</w:t>
            </w:r>
          </w:p>
        </w:tc>
        <w:tc>
          <w:tcPr>
            <w:tcW w:w="0" w:type="auto"/>
            <w:vAlign w:val="center"/>
            <w:hideMark/>
          </w:tcPr>
          <w:p w14:paraId="0724421F"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1.53*** </w:t>
            </w:r>
          </w:p>
          <w:p w14:paraId="6478BE05" w14:textId="4613F82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(6.65)</w:t>
            </w:r>
          </w:p>
        </w:tc>
      </w:tr>
      <w:tr w:rsidR="00924CA7" w:rsidRPr="00924CA7" w14:paraId="2A2033A1" w14:textId="77777777">
        <w:trPr>
          <w:tblCellSpacing w:w="15" w:type="dxa"/>
        </w:trPr>
        <w:tc>
          <w:tcPr>
            <w:tcW w:w="0" w:type="auto"/>
            <w:vAlign w:val="center"/>
            <w:hideMark/>
          </w:tcPr>
          <w:p w14:paraId="3FA2E1E4"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EW-CGP</w:t>
            </w:r>
          </w:p>
        </w:tc>
        <w:tc>
          <w:tcPr>
            <w:tcW w:w="0" w:type="auto"/>
            <w:vAlign w:val="center"/>
            <w:hideMark/>
          </w:tcPr>
          <w:p w14:paraId="477F3817"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0.00102 </w:t>
            </w:r>
          </w:p>
          <w:p w14:paraId="66C0B0E2" w14:textId="26D1538E"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(0.640)</w:t>
            </w:r>
          </w:p>
        </w:tc>
        <w:tc>
          <w:tcPr>
            <w:tcW w:w="0" w:type="auto"/>
            <w:vAlign w:val="center"/>
            <w:hideMark/>
          </w:tcPr>
          <w:p w14:paraId="2178B12E"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1.85*** </w:t>
            </w:r>
          </w:p>
          <w:p w14:paraId="094EABC4" w14:textId="15095118"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(8.64)</w:t>
            </w:r>
          </w:p>
        </w:tc>
      </w:tr>
      <w:tr w:rsidR="00924CA7" w:rsidRPr="00924CA7" w14:paraId="01AFBF5A" w14:textId="77777777">
        <w:trPr>
          <w:tblCellSpacing w:w="15" w:type="dxa"/>
        </w:trPr>
        <w:tc>
          <w:tcPr>
            <w:tcW w:w="0" w:type="auto"/>
            <w:vAlign w:val="center"/>
            <w:hideMark/>
          </w:tcPr>
          <w:p w14:paraId="30696E86"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EW-G</w:t>
            </w:r>
          </w:p>
        </w:tc>
        <w:tc>
          <w:tcPr>
            <w:tcW w:w="0" w:type="auto"/>
            <w:vAlign w:val="center"/>
            <w:hideMark/>
          </w:tcPr>
          <w:p w14:paraId="3399B74B"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0.00160 </w:t>
            </w:r>
          </w:p>
          <w:p w14:paraId="57C1C5A6" w14:textId="7697AB76"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(0.918)</w:t>
            </w:r>
          </w:p>
        </w:tc>
        <w:tc>
          <w:tcPr>
            <w:tcW w:w="0" w:type="auto"/>
            <w:vAlign w:val="center"/>
            <w:hideMark/>
          </w:tcPr>
          <w:p w14:paraId="4D379CD5"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1.26*** </w:t>
            </w:r>
          </w:p>
          <w:p w14:paraId="3FC84945" w14:textId="2E31F2AD"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(5.39)</w:t>
            </w:r>
          </w:p>
        </w:tc>
      </w:tr>
      <w:tr w:rsidR="00924CA7" w:rsidRPr="00924CA7" w14:paraId="6A94A1E4" w14:textId="77777777">
        <w:trPr>
          <w:tblCellSpacing w:w="15" w:type="dxa"/>
        </w:trPr>
        <w:tc>
          <w:tcPr>
            <w:tcW w:w="0" w:type="auto"/>
            <w:vAlign w:val="center"/>
            <w:hideMark/>
          </w:tcPr>
          <w:p w14:paraId="4E4C86A8"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SW-CGL</w:t>
            </w:r>
          </w:p>
        </w:tc>
        <w:tc>
          <w:tcPr>
            <w:tcW w:w="0" w:type="auto"/>
            <w:vAlign w:val="center"/>
            <w:hideMark/>
          </w:tcPr>
          <w:p w14:paraId="0C8DC41F"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-0.000771 </w:t>
            </w:r>
          </w:p>
          <w:p w14:paraId="68D6C641" w14:textId="2B19819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(-0.441)</w:t>
            </w:r>
          </w:p>
        </w:tc>
        <w:tc>
          <w:tcPr>
            <w:tcW w:w="0" w:type="auto"/>
            <w:vAlign w:val="center"/>
            <w:hideMark/>
          </w:tcPr>
          <w:p w14:paraId="306C9A09"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1.57*** </w:t>
            </w:r>
          </w:p>
          <w:p w14:paraId="128099B0" w14:textId="698863E1"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(6.57)</w:t>
            </w:r>
          </w:p>
        </w:tc>
      </w:tr>
      <w:tr w:rsidR="00924CA7" w:rsidRPr="00924CA7" w14:paraId="650B4222" w14:textId="77777777">
        <w:trPr>
          <w:tblCellSpacing w:w="15" w:type="dxa"/>
        </w:trPr>
        <w:tc>
          <w:tcPr>
            <w:tcW w:w="0" w:type="auto"/>
            <w:vAlign w:val="center"/>
            <w:hideMark/>
          </w:tcPr>
          <w:p w14:paraId="6313A76E"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SW-CGP</w:t>
            </w:r>
          </w:p>
        </w:tc>
        <w:tc>
          <w:tcPr>
            <w:tcW w:w="0" w:type="auto"/>
            <w:vAlign w:val="center"/>
            <w:hideMark/>
          </w:tcPr>
          <w:p w14:paraId="425B596C"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0.00128 </w:t>
            </w:r>
          </w:p>
          <w:p w14:paraId="040B0D9E" w14:textId="35A97E34"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(0.833)</w:t>
            </w:r>
          </w:p>
        </w:tc>
        <w:tc>
          <w:tcPr>
            <w:tcW w:w="0" w:type="auto"/>
            <w:vAlign w:val="center"/>
            <w:hideMark/>
          </w:tcPr>
          <w:p w14:paraId="24636D9A"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1.82*** </w:t>
            </w:r>
          </w:p>
          <w:p w14:paraId="37161408" w14:textId="515E294E"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(8.85)</w:t>
            </w:r>
          </w:p>
        </w:tc>
      </w:tr>
      <w:tr w:rsidR="00924CA7" w:rsidRPr="00924CA7" w14:paraId="7EEFC66B" w14:textId="77777777">
        <w:trPr>
          <w:tblCellSpacing w:w="15" w:type="dxa"/>
        </w:trPr>
        <w:tc>
          <w:tcPr>
            <w:tcW w:w="0" w:type="auto"/>
            <w:vAlign w:val="center"/>
            <w:hideMark/>
          </w:tcPr>
          <w:p w14:paraId="7BF4FA46"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SW-G</w:t>
            </w:r>
          </w:p>
        </w:tc>
        <w:tc>
          <w:tcPr>
            <w:tcW w:w="0" w:type="auto"/>
            <w:vAlign w:val="center"/>
            <w:hideMark/>
          </w:tcPr>
          <w:p w14:paraId="3462DBF5"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0.000960 </w:t>
            </w:r>
          </w:p>
          <w:p w14:paraId="00324D2A" w14:textId="4582577B"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(0.516)</w:t>
            </w:r>
          </w:p>
        </w:tc>
        <w:tc>
          <w:tcPr>
            <w:tcW w:w="0" w:type="auto"/>
            <w:vAlign w:val="center"/>
            <w:hideMark/>
          </w:tcPr>
          <w:p w14:paraId="18C7608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1.28*** </w:t>
            </w:r>
          </w:p>
          <w:p w14:paraId="24C6EFF1" w14:textId="157085BD"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(5.11)</w:t>
            </w:r>
          </w:p>
        </w:tc>
      </w:tr>
      <w:tr w:rsidR="00924CA7" w:rsidRPr="00924CA7" w14:paraId="233CC09B" w14:textId="77777777">
        <w:trPr>
          <w:tblCellSpacing w:w="15" w:type="dxa"/>
        </w:trPr>
        <w:tc>
          <w:tcPr>
            <w:tcW w:w="0" w:type="auto"/>
            <w:vAlign w:val="center"/>
            <w:hideMark/>
          </w:tcPr>
          <w:p w14:paraId="4F9BE53D"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VW-CGL</w:t>
            </w:r>
          </w:p>
        </w:tc>
        <w:tc>
          <w:tcPr>
            <w:tcW w:w="0" w:type="auto"/>
            <w:vAlign w:val="center"/>
            <w:hideMark/>
          </w:tcPr>
          <w:p w14:paraId="56A5582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0.00156 </w:t>
            </w:r>
          </w:p>
          <w:p w14:paraId="2AB6446E" w14:textId="4F9D0A6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(0.847)</w:t>
            </w:r>
          </w:p>
        </w:tc>
        <w:tc>
          <w:tcPr>
            <w:tcW w:w="0" w:type="auto"/>
            <w:vAlign w:val="center"/>
            <w:hideMark/>
          </w:tcPr>
          <w:p w14:paraId="002B82B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1.62*** </w:t>
            </w:r>
          </w:p>
          <w:p w14:paraId="2D6BFFB0" w14:textId="33CDFB3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(6.46)</w:t>
            </w:r>
          </w:p>
        </w:tc>
      </w:tr>
      <w:tr w:rsidR="00924CA7" w:rsidRPr="00924CA7" w14:paraId="49FF2B4A" w14:textId="77777777">
        <w:trPr>
          <w:tblCellSpacing w:w="15" w:type="dxa"/>
        </w:trPr>
        <w:tc>
          <w:tcPr>
            <w:tcW w:w="0" w:type="auto"/>
            <w:vAlign w:val="center"/>
            <w:hideMark/>
          </w:tcPr>
          <w:p w14:paraId="6CB5C097"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VW-CGP</w:t>
            </w:r>
          </w:p>
        </w:tc>
        <w:tc>
          <w:tcPr>
            <w:tcW w:w="0" w:type="auto"/>
            <w:vAlign w:val="center"/>
            <w:hideMark/>
          </w:tcPr>
          <w:p w14:paraId="54E600D4"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-0.000586 </w:t>
            </w:r>
          </w:p>
          <w:p w14:paraId="13AA493C" w14:textId="2032B8BD"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(-0.382)</w:t>
            </w:r>
          </w:p>
        </w:tc>
        <w:tc>
          <w:tcPr>
            <w:tcW w:w="0" w:type="auto"/>
            <w:vAlign w:val="center"/>
            <w:hideMark/>
          </w:tcPr>
          <w:p w14:paraId="098AB067"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1.76*** </w:t>
            </w:r>
          </w:p>
          <w:p w14:paraId="06C83753" w14:textId="204170A2"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(8.54)</w:t>
            </w:r>
          </w:p>
        </w:tc>
      </w:tr>
      <w:tr w:rsidR="00924CA7" w:rsidRPr="00924CA7" w14:paraId="4BBD4480" w14:textId="77777777" w:rsidTr="007D19CB">
        <w:trPr>
          <w:tblCellSpacing w:w="15" w:type="dxa"/>
        </w:trPr>
        <w:tc>
          <w:tcPr>
            <w:tcW w:w="0" w:type="auto"/>
            <w:tcBorders>
              <w:bottom w:val="single" w:sz="4" w:space="0" w:color="auto"/>
            </w:tcBorders>
            <w:vAlign w:val="center"/>
            <w:hideMark/>
          </w:tcPr>
          <w:p w14:paraId="5D2CA24D"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VW-G</w:t>
            </w:r>
          </w:p>
        </w:tc>
        <w:tc>
          <w:tcPr>
            <w:tcW w:w="0" w:type="auto"/>
            <w:tcBorders>
              <w:bottom w:val="single" w:sz="4" w:space="0" w:color="auto"/>
            </w:tcBorders>
            <w:vAlign w:val="center"/>
            <w:hideMark/>
          </w:tcPr>
          <w:p w14:paraId="0FC650BC"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0.00117 </w:t>
            </w:r>
          </w:p>
          <w:p w14:paraId="145B5DCF" w14:textId="16BA9A83"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(0.654)</w:t>
            </w:r>
          </w:p>
        </w:tc>
        <w:tc>
          <w:tcPr>
            <w:tcW w:w="0" w:type="auto"/>
            <w:tcBorders>
              <w:bottom w:val="single" w:sz="4" w:space="0" w:color="auto"/>
            </w:tcBorders>
            <w:vAlign w:val="center"/>
            <w:hideMark/>
          </w:tcPr>
          <w:p w14:paraId="528FB524"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1.39*** </w:t>
            </w:r>
          </w:p>
          <w:p w14:paraId="102A8F04" w14:textId="289E0E1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(5.78)</w:t>
            </w:r>
          </w:p>
        </w:tc>
      </w:tr>
    </w:tbl>
    <w:p w14:paraId="31DC376F" w14:textId="1FDC950F" w:rsidR="00077F12" w:rsidRPr="00924CA7" w:rsidRDefault="00077F12" w:rsidP="005A7812">
      <w:pPr>
        <w:jc w:val="both"/>
        <w:rPr>
          <w:rFonts w:ascii="Times New Roman" w:eastAsia="Times New Roman" w:hAnsi="Times New Roman" w:cs="Times New Roman"/>
          <w:i/>
          <w:iCs/>
          <w:kern w:val="0"/>
          <w:sz w:val="24"/>
          <w:szCs w:val="24"/>
          <w:lang w:eastAsia="it-IT"/>
          <w14:ligatures w14:val="none"/>
        </w:rPr>
      </w:pPr>
      <w:r w:rsidRPr="00924CA7">
        <w:rPr>
          <w:rFonts w:ascii="Times New Roman" w:eastAsia="Times New Roman" w:hAnsi="Times New Roman" w:cs="Times New Roman"/>
          <w:i/>
          <w:iCs/>
          <w:kern w:val="0"/>
          <w:sz w:val="24"/>
          <w:szCs w:val="24"/>
          <w:lang w:eastAsia="it-IT"/>
          <w14:ligatures w14:val="none"/>
        </w:rPr>
        <w:t>Nota.</w:t>
      </w:r>
      <w:r w:rsidRPr="00077F12">
        <w:rPr>
          <w:rFonts w:ascii="Times New Roman" w:eastAsia="Times New Roman" w:hAnsi="Times New Roman" w:cs="Times New Roman"/>
          <w:kern w:val="0"/>
          <w:sz w:val="24"/>
          <w:szCs w:val="24"/>
          <w:lang w:eastAsia="it-IT"/>
          <w14:ligatures w14:val="none"/>
        </w:rPr>
        <w:t xml:space="preserve"> </w:t>
      </w:r>
      <w:r w:rsidR="00924CA7" w:rsidRPr="00924CA7">
        <w:rPr>
          <w:rFonts w:ascii="Times New Roman" w:eastAsia="Times New Roman" w:hAnsi="Times New Roman" w:cs="Times New Roman"/>
          <w:i/>
          <w:iCs/>
          <w:kern w:val="0"/>
          <w:sz w:val="24"/>
          <w:szCs w:val="24"/>
          <w:lang w:eastAsia="it-IT"/>
          <w14:ligatures w14:val="none"/>
        </w:rPr>
        <w:t>La tabella riporta i coefficienti stimati delle regressioni CAPM per i portafogli Equally Weighted (EW), Signal Weighted (SW) e Value Weighted (VW) relativi alle tre configurazioni di modello considerate (CGL, CGP e G). Le t-statistics sono riportate tra parentesi sotto ciascun coefficiente. I livelli di significatività statistica sono indicati come segue: * p &lt; 0.10; ** p &lt; 0.05; *** p &lt; 0.01</w:t>
      </w:r>
      <w:r w:rsidRPr="00924CA7">
        <w:rPr>
          <w:rFonts w:ascii="Times New Roman" w:eastAsia="Times New Roman" w:hAnsi="Times New Roman" w:cs="Times New Roman"/>
          <w:i/>
          <w:iCs/>
          <w:kern w:val="0"/>
          <w:sz w:val="24"/>
          <w:szCs w:val="24"/>
          <w:lang w:eastAsia="it-IT"/>
          <w14:ligatures w14:val="none"/>
        </w:rPr>
        <w:t>.</w:t>
      </w:r>
    </w:p>
    <w:p w14:paraId="288C7D59" w14:textId="77777777" w:rsidR="00924CA7" w:rsidRPr="00924CA7" w:rsidRDefault="00924CA7" w:rsidP="00F43AE6">
      <w:pPr>
        <w:spacing w:before="100" w:beforeAutospacing="1" w:after="100" w:afterAutospacing="1" w:line="240" w:lineRule="auto"/>
        <w:jc w:val="both"/>
        <w:rPr>
          <w:rFonts w:ascii="Times New Roman" w:hAnsi="Times New Roman" w:cs="Times New Roman"/>
          <w:sz w:val="24"/>
          <w:szCs w:val="24"/>
        </w:rPr>
      </w:pPr>
      <w:r w:rsidRPr="00924CA7">
        <w:rPr>
          <w:rFonts w:ascii="Times New Roman" w:hAnsi="Times New Roman" w:cs="Times New Roman"/>
          <w:sz w:val="24"/>
          <w:szCs w:val="24"/>
        </w:rPr>
        <w:t>I risultati mostrano come gli intercept (alpha) risultino sistematicamente non significativi in tutte le specificazioni considerate. Tale evidenza suggerisce l’assenza di una robusta capacità dei portafogli costruiti mediante i segnali degli LLMs di generare excess returns indipendenti dal rischio sistematico di mercato.</w:t>
      </w:r>
    </w:p>
    <w:p w14:paraId="30B18BAF" w14:textId="23CEFFAE" w:rsidR="00924CA7" w:rsidRPr="00924CA7" w:rsidRDefault="00924CA7" w:rsidP="00F43AE6">
      <w:pPr>
        <w:spacing w:before="100" w:beforeAutospacing="1" w:after="100" w:afterAutospacing="1" w:line="240" w:lineRule="auto"/>
        <w:jc w:val="both"/>
        <w:rPr>
          <w:rFonts w:ascii="Times New Roman" w:hAnsi="Times New Roman" w:cs="Times New Roman"/>
          <w:sz w:val="24"/>
          <w:szCs w:val="24"/>
        </w:rPr>
      </w:pPr>
      <w:r w:rsidRPr="00924CA7">
        <w:rPr>
          <w:rFonts w:ascii="Times New Roman" w:hAnsi="Times New Roman" w:cs="Times New Roman"/>
          <w:sz w:val="24"/>
          <w:szCs w:val="24"/>
        </w:rPr>
        <w:t xml:space="preserve">Al contrario, i coefficienti associati al fattore di mercato (MKT-RF Intraday) risultano positivi e altamente significativi in tutte le regressioni stimate, indicando una marcata esposizione dei portafogli alle dinamiche aggregate del mercato azionario statunitense. </w:t>
      </w:r>
      <w:r w:rsidR="00F43AE6">
        <w:rPr>
          <w:rFonts w:ascii="Times New Roman" w:hAnsi="Times New Roman" w:cs="Times New Roman"/>
          <w:sz w:val="24"/>
          <w:szCs w:val="24"/>
        </w:rPr>
        <w:t>In altri termini</w:t>
      </w:r>
      <w:r w:rsidRPr="00924CA7">
        <w:rPr>
          <w:rFonts w:ascii="Times New Roman" w:hAnsi="Times New Roman" w:cs="Times New Roman"/>
          <w:sz w:val="24"/>
          <w:szCs w:val="24"/>
        </w:rPr>
        <w:t>, una parte rilevante dei rendimenti osservati appare quindi spiegata dalla semplice partecipazione ai movimenti direzionali del mercato piuttosto che da una superiore capacità di stock selection da parte dei modelli linguistici.</w:t>
      </w:r>
    </w:p>
    <w:p w14:paraId="49ACD81A" w14:textId="687FEEEC" w:rsidR="00924CA7" w:rsidRPr="00924CA7" w:rsidRDefault="00924CA7" w:rsidP="00F43AE6">
      <w:pPr>
        <w:spacing w:before="100" w:beforeAutospacing="1" w:after="100" w:afterAutospacing="1" w:line="240" w:lineRule="auto"/>
        <w:jc w:val="both"/>
        <w:rPr>
          <w:rFonts w:ascii="Times New Roman" w:hAnsi="Times New Roman" w:cs="Times New Roman"/>
          <w:sz w:val="24"/>
          <w:szCs w:val="24"/>
        </w:rPr>
      </w:pPr>
      <w:r w:rsidRPr="00924CA7">
        <w:rPr>
          <w:rFonts w:ascii="Times New Roman" w:hAnsi="Times New Roman" w:cs="Times New Roman"/>
          <w:sz w:val="24"/>
          <w:szCs w:val="24"/>
        </w:rPr>
        <w:t>In una seconda fase, al fine di catturare esposizioni aggiuntive ai principali fattori di rischio documentati nella letteratura di asset pricing, i rendimenti sono stati analizzati mediante il modello multifattoriale Fama-French-Carhart a quattro fattori.</w:t>
      </w:r>
      <w:r>
        <w:rPr>
          <w:rFonts w:ascii="Times New Roman" w:hAnsi="Times New Roman" w:cs="Times New Roman"/>
          <w:sz w:val="24"/>
          <w:szCs w:val="24"/>
        </w:rPr>
        <w:t xml:space="preserve"> </w:t>
      </w:r>
      <w:r w:rsidRPr="00924CA7">
        <w:rPr>
          <w:rFonts w:ascii="Times New Roman" w:hAnsi="Times New Roman" w:cs="Times New Roman"/>
          <w:sz w:val="24"/>
          <w:szCs w:val="24"/>
        </w:rPr>
        <w:t>I risultati completi delle regressioni sono sintetizzati nella Tabella 6.</w:t>
      </w:r>
    </w:p>
    <w:p w14:paraId="79A29FF3" w14:textId="3823A64D" w:rsidR="00924CA7" w:rsidRPr="00216505" w:rsidRDefault="00924CA7" w:rsidP="00216505">
      <w:pPr>
        <w:pStyle w:val="Didascalia"/>
        <w:keepNext/>
        <w:rPr>
          <w:color w:val="auto"/>
        </w:rPr>
      </w:pPr>
      <w:r w:rsidRPr="00E049A9">
        <w:rPr>
          <w:color w:val="auto"/>
        </w:rPr>
        <w:lastRenderedPageBreak/>
        <w:t xml:space="preserve">Tabella </w:t>
      </w:r>
      <w:r w:rsidRPr="00E049A9">
        <w:rPr>
          <w:color w:val="auto"/>
        </w:rPr>
        <w:fldChar w:fldCharType="begin"/>
      </w:r>
      <w:r w:rsidRPr="00E049A9">
        <w:rPr>
          <w:color w:val="auto"/>
        </w:rPr>
        <w:instrText xml:space="preserve"> SEQ Tabella \* ARABIC </w:instrText>
      </w:r>
      <w:r w:rsidRPr="00E049A9">
        <w:rPr>
          <w:color w:val="auto"/>
        </w:rPr>
        <w:fldChar w:fldCharType="separate"/>
      </w:r>
      <w:r w:rsidR="00D11ED9">
        <w:rPr>
          <w:noProof/>
          <w:color w:val="auto"/>
        </w:rPr>
        <w:t>6</w:t>
      </w:r>
      <w:r w:rsidRPr="00E049A9">
        <w:rPr>
          <w:color w:val="auto"/>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427"/>
        <w:gridCol w:w="1034"/>
        <w:gridCol w:w="960"/>
        <w:gridCol w:w="920"/>
        <w:gridCol w:w="975"/>
      </w:tblGrid>
      <w:tr w:rsidR="00924CA7" w:rsidRPr="00924CA7" w14:paraId="4FF2E028" w14:textId="77777777" w:rsidTr="00924CA7">
        <w:trPr>
          <w:tblHeader/>
          <w:tblCellSpacing w:w="15" w:type="dxa"/>
        </w:trPr>
        <w:tc>
          <w:tcPr>
            <w:tcW w:w="0" w:type="auto"/>
            <w:tcBorders>
              <w:top w:val="single" w:sz="4" w:space="0" w:color="auto"/>
              <w:bottom w:val="single" w:sz="4" w:space="0" w:color="auto"/>
            </w:tcBorders>
            <w:vAlign w:val="center"/>
            <w:hideMark/>
          </w:tcPr>
          <w:p w14:paraId="7F637B79"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Portafoglio</w:t>
            </w:r>
          </w:p>
        </w:tc>
        <w:tc>
          <w:tcPr>
            <w:tcW w:w="0" w:type="auto"/>
            <w:tcBorders>
              <w:top w:val="single" w:sz="4" w:space="0" w:color="auto"/>
              <w:bottom w:val="single" w:sz="4" w:space="0" w:color="auto"/>
            </w:tcBorders>
            <w:vAlign w:val="center"/>
            <w:hideMark/>
          </w:tcPr>
          <w:p w14:paraId="2684C061"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Intercetta (α)</w:t>
            </w:r>
          </w:p>
        </w:tc>
        <w:tc>
          <w:tcPr>
            <w:tcW w:w="0" w:type="auto"/>
            <w:tcBorders>
              <w:top w:val="single" w:sz="4" w:space="0" w:color="auto"/>
              <w:bottom w:val="single" w:sz="4" w:space="0" w:color="auto"/>
            </w:tcBorders>
            <w:vAlign w:val="center"/>
            <w:hideMark/>
          </w:tcPr>
          <w:p w14:paraId="4DD5009C"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MKT-RF</w:t>
            </w:r>
          </w:p>
        </w:tc>
        <w:tc>
          <w:tcPr>
            <w:tcW w:w="0" w:type="auto"/>
            <w:tcBorders>
              <w:top w:val="single" w:sz="4" w:space="0" w:color="auto"/>
              <w:bottom w:val="single" w:sz="4" w:space="0" w:color="auto"/>
            </w:tcBorders>
            <w:vAlign w:val="center"/>
            <w:hideMark/>
          </w:tcPr>
          <w:p w14:paraId="7F85436C"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SMB</w:t>
            </w:r>
          </w:p>
        </w:tc>
        <w:tc>
          <w:tcPr>
            <w:tcW w:w="0" w:type="auto"/>
            <w:tcBorders>
              <w:top w:val="single" w:sz="4" w:space="0" w:color="auto"/>
              <w:bottom w:val="single" w:sz="4" w:space="0" w:color="auto"/>
            </w:tcBorders>
            <w:vAlign w:val="center"/>
            <w:hideMark/>
          </w:tcPr>
          <w:p w14:paraId="367895DF"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HML</w:t>
            </w:r>
          </w:p>
        </w:tc>
        <w:tc>
          <w:tcPr>
            <w:tcW w:w="0" w:type="auto"/>
            <w:tcBorders>
              <w:top w:val="single" w:sz="4" w:space="0" w:color="auto"/>
              <w:bottom w:val="single" w:sz="4" w:space="0" w:color="auto"/>
            </w:tcBorders>
            <w:vAlign w:val="center"/>
            <w:hideMark/>
          </w:tcPr>
          <w:p w14:paraId="4B1A6DCB" w14:textId="77777777" w:rsidR="00924CA7" w:rsidRPr="00924CA7" w:rsidRDefault="00924CA7" w:rsidP="00924CA7">
            <w:pPr>
              <w:spacing w:after="0" w:line="240" w:lineRule="auto"/>
              <w:rPr>
                <w:rFonts w:ascii="Times New Roman" w:eastAsia="Times New Roman" w:hAnsi="Times New Roman" w:cs="Times New Roman"/>
                <w:b/>
                <w:bCs/>
                <w:kern w:val="0"/>
                <w:sz w:val="24"/>
                <w:szCs w:val="24"/>
                <w:lang w:eastAsia="it-IT"/>
                <w14:ligatures w14:val="none"/>
              </w:rPr>
            </w:pPr>
            <w:r w:rsidRPr="00924CA7">
              <w:rPr>
                <w:rFonts w:ascii="Times New Roman" w:eastAsia="Times New Roman" w:hAnsi="Times New Roman" w:cs="Times New Roman"/>
                <w:b/>
                <w:bCs/>
                <w:kern w:val="0"/>
                <w:sz w:val="24"/>
                <w:szCs w:val="24"/>
                <w:lang w:eastAsia="it-IT"/>
                <w14:ligatures w14:val="none"/>
              </w:rPr>
              <w:t>MOM</w:t>
            </w:r>
          </w:p>
        </w:tc>
      </w:tr>
      <w:tr w:rsidR="00924CA7" w:rsidRPr="00924CA7" w14:paraId="5822394C" w14:textId="77777777">
        <w:trPr>
          <w:tblCellSpacing w:w="15" w:type="dxa"/>
        </w:trPr>
        <w:tc>
          <w:tcPr>
            <w:tcW w:w="0" w:type="auto"/>
            <w:vAlign w:val="center"/>
            <w:hideMark/>
          </w:tcPr>
          <w:p w14:paraId="338E4F73"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EW-CGL</w:t>
            </w:r>
          </w:p>
        </w:tc>
        <w:tc>
          <w:tcPr>
            <w:tcW w:w="0" w:type="auto"/>
            <w:vAlign w:val="center"/>
            <w:hideMark/>
          </w:tcPr>
          <w:p w14:paraId="2C639D93"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-0.000335 </w:t>
            </w:r>
          </w:p>
          <w:p w14:paraId="758ABE59" w14:textId="37CF7260"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(-0.147)</w:t>
            </w:r>
          </w:p>
        </w:tc>
        <w:tc>
          <w:tcPr>
            <w:tcW w:w="0" w:type="auto"/>
            <w:vAlign w:val="center"/>
            <w:hideMark/>
          </w:tcPr>
          <w:p w14:paraId="23DA07F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0.740** </w:t>
            </w:r>
          </w:p>
          <w:p w14:paraId="66B558C9" w14:textId="176F4C9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(2.31)</w:t>
            </w:r>
          </w:p>
        </w:tc>
        <w:tc>
          <w:tcPr>
            <w:tcW w:w="0" w:type="auto"/>
            <w:vAlign w:val="center"/>
            <w:hideMark/>
          </w:tcPr>
          <w:p w14:paraId="329A9773"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-0.048 </w:t>
            </w:r>
          </w:p>
          <w:p w14:paraId="561C0BFB" w14:textId="4E611F0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(-0.092</w:t>
            </w:r>
            <w:r w:rsidR="0092194D">
              <w:rPr>
                <w:rFonts w:ascii="Times New Roman" w:eastAsia="Times New Roman" w:hAnsi="Times New Roman" w:cs="Times New Roman"/>
                <w:kern w:val="0"/>
                <w:sz w:val="24"/>
                <w:szCs w:val="24"/>
                <w:lang w:eastAsia="it-IT"/>
                <w14:ligatures w14:val="none"/>
              </w:rPr>
              <w:t>2</w:t>
            </w:r>
            <w:r w:rsidRPr="00924CA7">
              <w:rPr>
                <w:rFonts w:ascii="Times New Roman" w:eastAsia="Times New Roman" w:hAnsi="Times New Roman" w:cs="Times New Roman"/>
                <w:kern w:val="0"/>
                <w:sz w:val="24"/>
                <w:szCs w:val="24"/>
                <w:lang w:eastAsia="it-IT"/>
                <w14:ligatures w14:val="none"/>
              </w:rPr>
              <w:t>)</w:t>
            </w:r>
          </w:p>
        </w:tc>
        <w:tc>
          <w:tcPr>
            <w:tcW w:w="0" w:type="auto"/>
            <w:vAlign w:val="center"/>
            <w:hideMark/>
          </w:tcPr>
          <w:p w14:paraId="6F3D0F66"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-0.429 </w:t>
            </w:r>
          </w:p>
          <w:p w14:paraId="0D048AC8" w14:textId="6FB0DDE2"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(-1.28)</w:t>
            </w:r>
          </w:p>
        </w:tc>
        <w:tc>
          <w:tcPr>
            <w:tcW w:w="0" w:type="auto"/>
            <w:vAlign w:val="center"/>
            <w:hideMark/>
          </w:tcPr>
          <w:p w14:paraId="41848B95"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0.501** </w:t>
            </w:r>
          </w:p>
          <w:p w14:paraId="024CD208" w14:textId="65FD4D1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(2.50)</w:t>
            </w:r>
          </w:p>
        </w:tc>
      </w:tr>
      <w:tr w:rsidR="00924CA7" w:rsidRPr="00924CA7" w14:paraId="3B9801A6" w14:textId="77777777">
        <w:trPr>
          <w:tblCellSpacing w:w="15" w:type="dxa"/>
        </w:trPr>
        <w:tc>
          <w:tcPr>
            <w:tcW w:w="0" w:type="auto"/>
            <w:vAlign w:val="center"/>
            <w:hideMark/>
          </w:tcPr>
          <w:p w14:paraId="33FD01E3"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EW-CGP</w:t>
            </w:r>
          </w:p>
        </w:tc>
        <w:tc>
          <w:tcPr>
            <w:tcW w:w="0" w:type="auto"/>
            <w:vAlign w:val="center"/>
            <w:hideMark/>
          </w:tcPr>
          <w:p w14:paraId="2A2216E6"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-0.00128 </w:t>
            </w:r>
          </w:p>
          <w:p w14:paraId="0C3E33D1" w14:textId="04A0DBE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(-0.620)</w:t>
            </w:r>
          </w:p>
        </w:tc>
        <w:tc>
          <w:tcPr>
            <w:tcW w:w="0" w:type="auto"/>
            <w:vAlign w:val="center"/>
            <w:hideMark/>
          </w:tcPr>
          <w:p w14:paraId="0B704C2D"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0.471 </w:t>
            </w:r>
          </w:p>
          <w:p w14:paraId="49567DF1" w14:textId="7E6F35C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(1.68)</w:t>
            </w:r>
          </w:p>
        </w:tc>
        <w:tc>
          <w:tcPr>
            <w:tcW w:w="0" w:type="auto"/>
            <w:vAlign w:val="center"/>
            <w:hideMark/>
          </w:tcPr>
          <w:p w14:paraId="3657049B"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0.257 </w:t>
            </w:r>
          </w:p>
          <w:p w14:paraId="162A560D" w14:textId="0C51B9F1"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(0.544)</w:t>
            </w:r>
          </w:p>
        </w:tc>
        <w:tc>
          <w:tcPr>
            <w:tcW w:w="0" w:type="auto"/>
            <w:vAlign w:val="center"/>
            <w:hideMark/>
          </w:tcPr>
          <w:p w14:paraId="12B99144"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-0.550 </w:t>
            </w:r>
          </w:p>
          <w:p w14:paraId="7133FFD8" w14:textId="18ABD290"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(-1.67)</w:t>
            </w:r>
          </w:p>
        </w:tc>
        <w:tc>
          <w:tcPr>
            <w:tcW w:w="0" w:type="auto"/>
            <w:vAlign w:val="center"/>
            <w:hideMark/>
          </w:tcPr>
          <w:p w14:paraId="255FC46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0.696*** </w:t>
            </w:r>
          </w:p>
          <w:p w14:paraId="72EAFA7A" w14:textId="3D454473"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(3.67)</w:t>
            </w:r>
          </w:p>
        </w:tc>
      </w:tr>
      <w:tr w:rsidR="00924CA7" w:rsidRPr="00924CA7" w14:paraId="095A323C" w14:textId="77777777">
        <w:trPr>
          <w:tblCellSpacing w:w="15" w:type="dxa"/>
        </w:trPr>
        <w:tc>
          <w:tcPr>
            <w:tcW w:w="0" w:type="auto"/>
            <w:vAlign w:val="center"/>
            <w:hideMark/>
          </w:tcPr>
          <w:p w14:paraId="5184035D"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EW-G</w:t>
            </w:r>
          </w:p>
        </w:tc>
        <w:tc>
          <w:tcPr>
            <w:tcW w:w="0" w:type="auto"/>
            <w:vAlign w:val="center"/>
            <w:hideMark/>
          </w:tcPr>
          <w:p w14:paraId="277C6816"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0.00111 </w:t>
            </w:r>
          </w:p>
          <w:p w14:paraId="5081DA41" w14:textId="78D53C6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(0.475)</w:t>
            </w:r>
          </w:p>
        </w:tc>
        <w:tc>
          <w:tcPr>
            <w:tcW w:w="0" w:type="auto"/>
            <w:vAlign w:val="center"/>
            <w:hideMark/>
          </w:tcPr>
          <w:p w14:paraId="69FCB853"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0.590* </w:t>
            </w:r>
          </w:p>
          <w:p w14:paraId="209ED6CB" w14:textId="6E270521"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(1.86)</w:t>
            </w:r>
          </w:p>
        </w:tc>
        <w:tc>
          <w:tcPr>
            <w:tcW w:w="0" w:type="auto"/>
            <w:vAlign w:val="center"/>
            <w:hideMark/>
          </w:tcPr>
          <w:p w14:paraId="4A17C0F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-0.681 </w:t>
            </w:r>
          </w:p>
          <w:p w14:paraId="08A2E1CC" w14:textId="1F383361"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(-1.26)</w:t>
            </w:r>
          </w:p>
        </w:tc>
        <w:tc>
          <w:tcPr>
            <w:tcW w:w="0" w:type="auto"/>
            <w:vAlign w:val="center"/>
            <w:hideMark/>
          </w:tcPr>
          <w:p w14:paraId="3DF3413E"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-0.657* </w:t>
            </w:r>
          </w:p>
          <w:p w14:paraId="6BBCFD7D" w14:textId="7406A4F5"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(-1.76)</w:t>
            </w:r>
          </w:p>
        </w:tc>
        <w:tc>
          <w:tcPr>
            <w:tcW w:w="0" w:type="auto"/>
            <w:vAlign w:val="center"/>
            <w:hideMark/>
          </w:tcPr>
          <w:p w14:paraId="735C76C4"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0.244 </w:t>
            </w:r>
          </w:p>
          <w:p w14:paraId="4C558EF5" w14:textId="381AB34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(1.14)</w:t>
            </w:r>
          </w:p>
        </w:tc>
      </w:tr>
      <w:tr w:rsidR="00924CA7" w:rsidRPr="00924CA7" w14:paraId="05A67142" w14:textId="77777777">
        <w:trPr>
          <w:tblCellSpacing w:w="15" w:type="dxa"/>
        </w:trPr>
        <w:tc>
          <w:tcPr>
            <w:tcW w:w="0" w:type="auto"/>
            <w:vAlign w:val="center"/>
            <w:hideMark/>
          </w:tcPr>
          <w:p w14:paraId="6445EA7B"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SW-CGL</w:t>
            </w:r>
          </w:p>
        </w:tc>
        <w:tc>
          <w:tcPr>
            <w:tcW w:w="0" w:type="auto"/>
            <w:vAlign w:val="center"/>
            <w:hideMark/>
          </w:tcPr>
          <w:p w14:paraId="42354D25"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-0.000989 </w:t>
            </w:r>
          </w:p>
          <w:p w14:paraId="694163D9" w14:textId="6AB1CDE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(-0.426)</w:t>
            </w:r>
          </w:p>
        </w:tc>
        <w:tc>
          <w:tcPr>
            <w:tcW w:w="0" w:type="auto"/>
            <w:vAlign w:val="center"/>
            <w:hideMark/>
          </w:tcPr>
          <w:p w14:paraId="143888F3"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0.747** </w:t>
            </w:r>
          </w:p>
          <w:p w14:paraId="0CA05CA5" w14:textId="75107A80"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(2.29)</w:t>
            </w:r>
          </w:p>
        </w:tc>
        <w:tc>
          <w:tcPr>
            <w:tcW w:w="0" w:type="auto"/>
            <w:vAlign w:val="center"/>
            <w:hideMark/>
          </w:tcPr>
          <w:p w14:paraId="0C026FD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-0.240 </w:t>
            </w:r>
          </w:p>
          <w:p w14:paraId="7F0ECD20" w14:textId="58B75345"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(-0.452)</w:t>
            </w:r>
          </w:p>
        </w:tc>
        <w:tc>
          <w:tcPr>
            <w:tcW w:w="0" w:type="auto"/>
            <w:vAlign w:val="center"/>
            <w:hideMark/>
          </w:tcPr>
          <w:p w14:paraId="4D1E84CD"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-0.392 </w:t>
            </w:r>
          </w:p>
          <w:p w14:paraId="75E044C0" w14:textId="164E18E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(-1.15)</w:t>
            </w:r>
          </w:p>
        </w:tc>
        <w:tc>
          <w:tcPr>
            <w:tcW w:w="0" w:type="auto"/>
            <w:vAlign w:val="center"/>
            <w:hideMark/>
          </w:tcPr>
          <w:p w14:paraId="01B7C01A"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0.560*** </w:t>
            </w:r>
          </w:p>
          <w:p w14:paraId="37BA6AF8" w14:textId="26D9845E"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(2.74)</w:t>
            </w:r>
          </w:p>
        </w:tc>
      </w:tr>
      <w:tr w:rsidR="00924CA7" w:rsidRPr="00924CA7" w14:paraId="05877C3D" w14:textId="77777777">
        <w:trPr>
          <w:tblCellSpacing w:w="15" w:type="dxa"/>
        </w:trPr>
        <w:tc>
          <w:tcPr>
            <w:tcW w:w="0" w:type="auto"/>
            <w:vAlign w:val="center"/>
            <w:hideMark/>
          </w:tcPr>
          <w:p w14:paraId="5D539730"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SW-CGP</w:t>
            </w:r>
          </w:p>
        </w:tc>
        <w:tc>
          <w:tcPr>
            <w:tcW w:w="0" w:type="auto"/>
            <w:vAlign w:val="center"/>
            <w:hideMark/>
          </w:tcPr>
          <w:p w14:paraId="7306D26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-0.00188 </w:t>
            </w:r>
          </w:p>
          <w:p w14:paraId="6ADBFEB3" w14:textId="11DD54B1"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(-0.944)</w:t>
            </w:r>
          </w:p>
        </w:tc>
        <w:tc>
          <w:tcPr>
            <w:tcW w:w="0" w:type="auto"/>
            <w:vAlign w:val="center"/>
            <w:hideMark/>
          </w:tcPr>
          <w:p w14:paraId="59C6DE0B"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0.260 </w:t>
            </w:r>
          </w:p>
          <w:p w14:paraId="14C7194F" w14:textId="57EA7CE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(0.956)</w:t>
            </w:r>
          </w:p>
        </w:tc>
        <w:tc>
          <w:tcPr>
            <w:tcW w:w="0" w:type="auto"/>
            <w:vAlign w:val="center"/>
            <w:hideMark/>
          </w:tcPr>
          <w:p w14:paraId="0667CD28"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0.340 </w:t>
            </w:r>
          </w:p>
          <w:p w14:paraId="35229DFA" w14:textId="548827B2"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(0.745)</w:t>
            </w:r>
          </w:p>
        </w:tc>
        <w:tc>
          <w:tcPr>
            <w:tcW w:w="0" w:type="auto"/>
            <w:vAlign w:val="center"/>
            <w:hideMark/>
          </w:tcPr>
          <w:p w14:paraId="45C0F399"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-0.782** </w:t>
            </w:r>
          </w:p>
          <w:p w14:paraId="0C135518" w14:textId="15E6791C"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(-2.45)</w:t>
            </w:r>
          </w:p>
        </w:tc>
        <w:tc>
          <w:tcPr>
            <w:tcW w:w="0" w:type="auto"/>
            <w:vAlign w:val="center"/>
            <w:hideMark/>
          </w:tcPr>
          <w:p w14:paraId="278B35E5"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0.749*** </w:t>
            </w:r>
          </w:p>
          <w:p w14:paraId="5CB421F4" w14:textId="0151508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(4.08)</w:t>
            </w:r>
          </w:p>
        </w:tc>
      </w:tr>
      <w:tr w:rsidR="00924CA7" w:rsidRPr="00924CA7" w14:paraId="3F739B11" w14:textId="77777777">
        <w:trPr>
          <w:tblCellSpacing w:w="15" w:type="dxa"/>
        </w:trPr>
        <w:tc>
          <w:tcPr>
            <w:tcW w:w="0" w:type="auto"/>
            <w:vAlign w:val="center"/>
            <w:hideMark/>
          </w:tcPr>
          <w:p w14:paraId="39B5E788"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SW-G</w:t>
            </w:r>
          </w:p>
        </w:tc>
        <w:tc>
          <w:tcPr>
            <w:tcW w:w="0" w:type="auto"/>
            <w:vAlign w:val="center"/>
            <w:hideMark/>
          </w:tcPr>
          <w:p w14:paraId="1058392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0.000046 </w:t>
            </w:r>
          </w:p>
          <w:p w14:paraId="12802F2A" w14:textId="67C1C966"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(0.021)</w:t>
            </w:r>
          </w:p>
        </w:tc>
        <w:tc>
          <w:tcPr>
            <w:tcW w:w="0" w:type="auto"/>
            <w:vAlign w:val="center"/>
            <w:hideMark/>
          </w:tcPr>
          <w:p w14:paraId="0B26A872"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0.505* </w:t>
            </w:r>
          </w:p>
          <w:p w14:paraId="5A9E212B" w14:textId="3D413F50"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(1.70)</w:t>
            </w:r>
          </w:p>
        </w:tc>
        <w:tc>
          <w:tcPr>
            <w:tcW w:w="0" w:type="auto"/>
            <w:vAlign w:val="center"/>
            <w:hideMark/>
          </w:tcPr>
          <w:p w14:paraId="5308C9D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-0.577</w:t>
            </w:r>
          </w:p>
          <w:p w14:paraId="7F6B5053" w14:textId="7B50CC9C"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(-1.14)</w:t>
            </w:r>
          </w:p>
        </w:tc>
        <w:tc>
          <w:tcPr>
            <w:tcW w:w="0" w:type="auto"/>
            <w:vAlign w:val="center"/>
            <w:hideMark/>
          </w:tcPr>
          <w:p w14:paraId="2DF11CB1"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-0.743** </w:t>
            </w:r>
          </w:p>
          <w:p w14:paraId="52F57AF6" w14:textId="2702B54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(-2.13)</w:t>
            </w:r>
          </w:p>
        </w:tc>
        <w:tc>
          <w:tcPr>
            <w:tcW w:w="0" w:type="auto"/>
            <w:vAlign w:val="center"/>
            <w:hideMark/>
          </w:tcPr>
          <w:p w14:paraId="56CF804A"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0.305 </w:t>
            </w:r>
          </w:p>
          <w:p w14:paraId="2E7AFE1E" w14:textId="229F5D6A"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(1.52)</w:t>
            </w:r>
          </w:p>
        </w:tc>
      </w:tr>
      <w:tr w:rsidR="00924CA7" w:rsidRPr="00924CA7" w14:paraId="5E754075" w14:textId="77777777">
        <w:trPr>
          <w:tblCellSpacing w:w="15" w:type="dxa"/>
        </w:trPr>
        <w:tc>
          <w:tcPr>
            <w:tcW w:w="0" w:type="auto"/>
            <w:vAlign w:val="center"/>
            <w:hideMark/>
          </w:tcPr>
          <w:p w14:paraId="5110B0AB"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VW-CGL</w:t>
            </w:r>
          </w:p>
        </w:tc>
        <w:tc>
          <w:tcPr>
            <w:tcW w:w="0" w:type="auto"/>
            <w:vAlign w:val="center"/>
            <w:hideMark/>
          </w:tcPr>
          <w:p w14:paraId="109E1388"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-0.000714 </w:t>
            </w:r>
          </w:p>
          <w:p w14:paraId="085673A1" w14:textId="2394701F"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(-0.351)</w:t>
            </w:r>
          </w:p>
        </w:tc>
        <w:tc>
          <w:tcPr>
            <w:tcW w:w="0" w:type="auto"/>
            <w:vAlign w:val="center"/>
            <w:hideMark/>
          </w:tcPr>
          <w:p w14:paraId="06BEADB9"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0.884*** </w:t>
            </w:r>
          </w:p>
          <w:p w14:paraId="779EA35A" w14:textId="6518E2B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(3.09)</w:t>
            </w:r>
          </w:p>
        </w:tc>
        <w:tc>
          <w:tcPr>
            <w:tcW w:w="0" w:type="auto"/>
            <w:vAlign w:val="center"/>
            <w:hideMark/>
          </w:tcPr>
          <w:p w14:paraId="29DD8F2D"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-0.349 </w:t>
            </w:r>
          </w:p>
          <w:p w14:paraId="1BEDB8EC" w14:textId="133315F2"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(-0.751)</w:t>
            </w:r>
          </w:p>
        </w:tc>
        <w:tc>
          <w:tcPr>
            <w:tcW w:w="0" w:type="auto"/>
            <w:vAlign w:val="center"/>
            <w:hideMark/>
          </w:tcPr>
          <w:p w14:paraId="1DCEF11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-0.418 </w:t>
            </w:r>
          </w:p>
          <w:p w14:paraId="09DBE7B7" w14:textId="33A3610D"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(-1.40)</w:t>
            </w:r>
          </w:p>
        </w:tc>
        <w:tc>
          <w:tcPr>
            <w:tcW w:w="0" w:type="auto"/>
            <w:vAlign w:val="center"/>
            <w:hideMark/>
          </w:tcPr>
          <w:p w14:paraId="5B0D092B"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0.429** </w:t>
            </w:r>
          </w:p>
          <w:p w14:paraId="545510E0" w14:textId="717971BB"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(2.39)</w:t>
            </w:r>
          </w:p>
        </w:tc>
      </w:tr>
      <w:tr w:rsidR="00924CA7" w:rsidRPr="00924CA7" w14:paraId="3E35EAF1" w14:textId="77777777">
        <w:trPr>
          <w:tblCellSpacing w:w="15" w:type="dxa"/>
        </w:trPr>
        <w:tc>
          <w:tcPr>
            <w:tcW w:w="0" w:type="auto"/>
            <w:vAlign w:val="center"/>
            <w:hideMark/>
          </w:tcPr>
          <w:p w14:paraId="5336B599"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VW-CGP</w:t>
            </w:r>
          </w:p>
        </w:tc>
        <w:tc>
          <w:tcPr>
            <w:tcW w:w="0" w:type="auto"/>
            <w:vAlign w:val="center"/>
            <w:hideMark/>
          </w:tcPr>
          <w:p w14:paraId="4BFB8286"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-0.00302 </w:t>
            </w:r>
          </w:p>
          <w:p w14:paraId="74E19A67" w14:textId="1B5FF9B6"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(-1.50)</w:t>
            </w:r>
          </w:p>
        </w:tc>
        <w:tc>
          <w:tcPr>
            <w:tcW w:w="0" w:type="auto"/>
            <w:vAlign w:val="center"/>
            <w:hideMark/>
          </w:tcPr>
          <w:p w14:paraId="1FBA005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0.595** </w:t>
            </w:r>
          </w:p>
          <w:p w14:paraId="0DED49DF" w14:textId="5C1B55DE"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(2.17)</w:t>
            </w:r>
          </w:p>
        </w:tc>
        <w:tc>
          <w:tcPr>
            <w:tcW w:w="0" w:type="auto"/>
            <w:vAlign w:val="center"/>
            <w:hideMark/>
          </w:tcPr>
          <w:p w14:paraId="791A26D6"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-0.135 </w:t>
            </w:r>
          </w:p>
          <w:p w14:paraId="6337AB94" w14:textId="33CA75E8"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(-0.292)</w:t>
            </w:r>
          </w:p>
        </w:tc>
        <w:tc>
          <w:tcPr>
            <w:tcW w:w="0" w:type="auto"/>
            <w:vAlign w:val="center"/>
            <w:hideMark/>
          </w:tcPr>
          <w:p w14:paraId="6187D92C"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-0.373 </w:t>
            </w:r>
          </w:p>
          <w:p w14:paraId="69BE361D" w14:textId="270AB9D5"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(-1.16)</w:t>
            </w:r>
          </w:p>
        </w:tc>
        <w:tc>
          <w:tcPr>
            <w:tcW w:w="0" w:type="auto"/>
            <w:vAlign w:val="center"/>
            <w:hideMark/>
          </w:tcPr>
          <w:p w14:paraId="25C726A4"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0.673*** </w:t>
            </w:r>
          </w:p>
          <w:p w14:paraId="412EDF36" w14:textId="1E25A8BD"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(3.63)</w:t>
            </w:r>
          </w:p>
        </w:tc>
      </w:tr>
      <w:tr w:rsidR="00924CA7" w:rsidRPr="00924CA7" w14:paraId="58D2DCF9" w14:textId="77777777" w:rsidTr="007D19CB">
        <w:trPr>
          <w:tblCellSpacing w:w="15" w:type="dxa"/>
        </w:trPr>
        <w:tc>
          <w:tcPr>
            <w:tcW w:w="0" w:type="auto"/>
            <w:tcBorders>
              <w:bottom w:val="single" w:sz="4" w:space="0" w:color="auto"/>
            </w:tcBorders>
            <w:vAlign w:val="center"/>
            <w:hideMark/>
          </w:tcPr>
          <w:p w14:paraId="3582EE9A" w14:textId="77777777"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VW-G</w:t>
            </w:r>
          </w:p>
        </w:tc>
        <w:tc>
          <w:tcPr>
            <w:tcW w:w="0" w:type="auto"/>
            <w:tcBorders>
              <w:bottom w:val="single" w:sz="4" w:space="0" w:color="auto"/>
            </w:tcBorders>
            <w:vAlign w:val="center"/>
            <w:hideMark/>
          </w:tcPr>
          <w:p w14:paraId="2F76A123"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0.00163 </w:t>
            </w:r>
          </w:p>
          <w:p w14:paraId="7B08559F" w14:textId="0ACB2C7E"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(0.570)</w:t>
            </w:r>
          </w:p>
        </w:tc>
        <w:tc>
          <w:tcPr>
            <w:tcW w:w="0" w:type="auto"/>
            <w:tcBorders>
              <w:bottom w:val="single" w:sz="4" w:space="0" w:color="auto"/>
            </w:tcBorders>
            <w:vAlign w:val="center"/>
            <w:hideMark/>
          </w:tcPr>
          <w:p w14:paraId="5CC6FBD0"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0.637 </w:t>
            </w:r>
          </w:p>
          <w:p w14:paraId="09C9A023" w14:textId="3DAACEA9"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(1.65)</w:t>
            </w:r>
          </w:p>
        </w:tc>
        <w:tc>
          <w:tcPr>
            <w:tcW w:w="0" w:type="auto"/>
            <w:tcBorders>
              <w:bottom w:val="single" w:sz="4" w:space="0" w:color="auto"/>
            </w:tcBorders>
            <w:vAlign w:val="center"/>
            <w:hideMark/>
          </w:tcPr>
          <w:p w14:paraId="0A44340A"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-0.502 </w:t>
            </w:r>
          </w:p>
          <w:p w14:paraId="17111D6F" w14:textId="65C67A06"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(-0.761)</w:t>
            </w:r>
          </w:p>
        </w:tc>
        <w:tc>
          <w:tcPr>
            <w:tcW w:w="0" w:type="auto"/>
            <w:tcBorders>
              <w:bottom w:val="single" w:sz="4" w:space="0" w:color="auto"/>
            </w:tcBorders>
            <w:vAlign w:val="center"/>
            <w:hideMark/>
          </w:tcPr>
          <w:p w14:paraId="422F2E29"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-0.703 </w:t>
            </w:r>
          </w:p>
          <w:p w14:paraId="06A2E014" w14:textId="758D20C5"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(-1.55)</w:t>
            </w:r>
          </w:p>
        </w:tc>
        <w:tc>
          <w:tcPr>
            <w:tcW w:w="0" w:type="auto"/>
            <w:tcBorders>
              <w:bottom w:val="single" w:sz="4" w:space="0" w:color="auto"/>
            </w:tcBorders>
            <w:vAlign w:val="center"/>
            <w:hideMark/>
          </w:tcPr>
          <w:p w14:paraId="0B9CBF9B" w14:textId="77777777" w:rsid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 xml:space="preserve">0.239 </w:t>
            </w:r>
          </w:p>
          <w:p w14:paraId="317B0DF2" w14:textId="64221C18" w:rsidR="00924CA7" w:rsidRPr="00924CA7" w:rsidRDefault="00924CA7" w:rsidP="00924CA7">
            <w:pPr>
              <w:spacing w:after="0" w:line="240" w:lineRule="auto"/>
              <w:rPr>
                <w:rFonts w:ascii="Times New Roman" w:eastAsia="Times New Roman" w:hAnsi="Times New Roman" w:cs="Times New Roman"/>
                <w:kern w:val="0"/>
                <w:sz w:val="24"/>
                <w:szCs w:val="24"/>
                <w:lang w:eastAsia="it-IT"/>
                <w14:ligatures w14:val="none"/>
              </w:rPr>
            </w:pPr>
            <w:r w:rsidRPr="00924CA7">
              <w:rPr>
                <w:rFonts w:ascii="Times New Roman" w:eastAsia="Times New Roman" w:hAnsi="Times New Roman" w:cs="Times New Roman"/>
                <w:kern w:val="0"/>
                <w:sz w:val="24"/>
                <w:szCs w:val="24"/>
                <w:lang w:eastAsia="it-IT"/>
                <w14:ligatures w14:val="none"/>
              </w:rPr>
              <w:t>(0.918)</w:t>
            </w:r>
          </w:p>
        </w:tc>
      </w:tr>
    </w:tbl>
    <w:p w14:paraId="59F6DB9A" w14:textId="7D389052" w:rsidR="00B01CFF" w:rsidRPr="008A0FA0" w:rsidRDefault="008A0FA0" w:rsidP="008A0FA0">
      <w:pPr>
        <w:spacing w:before="100" w:beforeAutospacing="1" w:after="100" w:afterAutospacing="1" w:line="240" w:lineRule="auto"/>
        <w:jc w:val="both"/>
        <w:rPr>
          <w:rFonts w:ascii="Times New Roman" w:eastAsia="Times New Roman" w:hAnsi="Times New Roman" w:cs="Times New Roman"/>
          <w:kern w:val="0"/>
          <w:sz w:val="24"/>
          <w:szCs w:val="24"/>
          <w:lang w:eastAsia="it-IT"/>
          <w14:ligatures w14:val="none"/>
        </w:rPr>
      </w:pPr>
      <w:r w:rsidRPr="008A0FA0">
        <w:rPr>
          <w:rFonts w:ascii="Times New Roman" w:eastAsia="Times New Roman" w:hAnsi="Times New Roman" w:cs="Times New Roman"/>
          <w:i/>
          <w:iCs/>
          <w:kern w:val="0"/>
          <w:sz w:val="24"/>
          <w:szCs w:val="24"/>
          <w:lang w:eastAsia="it-IT"/>
          <w14:ligatures w14:val="none"/>
        </w:rPr>
        <w:t xml:space="preserve">Nota. </w:t>
      </w:r>
      <w:r w:rsidR="00924CA7" w:rsidRPr="00924CA7">
        <w:rPr>
          <w:rFonts w:ascii="Times New Roman" w:eastAsia="Times New Roman" w:hAnsi="Times New Roman" w:cs="Times New Roman"/>
          <w:i/>
          <w:iCs/>
          <w:kern w:val="0"/>
          <w:sz w:val="24"/>
          <w:szCs w:val="24"/>
          <w:lang w:eastAsia="it-IT"/>
          <w14:ligatures w14:val="none"/>
        </w:rPr>
        <w:t>La tabella riporta i coefficienti stimati delle regressioni OLS multifattoriali Fama-French-Carhart a quattro fattori. Le t-statistics sono riportate tra parentesi sotto ciascun coefficiente. I risultati si riferiscono ai portafogli Equally Weighted (EW), Signal Weighted (SW) e Value Weighted (VW) per le tre configurazioni di modello considerate (CGL, CGP e G). I livelli di significatività statistica sono indicati come segue: * p &lt; 0.10; ** p &lt; 0.05; *** p &lt; 0.01.</w:t>
      </w:r>
    </w:p>
    <w:p w14:paraId="11A19ADB"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Anche nell’ambito delle regressioni multifattoriali, gli intercept risultano generalmente non significativi, confermando l’assenza di evidenza robusta di alpha economicamente significativo una volta corretto per le principali fonti di rischio sistematico.</w:t>
      </w:r>
    </w:p>
    <w:p w14:paraId="7FBE7814"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L’evidenza più rilevante emerge invece con riferimento al fattore momentum (MOM). In particolare, i portafogli costruiti mediante le configurazioni ChatGPT evidenziano coefficienti generalmente positivi e in diversi casi statisticamente significativi, soprattutto nei portafogli equally weighted e value weighted. Tale risultato suggerisce che una parte della performance osservata possa riflettere una maggiore esposizione a dinamiche di momentum già incorporate nel mercato.</w:t>
      </w:r>
    </w:p>
    <w:p w14:paraId="4911A421"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Gemini Pro mostra invece una minore e meno sistematica esposizione al fattore momentum, con coefficienti generalmente non significativi nelle diverse configurazioni considerate. Questa evidenza suggerisce una dinamica inferenziale parzialmente differente rispetto ai modelli ChatGPT, pur senza tradursi in una superiore capacità di generazione di alpha risk-adjusted.</w:t>
      </w:r>
    </w:p>
    <w:p w14:paraId="44D27269"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Dal punto di vista economico, i risultati ottenuti indicano che i modelli linguistici analizzati sembrano comportarsi prevalentemente come sofisticati aggregatori di informazioni e sentiment già riflessi nei prezzi di mercato, piuttosto che come strumenti in grado di identificare inefficienze informative sistematicamente sfruttabili.</w:t>
      </w:r>
    </w:p>
    <w:p w14:paraId="587BF99D" w14:textId="77777777" w:rsidR="00924CA7" w:rsidRPr="00924CA7" w:rsidRDefault="00924CA7" w:rsidP="00924CA7">
      <w:pPr>
        <w:jc w:val="both"/>
        <w:rPr>
          <w:rFonts w:ascii="Times New Roman" w:hAnsi="Times New Roman" w:cs="Times New Roman"/>
          <w:sz w:val="24"/>
          <w:szCs w:val="24"/>
        </w:rPr>
      </w:pPr>
      <w:r w:rsidRPr="00924CA7">
        <w:rPr>
          <w:rFonts w:ascii="Times New Roman" w:hAnsi="Times New Roman" w:cs="Times New Roman"/>
          <w:sz w:val="24"/>
          <w:szCs w:val="24"/>
        </w:rPr>
        <w:t xml:space="preserve">L’evidenza empirica fornita dai test di asset pricing conferma pertanto che le performance osservate tendono a ridimensionarsi significativamente una volta corrette per il rischio sistematico, non </w:t>
      </w:r>
      <w:r w:rsidRPr="00924CA7">
        <w:rPr>
          <w:rFonts w:ascii="Times New Roman" w:hAnsi="Times New Roman" w:cs="Times New Roman"/>
          <w:sz w:val="24"/>
          <w:szCs w:val="24"/>
        </w:rPr>
        <w:lastRenderedPageBreak/>
        <w:t>supportando l’esistenza di una robusta capacità predittiva economicamente sfruttabile nel contesto intraday considerato.</w:t>
      </w:r>
    </w:p>
    <w:p w14:paraId="49DD8870" w14:textId="4DBF8274" w:rsidR="008A240A" w:rsidRDefault="007D19CB" w:rsidP="008A240A">
      <w:pPr>
        <w:jc w:val="both"/>
        <w:rPr>
          <w:rFonts w:ascii="Times New Roman" w:hAnsi="Times New Roman" w:cs="Times New Roman"/>
          <w:b/>
          <w:bCs/>
          <w:sz w:val="24"/>
          <w:szCs w:val="24"/>
        </w:rPr>
      </w:pPr>
      <w:r>
        <w:rPr>
          <w:rFonts w:ascii="Times New Roman" w:hAnsi="Times New Roman" w:cs="Times New Roman"/>
          <w:b/>
          <w:bCs/>
          <w:sz w:val="24"/>
          <w:szCs w:val="24"/>
        </w:rPr>
        <w:t>3</w:t>
      </w:r>
      <w:r w:rsidR="008A240A" w:rsidRPr="008A240A">
        <w:rPr>
          <w:rFonts w:ascii="Times New Roman" w:hAnsi="Times New Roman" w:cs="Times New Roman"/>
          <w:b/>
          <w:bCs/>
          <w:sz w:val="24"/>
          <w:szCs w:val="24"/>
        </w:rPr>
        <w:t>.</w:t>
      </w:r>
      <w:r w:rsidR="00D11ED9">
        <w:rPr>
          <w:rFonts w:ascii="Times New Roman" w:hAnsi="Times New Roman" w:cs="Times New Roman"/>
          <w:b/>
          <w:bCs/>
          <w:sz w:val="24"/>
          <w:szCs w:val="24"/>
        </w:rPr>
        <w:t>3</w:t>
      </w:r>
      <w:r w:rsidR="008A240A" w:rsidRPr="008A240A">
        <w:rPr>
          <w:rFonts w:ascii="Times New Roman" w:hAnsi="Times New Roman" w:cs="Times New Roman"/>
          <w:b/>
          <w:bCs/>
          <w:sz w:val="24"/>
          <w:szCs w:val="24"/>
        </w:rPr>
        <w:t xml:space="preserve"> Magnitude Forecasting</w:t>
      </w:r>
    </w:p>
    <w:p w14:paraId="3A10459D" w14:textId="77777777" w:rsidR="00C73779" w:rsidRPr="00C73779" w:rsidRDefault="00C73779" w:rsidP="00C73779">
      <w:pPr>
        <w:pStyle w:val="Didascalia"/>
        <w:keepNext/>
        <w:jc w:val="both"/>
        <w:rPr>
          <w:rFonts w:ascii="Times New Roman" w:hAnsi="Times New Roman" w:cs="Times New Roman"/>
          <w:i w:val="0"/>
          <w:iCs w:val="0"/>
          <w:color w:val="auto"/>
          <w:sz w:val="24"/>
          <w:szCs w:val="24"/>
        </w:rPr>
      </w:pPr>
      <w:r w:rsidRPr="00C73779">
        <w:rPr>
          <w:rFonts w:ascii="Times New Roman" w:hAnsi="Times New Roman" w:cs="Times New Roman"/>
          <w:i w:val="0"/>
          <w:iCs w:val="0"/>
          <w:color w:val="auto"/>
          <w:sz w:val="24"/>
          <w:szCs w:val="24"/>
        </w:rPr>
        <w:t>Oltre alla previsione direzionale dei rendimenti, ai modelli linguistici è stato richiesto di formulare stime puntuali relative al prezzo di chiusura successivo di specifici titoli azionari. Questa componente dell’esperimento risulta particolarmente rilevante poiché consente di valutare non soltanto la capacità dei modelli di anticipare il segno dei rendimenti, ma anche la loro abilità nel prevederne la magnitudine.</w:t>
      </w:r>
    </w:p>
    <w:p w14:paraId="1D4B5B06" w14:textId="77777777" w:rsidR="00C73779" w:rsidRPr="00C73779" w:rsidRDefault="00C73779" w:rsidP="00C73779">
      <w:pPr>
        <w:pStyle w:val="Didascalia"/>
        <w:keepNext/>
        <w:jc w:val="both"/>
        <w:rPr>
          <w:rFonts w:ascii="Times New Roman" w:hAnsi="Times New Roman" w:cs="Times New Roman"/>
          <w:i w:val="0"/>
          <w:iCs w:val="0"/>
          <w:color w:val="auto"/>
          <w:sz w:val="24"/>
          <w:szCs w:val="24"/>
        </w:rPr>
      </w:pPr>
      <w:r w:rsidRPr="00C73779">
        <w:rPr>
          <w:rFonts w:ascii="Times New Roman" w:hAnsi="Times New Roman" w:cs="Times New Roman"/>
          <w:i w:val="0"/>
          <w:iCs w:val="0"/>
          <w:color w:val="auto"/>
          <w:sz w:val="24"/>
          <w:szCs w:val="24"/>
        </w:rPr>
        <w:t>Per valutare la relazione tra rendimenti previsti e rendimenti effettivamente realizzati, è stata stimata una regressione lineare cross-sectional tra le previsioni generate dagli LLMs e i successivi rendimenti osservati sul mercato. La Tabella 7 riporta i risultati principali delle regressioni aggregate.</w:t>
      </w:r>
    </w:p>
    <w:p w14:paraId="418901A3" w14:textId="5067F431" w:rsidR="00C73779" w:rsidRPr="00216505" w:rsidRDefault="00C73779" w:rsidP="00216505">
      <w:pPr>
        <w:pStyle w:val="Didascalia"/>
        <w:keepNext/>
        <w:rPr>
          <w:color w:val="auto"/>
        </w:rPr>
      </w:pPr>
      <w:r w:rsidRPr="00C73779">
        <w:rPr>
          <w:color w:val="auto"/>
        </w:rPr>
        <w:t xml:space="preserve">Tabella </w:t>
      </w:r>
      <w:r w:rsidRPr="00C73779">
        <w:rPr>
          <w:color w:val="auto"/>
        </w:rPr>
        <w:fldChar w:fldCharType="begin"/>
      </w:r>
      <w:r w:rsidRPr="00C73779">
        <w:rPr>
          <w:color w:val="auto"/>
        </w:rPr>
        <w:instrText xml:space="preserve"> SEQ Tabella \* ARABIC </w:instrText>
      </w:r>
      <w:r w:rsidRPr="00C73779">
        <w:rPr>
          <w:color w:val="auto"/>
        </w:rPr>
        <w:fldChar w:fldCharType="separate"/>
      </w:r>
      <w:r w:rsidR="00D11ED9">
        <w:rPr>
          <w:noProof/>
          <w:color w:val="auto"/>
        </w:rPr>
        <w:t>7</w:t>
      </w:r>
      <w:r w:rsidRPr="00C73779">
        <w:rPr>
          <w:color w:val="auto"/>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320"/>
        <w:gridCol w:w="680"/>
        <w:gridCol w:w="855"/>
      </w:tblGrid>
      <w:tr w:rsidR="00C73779" w:rsidRPr="00C73779" w14:paraId="280B5F2A" w14:textId="77777777" w:rsidTr="00C73779">
        <w:trPr>
          <w:tblHeader/>
          <w:tblCellSpacing w:w="15" w:type="dxa"/>
        </w:trPr>
        <w:tc>
          <w:tcPr>
            <w:tcW w:w="0" w:type="auto"/>
            <w:tcBorders>
              <w:top w:val="single" w:sz="4" w:space="0" w:color="auto"/>
              <w:bottom w:val="single" w:sz="4" w:space="0" w:color="auto"/>
            </w:tcBorders>
            <w:vAlign w:val="center"/>
            <w:hideMark/>
          </w:tcPr>
          <w:p w14:paraId="4C929211"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Variabile</w:t>
            </w:r>
          </w:p>
        </w:tc>
        <w:tc>
          <w:tcPr>
            <w:tcW w:w="0" w:type="auto"/>
            <w:tcBorders>
              <w:top w:val="single" w:sz="4" w:space="0" w:color="auto"/>
              <w:bottom w:val="single" w:sz="4" w:space="0" w:color="auto"/>
            </w:tcBorders>
            <w:vAlign w:val="center"/>
            <w:hideMark/>
          </w:tcPr>
          <w:p w14:paraId="2DFA7D21"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Coefficiente</w:t>
            </w:r>
          </w:p>
        </w:tc>
        <w:tc>
          <w:tcPr>
            <w:tcW w:w="0" w:type="auto"/>
            <w:tcBorders>
              <w:top w:val="single" w:sz="4" w:space="0" w:color="auto"/>
              <w:bottom w:val="single" w:sz="4" w:space="0" w:color="auto"/>
            </w:tcBorders>
            <w:vAlign w:val="center"/>
            <w:hideMark/>
          </w:tcPr>
          <w:p w14:paraId="7D9F247D"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t-stat</w:t>
            </w:r>
          </w:p>
        </w:tc>
        <w:tc>
          <w:tcPr>
            <w:tcW w:w="0" w:type="auto"/>
            <w:tcBorders>
              <w:top w:val="single" w:sz="4" w:space="0" w:color="auto"/>
              <w:bottom w:val="single" w:sz="4" w:space="0" w:color="auto"/>
            </w:tcBorders>
            <w:vAlign w:val="center"/>
            <w:hideMark/>
          </w:tcPr>
          <w:p w14:paraId="5D47D6E1"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p-value</w:t>
            </w:r>
          </w:p>
        </w:tc>
      </w:tr>
      <w:tr w:rsidR="00C73779" w:rsidRPr="00C73779" w14:paraId="3BF3AD8F" w14:textId="77777777">
        <w:trPr>
          <w:tblCellSpacing w:w="15" w:type="dxa"/>
        </w:trPr>
        <w:tc>
          <w:tcPr>
            <w:tcW w:w="0" w:type="auto"/>
            <w:vAlign w:val="center"/>
            <w:hideMark/>
          </w:tcPr>
          <w:p w14:paraId="574E9789"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Predicted Return</w:t>
            </w:r>
          </w:p>
        </w:tc>
        <w:tc>
          <w:tcPr>
            <w:tcW w:w="0" w:type="auto"/>
            <w:vAlign w:val="center"/>
            <w:hideMark/>
          </w:tcPr>
          <w:p w14:paraId="7D185555"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-0.000696</w:t>
            </w:r>
          </w:p>
        </w:tc>
        <w:tc>
          <w:tcPr>
            <w:tcW w:w="0" w:type="auto"/>
            <w:vAlign w:val="center"/>
            <w:hideMark/>
          </w:tcPr>
          <w:p w14:paraId="298E93A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-0.939</w:t>
            </w:r>
          </w:p>
        </w:tc>
        <w:tc>
          <w:tcPr>
            <w:tcW w:w="0" w:type="auto"/>
            <w:vAlign w:val="center"/>
            <w:hideMark/>
          </w:tcPr>
          <w:p w14:paraId="5DC3CF47"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0.348</w:t>
            </w:r>
          </w:p>
        </w:tc>
      </w:tr>
      <w:tr w:rsidR="00C73779" w:rsidRPr="00C73779" w14:paraId="6B68BBD1" w14:textId="77777777">
        <w:trPr>
          <w:tblCellSpacing w:w="15" w:type="dxa"/>
        </w:trPr>
        <w:tc>
          <w:tcPr>
            <w:tcW w:w="0" w:type="auto"/>
            <w:vAlign w:val="center"/>
            <w:hideMark/>
          </w:tcPr>
          <w:p w14:paraId="0E562DD4"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Intercetta</w:t>
            </w:r>
          </w:p>
        </w:tc>
        <w:tc>
          <w:tcPr>
            <w:tcW w:w="0" w:type="auto"/>
            <w:vAlign w:val="center"/>
            <w:hideMark/>
          </w:tcPr>
          <w:p w14:paraId="1B28E08E" w14:textId="6291EA9C"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0.0031</w:t>
            </w:r>
            <w:r w:rsidR="00212089">
              <w:rPr>
                <w:rFonts w:ascii="Times New Roman" w:eastAsia="Times New Roman" w:hAnsi="Times New Roman" w:cs="Times New Roman"/>
                <w:kern w:val="0"/>
                <w:sz w:val="24"/>
                <w:szCs w:val="24"/>
                <w:lang w:eastAsia="it-IT"/>
                <w14:ligatures w14:val="none"/>
              </w:rPr>
              <w:t>794</w:t>
            </w:r>
          </w:p>
        </w:tc>
        <w:tc>
          <w:tcPr>
            <w:tcW w:w="0" w:type="auto"/>
            <w:vAlign w:val="center"/>
            <w:hideMark/>
          </w:tcPr>
          <w:p w14:paraId="0A3B6674"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2.792</w:t>
            </w:r>
          </w:p>
        </w:tc>
        <w:tc>
          <w:tcPr>
            <w:tcW w:w="0" w:type="auto"/>
            <w:vAlign w:val="center"/>
            <w:hideMark/>
          </w:tcPr>
          <w:p w14:paraId="23D632D4"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0.005**</w:t>
            </w:r>
          </w:p>
        </w:tc>
      </w:tr>
      <w:tr w:rsidR="00C73779" w:rsidRPr="00C73779" w14:paraId="2B374208" w14:textId="77777777" w:rsidTr="007D19CB">
        <w:trPr>
          <w:tblCellSpacing w:w="15" w:type="dxa"/>
        </w:trPr>
        <w:tc>
          <w:tcPr>
            <w:tcW w:w="0" w:type="auto"/>
            <w:tcBorders>
              <w:bottom w:val="single" w:sz="4" w:space="0" w:color="auto"/>
            </w:tcBorders>
            <w:vAlign w:val="center"/>
            <w:hideMark/>
          </w:tcPr>
          <w:p w14:paraId="2BFA21BC"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R²</w:t>
            </w:r>
          </w:p>
        </w:tc>
        <w:tc>
          <w:tcPr>
            <w:tcW w:w="0" w:type="auto"/>
            <w:tcBorders>
              <w:bottom w:val="single" w:sz="4" w:space="0" w:color="auto"/>
            </w:tcBorders>
            <w:vAlign w:val="center"/>
            <w:hideMark/>
          </w:tcPr>
          <w:p w14:paraId="35ECF6D9" w14:textId="5BDE5F65" w:rsidR="00C73779" w:rsidRPr="00C73779" w:rsidRDefault="00212089" w:rsidP="00C73779">
            <w:pPr>
              <w:spacing w:after="0" w:line="240" w:lineRule="auto"/>
              <w:rPr>
                <w:rFonts w:ascii="Times New Roman" w:eastAsia="Times New Roman" w:hAnsi="Times New Roman" w:cs="Times New Roman"/>
                <w:kern w:val="0"/>
                <w:sz w:val="24"/>
                <w:szCs w:val="24"/>
                <w:lang w:eastAsia="it-IT"/>
                <w14:ligatures w14:val="none"/>
              </w:rPr>
            </w:pPr>
            <w:r w:rsidRPr="00534580">
              <w:rPr>
                <w:rFonts w:ascii="Times New Roman" w:hAnsi="Times New Roman" w:cs="Times New Roman"/>
                <w:sz w:val="24"/>
                <w:szCs w:val="24"/>
                <w:lang w:val="en-GB"/>
              </w:rPr>
              <w:t xml:space="preserve">0.001295852 </w:t>
            </w:r>
          </w:p>
        </w:tc>
        <w:tc>
          <w:tcPr>
            <w:tcW w:w="0" w:type="auto"/>
            <w:tcBorders>
              <w:bottom w:val="single" w:sz="4" w:space="0" w:color="auto"/>
            </w:tcBorders>
            <w:vAlign w:val="center"/>
            <w:hideMark/>
          </w:tcPr>
          <w:p w14:paraId="5EC6BC98"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p>
        </w:tc>
        <w:tc>
          <w:tcPr>
            <w:tcW w:w="0" w:type="auto"/>
            <w:tcBorders>
              <w:bottom w:val="single" w:sz="4" w:space="0" w:color="auto"/>
            </w:tcBorders>
            <w:vAlign w:val="center"/>
            <w:hideMark/>
          </w:tcPr>
          <w:p w14:paraId="093E044A" w14:textId="77777777" w:rsidR="00C73779" w:rsidRPr="00C73779" w:rsidRDefault="00C73779" w:rsidP="00C73779">
            <w:pPr>
              <w:spacing w:after="0" w:line="240" w:lineRule="auto"/>
              <w:rPr>
                <w:rFonts w:ascii="Times New Roman" w:eastAsia="Times New Roman" w:hAnsi="Times New Roman" w:cs="Times New Roman"/>
                <w:kern w:val="0"/>
                <w:sz w:val="20"/>
                <w:szCs w:val="20"/>
                <w:lang w:eastAsia="it-IT"/>
                <w14:ligatures w14:val="none"/>
              </w:rPr>
            </w:pPr>
          </w:p>
        </w:tc>
      </w:tr>
    </w:tbl>
    <w:p w14:paraId="637584E2" w14:textId="77777777" w:rsidR="00C73779" w:rsidRDefault="006E079F" w:rsidP="006E079F">
      <w:pPr>
        <w:jc w:val="both"/>
        <w:rPr>
          <w:rFonts w:ascii="Times New Roman" w:hAnsi="Times New Roman" w:cs="Times New Roman"/>
          <w:i/>
          <w:iCs/>
          <w:sz w:val="24"/>
          <w:szCs w:val="24"/>
        </w:rPr>
      </w:pPr>
      <w:r w:rsidRPr="006E079F">
        <w:rPr>
          <w:rFonts w:ascii="Times New Roman" w:hAnsi="Times New Roman" w:cs="Times New Roman"/>
          <w:i/>
          <w:iCs/>
          <w:sz w:val="24"/>
          <w:szCs w:val="24"/>
        </w:rPr>
        <w:t xml:space="preserve">Nota. </w:t>
      </w:r>
      <w:r w:rsidR="00C73779" w:rsidRPr="00C73779">
        <w:rPr>
          <w:rFonts w:ascii="Times New Roman" w:hAnsi="Times New Roman" w:cs="Times New Roman"/>
          <w:i/>
          <w:iCs/>
          <w:sz w:val="24"/>
          <w:szCs w:val="24"/>
        </w:rPr>
        <w:t xml:space="preserve">La variabile dipendente è rappresentata dal rendimento giornaliero realizzato, mentre la variabile indipendente corrisponde al rendimento previsto dal modello linguistico. Significatività: ** p &lt; 0.01. </w:t>
      </w:r>
    </w:p>
    <w:p w14:paraId="1F6F6847"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I risultati non evidenziano una relazione statisticamente significativa tra le previsioni generate dagli LLMs e i successivi rendimenti realizzati sul mercato. Il coefficiente associato al rendimento previsto (Predicted Return) assume infatti un valore negativo pari a -0.00069, ma risulta statisticamente non significativo, con un p-value pari a 0.348. Tale evidenza suggerisce l’assenza di una relazione lineare stabile tra l’intensità numerica delle previsioni formulate dai modelli linguistici e i movimenti di prezzo effettivamente osservati nel giorno successivo.</w:t>
      </w:r>
    </w:p>
    <w:p w14:paraId="100030F4"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Dal punto di vista economico, questo risultato indica che le stime puntuali generate dagli LLMs non sembrano incorporare contenuto informativo quantitativamente sfruttabile nel brevissimo termine. Sebbene i modelli siano spesso in grado di produrre output coerenti dal punto di vista narrativo e semanticamente plausibili rispetto al contesto di mercato prevalente, tale capacità non si traduce in una robusta abilità di previsione della magnitudine dei rendimenti futuri.</w:t>
      </w:r>
    </w:p>
    <w:p w14:paraId="7262CD37" w14:textId="0AEBCE1C" w:rsidR="00C73779" w:rsidRPr="00C73779" w:rsidRDefault="00182304" w:rsidP="00C73779">
      <w:pPr>
        <w:jc w:val="both"/>
        <w:rPr>
          <w:rFonts w:ascii="Times New Roman" w:hAnsi="Times New Roman" w:cs="Times New Roman"/>
          <w:sz w:val="24"/>
          <w:szCs w:val="24"/>
        </w:rPr>
      </w:pPr>
      <w:r>
        <w:rPr>
          <w:rFonts w:ascii="Times New Roman" w:hAnsi="Times New Roman" w:cs="Times New Roman"/>
          <w:sz w:val="24"/>
          <w:szCs w:val="24"/>
        </w:rPr>
        <w:t xml:space="preserve">Come si evince dai risultati ottenuti, </w:t>
      </w:r>
      <w:r w:rsidR="00C73779" w:rsidRPr="00C73779">
        <w:rPr>
          <w:rFonts w:ascii="Times New Roman" w:hAnsi="Times New Roman" w:cs="Times New Roman"/>
          <w:sz w:val="24"/>
          <w:szCs w:val="24"/>
        </w:rPr>
        <w:t>l’intercetta della regressione</w:t>
      </w:r>
      <w:r>
        <w:rPr>
          <w:rFonts w:ascii="Times New Roman" w:hAnsi="Times New Roman" w:cs="Times New Roman"/>
          <w:sz w:val="24"/>
          <w:szCs w:val="24"/>
        </w:rPr>
        <w:t xml:space="preserve"> </w:t>
      </w:r>
      <w:r w:rsidR="00C73779" w:rsidRPr="00C73779">
        <w:rPr>
          <w:rFonts w:ascii="Times New Roman" w:hAnsi="Times New Roman" w:cs="Times New Roman"/>
          <w:sz w:val="24"/>
          <w:szCs w:val="24"/>
        </w:rPr>
        <w:t>risulta positiva e statisticamente significativa. In termini finanziari, questo risultato suggerisce la presenza di una moderata componente positiva media dei rendimenti nel periodo campionario, che i modelli linguistici non sembrano incorporare pienamente nelle proprie stime numeriche. In altre parole, mentre il mercato ha mostrato nel complesso una lieve tendenza positiva durante il periodo osservato, le previsioni formulate dagli LLMs non appaiono in grado di riflettere accuratamente tale dinamica all’interno delle proprie valutazioni puntuali.</w:t>
      </w:r>
    </w:p>
    <w:p w14:paraId="5367A93F"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 xml:space="preserve">Particolarmente rilevante risulta inoltre il valore estremamente contenuto dell’R², pari a 0.0013. Tale evidenza implica che meno dello 0.2% della variabilità dei rendimenti realizzati venga spiegata dalle previsioni generate dai modelli linguistici. Questo risultato conferma ulteriormente la limitata capacità esplicativa delle stime numeriche prodotte dagli LLMs e suggerisce che la componente </w:t>
      </w:r>
      <w:r w:rsidRPr="00C73779">
        <w:rPr>
          <w:rFonts w:ascii="Times New Roman" w:hAnsi="Times New Roman" w:cs="Times New Roman"/>
          <w:sz w:val="24"/>
          <w:szCs w:val="24"/>
        </w:rPr>
        <w:lastRenderedPageBreak/>
        <w:t>quantitativa delle previsioni risulti sostanzialmente assimilabile a rumore statistico rispetto ai successivi movimenti di mercato.</w:t>
      </w:r>
    </w:p>
    <w:p w14:paraId="4AD4AFE0" w14:textId="134EADB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I risultati, sintetizzati nella Tabella 7-bis, mostrano una moderata eterogeneità tra le diverse architetture linguistiche analizzate.</w:t>
      </w:r>
    </w:p>
    <w:p w14:paraId="7ED87FC7" w14:textId="3F0FDF9B" w:rsidR="008A0FA0" w:rsidRDefault="008A0FA0" w:rsidP="00C73779">
      <w:pPr>
        <w:tabs>
          <w:tab w:val="left" w:pos="8925"/>
        </w:tabs>
        <w:jc w:val="both"/>
        <w:rPr>
          <w:rFonts w:ascii="Times New Roman" w:hAnsi="Times New Roman" w:cs="Times New Roman"/>
          <w:sz w:val="24"/>
          <w:szCs w:val="24"/>
        </w:rPr>
      </w:pPr>
      <w:r w:rsidRPr="00C73779">
        <w:rPr>
          <w:rFonts w:ascii="Times New Roman" w:hAnsi="Times New Roman" w:cs="Times New Roman"/>
          <w:sz w:val="24"/>
          <w:szCs w:val="24"/>
        </w:rPr>
        <w:t>Tabella 7-bis</w:t>
      </w:r>
      <w:r w:rsidR="00C73779">
        <w:rPr>
          <w:rFonts w:ascii="Times New Roman" w:hAnsi="Times New Roman" w:cs="Times New Roman"/>
          <w:sz w:val="24"/>
          <w:szCs w:val="24"/>
        </w:rPr>
        <w:t>.</w:t>
      </w:r>
      <w:r w:rsidRPr="008A0FA0">
        <w:rPr>
          <w:rFonts w:ascii="Times New Roman" w:hAnsi="Times New Roman" w:cs="Times New Roman"/>
          <w:sz w:val="24"/>
          <w:szCs w:val="24"/>
        </w:rPr>
        <w:t xml:space="preserve"> Risultati delle regressioni lineari cross-sectional disaggregate per modello</w:t>
      </w:r>
      <w:r w:rsidR="00216505">
        <w:rPr>
          <w:rFonts w:ascii="Times New Roman" w:hAnsi="Times New Roman" w:cs="Times New Roman"/>
          <w:sz w:val="24"/>
          <w:szCs w:val="24"/>
        </w:rPr>
        <w:t>.</w:t>
      </w:r>
      <w:r w:rsidR="00C73779">
        <w:rPr>
          <w:rFonts w:ascii="Times New Roman" w:hAnsi="Times New Roman" w:cs="Times New Roman"/>
          <w:sz w:val="24"/>
          <w:szCs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966"/>
        <w:gridCol w:w="1680"/>
        <w:gridCol w:w="1200"/>
        <w:gridCol w:w="1680"/>
        <w:gridCol w:w="966"/>
        <w:gridCol w:w="1695"/>
      </w:tblGrid>
      <w:tr w:rsidR="00C73779" w:rsidRPr="00C73779" w14:paraId="00B960F8" w14:textId="77777777" w:rsidTr="00C73779">
        <w:trPr>
          <w:tblHeader/>
          <w:tblCellSpacing w:w="15" w:type="dxa"/>
        </w:trPr>
        <w:tc>
          <w:tcPr>
            <w:tcW w:w="0" w:type="auto"/>
            <w:tcBorders>
              <w:top w:val="single" w:sz="4" w:space="0" w:color="auto"/>
              <w:bottom w:val="single" w:sz="4" w:space="0" w:color="auto"/>
            </w:tcBorders>
            <w:vAlign w:val="center"/>
            <w:hideMark/>
          </w:tcPr>
          <w:p w14:paraId="6F3E4D29"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p>
        </w:tc>
        <w:tc>
          <w:tcPr>
            <w:tcW w:w="0" w:type="auto"/>
            <w:tcBorders>
              <w:top w:val="single" w:sz="4" w:space="0" w:color="auto"/>
              <w:bottom w:val="single" w:sz="4" w:space="0" w:color="auto"/>
            </w:tcBorders>
            <w:vAlign w:val="center"/>
            <w:hideMark/>
          </w:tcPr>
          <w:p w14:paraId="4423096B"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CGL</w:t>
            </w:r>
          </w:p>
        </w:tc>
        <w:tc>
          <w:tcPr>
            <w:tcW w:w="0" w:type="auto"/>
            <w:tcBorders>
              <w:top w:val="single" w:sz="4" w:space="0" w:color="auto"/>
              <w:bottom w:val="single" w:sz="4" w:space="0" w:color="auto"/>
            </w:tcBorders>
            <w:vAlign w:val="center"/>
            <w:hideMark/>
          </w:tcPr>
          <w:p w14:paraId="0F2D1A87"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CGL</w:t>
            </w:r>
          </w:p>
        </w:tc>
        <w:tc>
          <w:tcPr>
            <w:tcW w:w="0" w:type="auto"/>
            <w:tcBorders>
              <w:top w:val="single" w:sz="4" w:space="0" w:color="auto"/>
              <w:bottom w:val="single" w:sz="4" w:space="0" w:color="auto"/>
            </w:tcBorders>
            <w:vAlign w:val="center"/>
            <w:hideMark/>
          </w:tcPr>
          <w:p w14:paraId="505F598D"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CGP</w:t>
            </w:r>
          </w:p>
        </w:tc>
        <w:tc>
          <w:tcPr>
            <w:tcW w:w="0" w:type="auto"/>
            <w:tcBorders>
              <w:top w:val="single" w:sz="4" w:space="0" w:color="auto"/>
              <w:bottom w:val="single" w:sz="4" w:space="0" w:color="auto"/>
            </w:tcBorders>
            <w:vAlign w:val="center"/>
            <w:hideMark/>
          </w:tcPr>
          <w:p w14:paraId="74FB4C03"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CGP</w:t>
            </w:r>
          </w:p>
        </w:tc>
        <w:tc>
          <w:tcPr>
            <w:tcW w:w="0" w:type="auto"/>
            <w:tcBorders>
              <w:top w:val="single" w:sz="4" w:space="0" w:color="auto"/>
              <w:bottom w:val="single" w:sz="4" w:space="0" w:color="auto"/>
            </w:tcBorders>
            <w:vAlign w:val="center"/>
            <w:hideMark/>
          </w:tcPr>
          <w:p w14:paraId="67A00E77"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G</w:t>
            </w:r>
          </w:p>
        </w:tc>
        <w:tc>
          <w:tcPr>
            <w:tcW w:w="0" w:type="auto"/>
            <w:tcBorders>
              <w:top w:val="single" w:sz="4" w:space="0" w:color="auto"/>
              <w:bottom w:val="single" w:sz="4" w:space="0" w:color="auto"/>
            </w:tcBorders>
            <w:vAlign w:val="center"/>
            <w:hideMark/>
          </w:tcPr>
          <w:p w14:paraId="0257E358"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r w:rsidRPr="00C73779">
              <w:rPr>
                <w:rFonts w:ascii="Times New Roman" w:eastAsia="Times New Roman" w:hAnsi="Times New Roman" w:cs="Times New Roman"/>
                <w:b/>
                <w:bCs/>
                <w:kern w:val="0"/>
                <w:sz w:val="24"/>
                <w:szCs w:val="24"/>
                <w:lang w:eastAsia="it-IT"/>
                <w14:ligatures w14:val="none"/>
              </w:rPr>
              <w:t>G</w:t>
            </w:r>
          </w:p>
        </w:tc>
      </w:tr>
      <w:tr w:rsidR="00C73779" w:rsidRPr="00C73779" w14:paraId="60CE93DC" w14:textId="77777777">
        <w:trPr>
          <w:tblCellSpacing w:w="15" w:type="dxa"/>
        </w:trPr>
        <w:tc>
          <w:tcPr>
            <w:tcW w:w="0" w:type="auto"/>
            <w:vAlign w:val="center"/>
            <w:hideMark/>
          </w:tcPr>
          <w:p w14:paraId="62C9ADD6" w14:textId="77777777" w:rsidR="00C73779" w:rsidRPr="00C73779" w:rsidRDefault="00C73779" w:rsidP="00C73779">
            <w:pPr>
              <w:spacing w:after="0" w:line="240" w:lineRule="auto"/>
              <w:rPr>
                <w:rFonts w:ascii="Times New Roman" w:eastAsia="Times New Roman" w:hAnsi="Times New Roman" w:cs="Times New Roman"/>
                <w:b/>
                <w:bCs/>
                <w:kern w:val="0"/>
                <w:sz w:val="24"/>
                <w:szCs w:val="24"/>
                <w:lang w:eastAsia="it-IT"/>
                <w14:ligatures w14:val="none"/>
              </w:rPr>
            </w:pPr>
          </w:p>
        </w:tc>
        <w:tc>
          <w:tcPr>
            <w:tcW w:w="0" w:type="auto"/>
            <w:vAlign w:val="center"/>
            <w:hideMark/>
          </w:tcPr>
          <w:p w14:paraId="6E1ECDDD"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Intercetta</w:t>
            </w:r>
          </w:p>
        </w:tc>
        <w:tc>
          <w:tcPr>
            <w:tcW w:w="0" w:type="auto"/>
            <w:vAlign w:val="center"/>
            <w:hideMark/>
          </w:tcPr>
          <w:p w14:paraId="2ECC904C"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Predicted Return</w:t>
            </w:r>
          </w:p>
        </w:tc>
        <w:tc>
          <w:tcPr>
            <w:tcW w:w="0" w:type="auto"/>
            <w:vAlign w:val="center"/>
            <w:hideMark/>
          </w:tcPr>
          <w:p w14:paraId="78C87492"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Intercetta</w:t>
            </w:r>
          </w:p>
        </w:tc>
        <w:tc>
          <w:tcPr>
            <w:tcW w:w="0" w:type="auto"/>
            <w:vAlign w:val="center"/>
            <w:hideMark/>
          </w:tcPr>
          <w:p w14:paraId="3D2CF163"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Predicted Return</w:t>
            </w:r>
          </w:p>
        </w:tc>
        <w:tc>
          <w:tcPr>
            <w:tcW w:w="0" w:type="auto"/>
            <w:vAlign w:val="center"/>
            <w:hideMark/>
          </w:tcPr>
          <w:p w14:paraId="00352F9F"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Intercetta</w:t>
            </w:r>
          </w:p>
        </w:tc>
        <w:tc>
          <w:tcPr>
            <w:tcW w:w="0" w:type="auto"/>
            <w:vAlign w:val="center"/>
            <w:hideMark/>
          </w:tcPr>
          <w:p w14:paraId="13709346"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Predicted Return</w:t>
            </w:r>
          </w:p>
        </w:tc>
      </w:tr>
      <w:tr w:rsidR="00C73779" w:rsidRPr="00C73779" w14:paraId="629A419B" w14:textId="77777777">
        <w:trPr>
          <w:tblCellSpacing w:w="15" w:type="dxa"/>
        </w:trPr>
        <w:tc>
          <w:tcPr>
            <w:tcW w:w="0" w:type="auto"/>
            <w:vAlign w:val="center"/>
            <w:hideMark/>
          </w:tcPr>
          <w:p w14:paraId="700B464D"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Estimate</w:t>
            </w:r>
          </w:p>
        </w:tc>
        <w:tc>
          <w:tcPr>
            <w:tcW w:w="0" w:type="auto"/>
            <w:vAlign w:val="center"/>
            <w:hideMark/>
          </w:tcPr>
          <w:p w14:paraId="7B94F327"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0.00182</w:t>
            </w:r>
          </w:p>
        </w:tc>
        <w:tc>
          <w:tcPr>
            <w:tcW w:w="0" w:type="auto"/>
            <w:vAlign w:val="center"/>
            <w:hideMark/>
          </w:tcPr>
          <w:p w14:paraId="1C4110B0"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-0.00212</w:t>
            </w:r>
          </w:p>
        </w:tc>
        <w:tc>
          <w:tcPr>
            <w:tcW w:w="0" w:type="auto"/>
            <w:vAlign w:val="center"/>
            <w:hideMark/>
          </w:tcPr>
          <w:p w14:paraId="0729EA9C"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0.00634***</w:t>
            </w:r>
          </w:p>
        </w:tc>
        <w:tc>
          <w:tcPr>
            <w:tcW w:w="0" w:type="auto"/>
            <w:vAlign w:val="center"/>
            <w:hideMark/>
          </w:tcPr>
          <w:p w14:paraId="6E1A1EC3"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-0.00612*</w:t>
            </w:r>
          </w:p>
        </w:tc>
        <w:tc>
          <w:tcPr>
            <w:tcW w:w="0" w:type="auto"/>
            <w:vAlign w:val="center"/>
            <w:hideMark/>
          </w:tcPr>
          <w:p w14:paraId="7B1B129A"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0.00179</w:t>
            </w:r>
          </w:p>
        </w:tc>
        <w:tc>
          <w:tcPr>
            <w:tcW w:w="0" w:type="auto"/>
            <w:vAlign w:val="center"/>
            <w:hideMark/>
          </w:tcPr>
          <w:p w14:paraId="58A59036"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-0.000213</w:t>
            </w:r>
          </w:p>
        </w:tc>
      </w:tr>
      <w:tr w:rsidR="00C73779" w:rsidRPr="00C73779" w14:paraId="35AF729A" w14:textId="77777777">
        <w:trPr>
          <w:tblCellSpacing w:w="15" w:type="dxa"/>
        </w:trPr>
        <w:tc>
          <w:tcPr>
            <w:tcW w:w="0" w:type="auto"/>
            <w:vAlign w:val="center"/>
            <w:hideMark/>
          </w:tcPr>
          <w:p w14:paraId="52D3B6E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Std. Error</w:t>
            </w:r>
          </w:p>
        </w:tc>
        <w:tc>
          <w:tcPr>
            <w:tcW w:w="0" w:type="auto"/>
            <w:vAlign w:val="center"/>
            <w:hideMark/>
          </w:tcPr>
          <w:p w14:paraId="1F1D2685"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0.00207</w:t>
            </w:r>
          </w:p>
        </w:tc>
        <w:tc>
          <w:tcPr>
            <w:tcW w:w="0" w:type="auto"/>
            <w:vAlign w:val="center"/>
            <w:hideMark/>
          </w:tcPr>
          <w:p w14:paraId="3C5B8B4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0.00261</w:t>
            </w:r>
          </w:p>
        </w:tc>
        <w:tc>
          <w:tcPr>
            <w:tcW w:w="0" w:type="auto"/>
            <w:vAlign w:val="center"/>
            <w:hideMark/>
          </w:tcPr>
          <w:p w14:paraId="1EFB80F5"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0.00207</w:t>
            </w:r>
          </w:p>
        </w:tc>
        <w:tc>
          <w:tcPr>
            <w:tcW w:w="0" w:type="auto"/>
            <w:vAlign w:val="center"/>
            <w:hideMark/>
          </w:tcPr>
          <w:p w14:paraId="318F0023"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0.00360</w:t>
            </w:r>
          </w:p>
        </w:tc>
        <w:tc>
          <w:tcPr>
            <w:tcW w:w="0" w:type="auto"/>
            <w:vAlign w:val="center"/>
            <w:hideMark/>
          </w:tcPr>
          <w:p w14:paraId="5604FCF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0.00178</w:t>
            </w:r>
          </w:p>
        </w:tc>
        <w:tc>
          <w:tcPr>
            <w:tcW w:w="0" w:type="auto"/>
            <w:vAlign w:val="center"/>
            <w:hideMark/>
          </w:tcPr>
          <w:p w14:paraId="186A00DA"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0.000714</w:t>
            </w:r>
          </w:p>
        </w:tc>
      </w:tr>
      <w:tr w:rsidR="00C73779" w:rsidRPr="00C73779" w14:paraId="378934D2" w14:textId="77777777">
        <w:trPr>
          <w:tblCellSpacing w:w="15" w:type="dxa"/>
        </w:trPr>
        <w:tc>
          <w:tcPr>
            <w:tcW w:w="0" w:type="auto"/>
            <w:vAlign w:val="center"/>
            <w:hideMark/>
          </w:tcPr>
          <w:p w14:paraId="26CC5BC2"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t-stat</w:t>
            </w:r>
          </w:p>
        </w:tc>
        <w:tc>
          <w:tcPr>
            <w:tcW w:w="0" w:type="auto"/>
            <w:vAlign w:val="center"/>
            <w:hideMark/>
          </w:tcPr>
          <w:p w14:paraId="08E8E4D7"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0.883</w:t>
            </w:r>
          </w:p>
        </w:tc>
        <w:tc>
          <w:tcPr>
            <w:tcW w:w="0" w:type="auto"/>
            <w:vAlign w:val="center"/>
            <w:hideMark/>
          </w:tcPr>
          <w:p w14:paraId="699FCAE5"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-0.812</w:t>
            </w:r>
          </w:p>
        </w:tc>
        <w:tc>
          <w:tcPr>
            <w:tcW w:w="0" w:type="auto"/>
            <w:vAlign w:val="center"/>
            <w:hideMark/>
          </w:tcPr>
          <w:p w14:paraId="32379546"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3.06</w:t>
            </w:r>
          </w:p>
        </w:tc>
        <w:tc>
          <w:tcPr>
            <w:tcW w:w="0" w:type="auto"/>
            <w:vAlign w:val="center"/>
            <w:hideMark/>
          </w:tcPr>
          <w:p w14:paraId="19666F5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-1.70</w:t>
            </w:r>
          </w:p>
        </w:tc>
        <w:tc>
          <w:tcPr>
            <w:tcW w:w="0" w:type="auto"/>
            <w:vAlign w:val="center"/>
            <w:hideMark/>
          </w:tcPr>
          <w:p w14:paraId="09CAB022"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1.01</w:t>
            </w:r>
          </w:p>
        </w:tc>
        <w:tc>
          <w:tcPr>
            <w:tcW w:w="0" w:type="auto"/>
            <w:vAlign w:val="center"/>
            <w:hideMark/>
          </w:tcPr>
          <w:p w14:paraId="3FD3B310"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-0.299</w:t>
            </w:r>
          </w:p>
        </w:tc>
      </w:tr>
      <w:tr w:rsidR="00C73779" w:rsidRPr="00C73779" w14:paraId="51AE77B8" w14:textId="77777777" w:rsidTr="007D19CB">
        <w:trPr>
          <w:tblCellSpacing w:w="15" w:type="dxa"/>
        </w:trPr>
        <w:tc>
          <w:tcPr>
            <w:tcW w:w="0" w:type="auto"/>
            <w:tcBorders>
              <w:bottom w:val="single" w:sz="4" w:space="0" w:color="auto"/>
            </w:tcBorders>
            <w:vAlign w:val="center"/>
            <w:hideMark/>
          </w:tcPr>
          <w:p w14:paraId="25BC251F"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p-value</w:t>
            </w:r>
          </w:p>
        </w:tc>
        <w:tc>
          <w:tcPr>
            <w:tcW w:w="0" w:type="auto"/>
            <w:tcBorders>
              <w:bottom w:val="single" w:sz="4" w:space="0" w:color="auto"/>
            </w:tcBorders>
            <w:vAlign w:val="center"/>
            <w:hideMark/>
          </w:tcPr>
          <w:p w14:paraId="3DE8DF04"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0.378</w:t>
            </w:r>
          </w:p>
        </w:tc>
        <w:tc>
          <w:tcPr>
            <w:tcW w:w="0" w:type="auto"/>
            <w:tcBorders>
              <w:bottom w:val="single" w:sz="4" w:space="0" w:color="auto"/>
            </w:tcBorders>
            <w:vAlign w:val="center"/>
            <w:hideMark/>
          </w:tcPr>
          <w:p w14:paraId="29C0849B"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0.418</w:t>
            </w:r>
          </w:p>
        </w:tc>
        <w:tc>
          <w:tcPr>
            <w:tcW w:w="0" w:type="auto"/>
            <w:tcBorders>
              <w:bottom w:val="single" w:sz="4" w:space="0" w:color="auto"/>
            </w:tcBorders>
            <w:vAlign w:val="center"/>
            <w:hideMark/>
          </w:tcPr>
          <w:p w14:paraId="59ABF437"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0.00250</w:t>
            </w:r>
          </w:p>
        </w:tc>
        <w:tc>
          <w:tcPr>
            <w:tcW w:w="0" w:type="auto"/>
            <w:tcBorders>
              <w:bottom w:val="single" w:sz="4" w:space="0" w:color="auto"/>
            </w:tcBorders>
            <w:vAlign w:val="center"/>
            <w:hideMark/>
          </w:tcPr>
          <w:p w14:paraId="34C4CDE1"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0.0906</w:t>
            </w:r>
          </w:p>
        </w:tc>
        <w:tc>
          <w:tcPr>
            <w:tcW w:w="0" w:type="auto"/>
            <w:tcBorders>
              <w:bottom w:val="single" w:sz="4" w:space="0" w:color="auto"/>
            </w:tcBorders>
            <w:vAlign w:val="center"/>
            <w:hideMark/>
          </w:tcPr>
          <w:p w14:paraId="7D1AF9CA"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0.314</w:t>
            </w:r>
          </w:p>
        </w:tc>
        <w:tc>
          <w:tcPr>
            <w:tcW w:w="0" w:type="auto"/>
            <w:tcBorders>
              <w:bottom w:val="single" w:sz="4" w:space="0" w:color="auto"/>
            </w:tcBorders>
            <w:vAlign w:val="center"/>
            <w:hideMark/>
          </w:tcPr>
          <w:p w14:paraId="0EEDBE69" w14:textId="77777777" w:rsidR="00C73779" w:rsidRPr="00C73779" w:rsidRDefault="00C73779" w:rsidP="00C73779">
            <w:pPr>
              <w:spacing w:after="0" w:line="240" w:lineRule="auto"/>
              <w:rPr>
                <w:rFonts w:ascii="Times New Roman" w:eastAsia="Times New Roman" w:hAnsi="Times New Roman" w:cs="Times New Roman"/>
                <w:kern w:val="0"/>
                <w:sz w:val="24"/>
                <w:szCs w:val="24"/>
                <w:lang w:eastAsia="it-IT"/>
                <w14:ligatures w14:val="none"/>
              </w:rPr>
            </w:pPr>
            <w:r w:rsidRPr="00C73779">
              <w:rPr>
                <w:rFonts w:ascii="Times New Roman" w:eastAsia="Times New Roman" w:hAnsi="Times New Roman" w:cs="Times New Roman"/>
                <w:kern w:val="0"/>
                <w:sz w:val="24"/>
                <w:szCs w:val="24"/>
                <w:lang w:eastAsia="it-IT"/>
                <w14:ligatures w14:val="none"/>
              </w:rPr>
              <w:t>0.766</w:t>
            </w:r>
          </w:p>
        </w:tc>
      </w:tr>
    </w:tbl>
    <w:p w14:paraId="3977F5F4" w14:textId="723E4A14" w:rsidR="008A0FA0" w:rsidRPr="006E079F" w:rsidRDefault="008A0FA0" w:rsidP="006E079F">
      <w:pPr>
        <w:jc w:val="both"/>
        <w:rPr>
          <w:rFonts w:ascii="Times New Roman" w:hAnsi="Times New Roman" w:cs="Times New Roman"/>
          <w:sz w:val="24"/>
          <w:szCs w:val="24"/>
        </w:rPr>
      </w:pPr>
      <w:r w:rsidRPr="008A0FA0">
        <w:rPr>
          <w:rFonts w:ascii="Times New Roman" w:hAnsi="Times New Roman" w:cs="Times New Roman"/>
          <w:i/>
          <w:iCs/>
          <w:sz w:val="24"/>
          <w:szCs w:val="24"/>
        </w:rPr>
        <w:t>Nota.</w:t>
      </w:r>
      <w:r w:rsidRPr="008A0FA0">
        <w:rPr>
          <w:rFonts w:ascii="Times New Roman" w:hAnsi="Times New Roman" w:cs="Times New Roman"/>
          <w:sz w:val="24"/>
          <w:szCs w:val="24"/>
        </w:rPr>
        <w:t xml:space="preserve"> </w:t>
      </w:r>
      <w:r w:rsidR="00C73779" w:rsidRPr="00C73779">
        <w:rPr>
          <w:rFonts w:ascii="Times New Roman" w:hAnsi="Times New Roman" w:cs="Times New Roman"/>
          <w:sz w:val="24"/>
          <w:szCs w:val="24"/>
        </w:rPr>
        <w:t>La variabile dipendente è rappresentata dal rendimento giornaliero realizzato, mentre la variabile indipendente corrisponde al rendimento previsto dal rispettivo modello linguistico. Le t-statistics sono riportate in forma esplicita. I livelli di significatività statistica sono indicati come segue: * p &lt; 0.10; *** p &lt; 0.01.</w:t>
      </w:r>
    </w:p>
    <w:p w14:paraId="35BDE959"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In particolare, ChatGPT versione non loggata (CGP) evidenzia un coefficiente negativo marginalmente significativo, suggerendo una debole tendenza delle previsioni numericamente più aggressive ad associarsi a rendimenti successivamente inferiori rispetto alle attese. Tale evidenza potrebbe riflettere una forma di sovrastima implicita dei movimenti attesi o una tendenza del modello a enfatizzare dinamiche di mercato recenti senza tuttavia riuscire a tradurle in accurate previsioni quantitative.</w:t>
      </w:r>
    </w:p>
    <w:p w14:paraId="51ADD339"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Diversamente, ChatGPT versione loggata (CGL) e Gemini Pro (G) non mostrano alcuna relazione statisticamente significativa tra rendimenti previsti e rendimenti realizzati. Nel caso specifico di Gemini Pro, il coefficiente associato al Predicted Return risulta prossimo allo zero, suggerendo l’assenza di una relazione sistematica tra output numerici prodotti dal modello e successivi movimenti osservati sul mercato.</w:t>
      </w:r>
    </w:p>
    <w:p w14:paraId="148D0E06" w14:textId="77777777" w:rsidR="00C73779" w:rsidRPr="00C73779" w:rsidRDefault="00C73779" w:rsidP="00C73779">
      <w:pPr>
        <w:jc w:val="both"/>
        <w:rPr>
          <w:rFonts w:ascii="Times New Roman" w:hAnsi="Times New Roman" w:cs="Times New Roman"/>
          <w:sz w:val="24"/>
          <w:szCs w:val="24"/>
        </w:rPr>
      </w:pPr>
      <w:r w:rsidRPr="00C73779">
        <w:rPr>
          <w:rFonts w:ascii="Times New Roman" w:hAnsi="Times New Roman" w:cs="Times New Roman"/>
          <w:sz w:val="24"/>
          <w:szCs w:val="24"/>
        </w:rPr>
        <w:t>Dal punto di vista interpretativo, tali risultati appaiono coerenti con la natura stessa dei modelli linguistici di grandi dimensioni. Essendo addestrati prevalentemente su compiti di inferenza linguistica e generazione testuale, gli LLMs risultano naturalmente orientati verso la produzione di contenuti semanticamente coerenti e finanziariamente plausibili piuttosto che verso la stima quantitativa precisa di variabili finanziarie caratterizzate da elevata volatilità e forte componente stocastica.</w:t>
      </w:r>
    </w:p>
    <w:p w14:paraId="025FA744" w14:textId="67DA8415" w:rsidR="00C73779" w:rsidRPr="00C73779" w:rsidRDefault="00182304" w:rsidP="00C73779">
      <w:pPr>
        <w:jc w:val="both"/>
        <w:rPr>
          <w:rFonts w:ascii="Times New Roman" w:hAnsi="Times New Roman" w:cs="Times New Roman"/>
          <w:sz w:val="24"/>
          <w:szCs w:val="24"/>
        </w:rPr>
      </w:pPr>
      <w:r>
        <w:rPr>
          <w:rFonts w:ascii="Times New Roman" w:hAnsi="Times New Roman" w:cs="Times New Roman"/>
          <w:sz w:val="24"/>
          <w:szCs w:val="24"/>
        </w:rPr>
        <w:t>Dunque,</w:t>
      </w:r>
      <w:r w:rsidR="00C73779" w:rsidRPr="00C73779">
        <w:rPr>
          <w:rFonts w:ascii="Times New Roman" w:hAnsi="Times New Roman" w:cs="Times New Roman"/>
          <w:sz w:val="24"/>
          <w:szCs w:val="24"/>
        </w:rPr>
        <w:t xml:space="preserve"> i modelli linguistici analizzati non </w:t>
      </w:r>
      <w:r>
        <w:rPr>
          <w:rFonts w:ascii="Times New Roman" w:hAnsi="Times New Roman" w:cs="Times New Roman"/>
          <w:sz w:val="24"/>
          <w:szCs w:val="24"/>
        </w:rPr>
        <w:t>mostrano</w:t>
      </w:r>
      <w:r w:rsidR="00C73779" w:rsidRPr="00C73779">
        <w:rPr>
          <w:rFonts w:ascii="Times New Roman" w:hAnsi="Times New Roman" w:cs="Times New Roman"/>
          <w:sz w:val="24"/>
          <w:szCs w:val="24"/>
        </w:rPr>
        <w:t xml:space="preserve"> una robusta capacità di forecasting quantitativo della magnitudine dei rendimenti azionari nel brevissimo termine. Sebbene gli output generati appaiano frequentemente convincenti dal punto di vista narrativo, le stime numeriche prodotte risultano prive di una sistematica capacità predittiva economicamente sfruttabile.</w:t>
      </w:r>
    </w:p>
    <w:p w14:paraId="3CA29AAD" w14:textId="5D2D3C87" w:rsidR="00050020" w:rsidRPr="00050020" w:rsidRDefault="007D19CB" w:rsidP="00050020">
      <w:pPr>
        <w:jc w:val="both"/>
        <w:rPr>
          <w:rFonts w:ascii="Times New Roman" w:hAnsi="Times New Roman" w:cs="Times New Roman"/>
          <w:b/>
          <w:bCs/>
          <w:sz w:val="24"/>
          <w:szCs w:val="24"/>
          <w:lang w:val="en-GB"/>
        </w:rPr>
      </w:pPr>
      <w:r w:rsidRPr="00050020">
        <w:rPr>
          <w:rFonts w:ascii="Times New Roman" w:hAnsi="Times New Roman" w:cs="Times New Roman"/>
          <w:b/>
          <w:bCs/>
          <w:sz w:val="24"/>
          <w:szCs w:val="24"/>
          <w:lang w:val="en-GB"/>
        </w:rPr>
        <w:t>3</w:t>
      </w:r>
      <w:r w:rsidR="008A240A" w:rsidRPr="00050020">
        <w:rPr>
          <w:rFonts w:ascii="Times New Roman" w:hAnsi="Times New Roman" w:cs="Times New Roman"/>
          <w:b/>
          <w:bCs/>
          <w:sz w:val="24"/>
          <w:szCs w:val="24"/>
          <w:lang w:val="en-GB"/>
        </w:rPr>
        <w:t>.</w:t>
      </w:r>
      <w:r w:rsidR="00D11ED9">
        <w:rPr>
          <w:rFonts w:ascii="Times New Roman" w:hAnsi="Times New Roman" w:cs="Times New Roman"/>
          <w:b/>
          <w:bCs/>
          <w:sz w:val="24"/>
          <w:szCs w:val="24"/>
          <w:lang w:val="en-GB"/>
        </w:rPr>
        <w:t>4</w:t>
      </w:r>
      <w:r w:rsidR="008A240A" w:rsidRPr="00050020">
        <w:rPr>
          <w:rFonts w:ascii="Times New Roman" w:hAnsi="Times New Roman" w:cs="Times New Roman"/>
          <w:b/>
          <w:bCs/>
          <w:sz w:val="24"/>
          <w:szCs w:val="24"/>
          <w:lang w:val="en-GB"/>
        </w:rPr>
        <w:t xml:space="preserve"> </w:t>
      </w:r>
      <w:r w:rsidR="00050020" w:rsidRPr="00050020">
        <w:rPr>
          <w:rFonts w:ascii="Times New Roman" w:hAnsi="Times New Roman" w:cs="Times New Roman"/>
          <w:b/>
          <w:bCs/>
          <w:sz w:val="24"/>
          <w:szCs w:val="24"/>
          <w:lang w:val="en-GB"/>
        </w:rPr>
        <w:t>Operational Challenges, Model Instability, and Behavioral Safeguards</w:t>
      </w:r>
    </w:p>
    <w:p w14:paraId="1B1736D3" w14:textId="0D016EA7" w:rsidR="00050020" w:rsidRPr="00050020" w:rsidRDefault="00050020" w:rsidP="00050020">
      <w:pPr>
        <w:jc w:val="both"/>
        <w:rPr>
          <w:rFonts w:ascii="Times New Roman" w:hAnsi="Times New Roman" w:cs="Times New Roman"/>
          <w:sz w:val="24"/>
          <w:szCs w:val="24"/>
        </w:rPr>
      </w:pPr>
      <w:r w:rsidRPr="00050020">
        <w:rPr>
          <w:rFonts w:ascii="Times New Roman" w:hAnsi="Times New Roman" w:cs="Times New Roman"/>
          <w:sz w:val="24"/>
          <w:szCs w:val="24"/>
        </w:rPr>
        <w:t xml:space="preserve">L’analisi qualitativa condotta durante la raccolta dati ha evidenziato significative limitazioni operative dei Large Language Models (LLMs), riconducibili principalmente a fenomeni di non-compliance strutturale, </w:t>
      </w:r>
      <w:r w:rsidRPr="00050020">
        <w:rPr>
          <w:rFonts w:ascii="Times New Roman" w:hAnsi="Times New Roman" w:cs="Times New Roman"/>
          <w:i/>
          <w:iCs/>
          <w:sz w:val="24"/>
          <w:szCs w:val="24"/>
        </w:rPr>
        <w:t>hallucinations</w:t>
      </w:r>
      <w:r w:rsidRPr="00050020">
        <w:rPr>
          <w:rFonts w:ascii="Times New Roman" w:hAnsi="Times New Roman" w:cs="Times New Roman"/>
          <w:sz w:val="24"/>
          <w:szCs w:val="24"/>
        </w:rPr>
        <w:t xml:space="preserve">, instabilità cross-sessione e interferenze dei meccanismi di sicurezza. In primo luogo, si è osservata una frequente mancata conformità dei modelli rispetto ai vincoli esplicitamente definiti nei prompt operativi; i modelli hanno infatti modificato autonomamente il </w:t>
      </w:r>
      <w:r w:rsidRPr="00050020">
        <w:rPr>
          <w:rFonts w:ascii="Times New Roman" w:hAnsi="Times New Roman" w:cs="Times New Roman"/>
          <w:sz w:val="24"/>
          <w:szCs w:val="24"/>
        </w:rPr>
        <w:lastRenderedPageBreak/>
        <w:t xml:space="preserve">formato dell'output, prodotto ticker non richiesti o errati, e ignorato i limiti dell’universo investibile ex-ante, costringendo in alcuni casi a interventi manuali di purificazione del dataset per preservarne la coerenza metodologica. A questa rigidità nell'esecuzione di istruzioni strutturate si affiancano veri e propri fenomeni di </w:t>
      </w:r>
      <w:r w:rsidRPr="00050020">
        <w:rPr>
          <w:rFonts w:ascii="Times New Roman" w:hAnsi="Times New Roman" w:cs="Times New Roman"/>
          <w:i/>
          <w:iCs/>
          <w:sz w:val="24"/>
          <w:szCs w:val="24"/>
        </w:rPr>
        <w:t>hallucination</w:t>
      </w:r>
      <w:r w:rsidRPr="00050020">
        <w:rPr>
          <w:rFonts w:ascii="Times New Roman" w:hAnsi="Times New Roman" w:cs="Times New Roman"/>
          <w:sz w:val="24"/>
          <w:szCs w:val="24"/>
        </w:rPr>
        <w:t xml:space="preserve"> finanziaria, quali la generazione di ticker inesistenti, l'attribuzione di denominazioni societarie errate, la produzione di prezzi incompatibili con il mercato reale e la persistenza dei cosiddetti "</w:t>
      </w:r>
      <w:r w:rsidRPr="00050020">
        <w:rPr>
          <w:rFonts w:ascii="Times New Roman" w:hAnsi="Times New Roman" w:cs="Times New Roman"/>
          <w:i/>
          <w:iCs/>
          <w:sz w:val="24"/>
          <w:szCs w:val="24"/>
        </w:rPr>
        <w:t>zombie constituents</w:t>
      </w:r>
      <w:r w:rsidRPr="00050020">
        <w:rPr>
          <w:rFonts w:ascii="Times New Roman" w:hAnsi="Times New Roman" w:cs="Times New Roman"/>
          <w:sz w:val="24"/>
          <w:szCs w:val="24"/>
        </w:rPr>
        <w:t>" (titoli delistati o rimossi dall'indice S&amp;P 500 ma continuativamente riproposti), segno di una latenza nell'aggiornamento della conoscenza interna dei modelli.</w:t>
      </w:r>
    </w:p>
    <w:p w14:paraId="649EF705" w14:textId="77777777" w:rsidR="00050020" w:rsidRPr="00050020" w:rsidRDefault="00050020" w:rsidP="00050020">
      <w:pPr>
        <w:jc w:val="both"/>
        <w:rPr>
          <w:rFonts w:ascii="Times New Roman" w:hAnsi="Times New Roman" w:cs="Times New Roman"/>
          <w:sz w:val="24"/>
          <w:szCs w:val="24"/>
        </w:rPr>
      </w:pPr>
      <w:r w:rsidRPr="00050020">
        <w:rPr>
          <w:rFonts w:ascii="Times New Roman" w:hAnsi="Times New Roman" w:cs="Times New Roman"/>
          <w:sz w:val="24"/>
          <w:szCs w:val="24"/>
        </w:rPr>
        <w:t xml:space="preserve">Il quadro è ulteriormente complicato da una marcata instabilità cross-session e cross-platform: prompt identici hanno generato output e ranking differenti tra sessioni consecutive, e discrepanze significative sono emerse persino tra dispositivi diversi o tra le versioni loggate e non loggate dello stesso modello. In casi estremi, si è assistito a una vera e propria crisi di coerenza inferenziale interna, con il medesimo modello che ha generato simultaneamente aspettative rialziste e ribassiste sullo stesso titolo nella stessa giornata. Infine, un'ulteriore fonte di imprevedibilità è derivata dall'attivazione dei </w:t>
      </w:r>
      <w:r w:rsidRPr="00050020">
        <w:rPr>
          <w:rFonts w:ascii="Times New Roman" w:hAnsi="Times New Roman" w:cs="Times New Roman"/>
          <w:i/>
          <w:iCs/>
          <w:sz w:val="24"/>
          <w:szCs w:val="24"/>
        </w:rPr>
        <w:t>guardrails</w:t>
      </w:r>
      <w:r w:rsidRPr="00050020">
        <w:rPr>
          <w:rFonts w:ascii="Times New Roman" w:hAnsi="Times New Roman" w:cs="Times New Roman"/>
          <w:sz w:val="24"/>
          <w:szCs w:val="24"/>
        </w:rPr>
        <w:t xml:space="preserve"> e dei filtri di moderazione integrati che, traducendosi in rifiuti di formulare previsioni, modifiche del tono o introduzione di disclaimer non richiesti, ostacolano la standardizzazione procedurale necessaria per un approccio quantitativo.</w:t>
      </w:r>
    </w:p>
    <w:p w14:paraId="7A965C25" w14:textId="1C1F2E9F" w:rsidR="00050020" w:rsidRDefault="00050020" w:rsidP="00050020">
      <w:pPr>
        <w:jc w:val="both"/>
        <w:rPr>
          <w:rFonts w:ascii="Times New Roman" w:hAnsi="Times New Roman" w:cs="Times New Roman"/>
          <w:sz w:val="24"/>
          <w:szCs w:val="24"/>
        </w:rPr>
      </w:pPr>
      <w:r w:rsidRPr="00050020">
        <w:rPr>
          <w:rFonts w:ascii="Times New Roman" w:hAnsi="Times New Roman" w:cs="Times New Roman"/>
          <w:sz w:val="24"/>
          <w:szCs w:val="24"/>
        </w:rPr>
        <w:t xml:space="preserve">Nel complesso, queste evidenze suggeriscono che l’instabilità riscontrata non derivi da semplici errori casuali, ma da variazioni implicite nel processo inferenziale tra sessioni differenti. Tale mancanza di consistenza operativa e replicabilità del segnale rappresenta una criticità fondamentale nel contesto finanziario reale, indicando come le performance descritte nei test retrospettivi della letteratura recente tendano a sovrastimare la reale stabilità degli LLMs in ambiente operativo </w:t>
      </w:r>
      <w:r w:rsidRPr="00050020">
        <w:rPr>
          <w:rFonts w:ascii="Times New Roman" w:hAnsi="Times New Roman" w:cs="Times New Roman"/>
          <w:i/>
          <w:iCs/>
          <w:sz w:val="24"/>
          <w:szCs w:val="24"/>
        </w:rPr>
        <w:t>real-time</w:t>
      </w:r>
      <w:r w:rsidRPr="00050020">
        <w:rPr>
          <w:rFonts w:ascii="Times New Roman" w:hAnsi="Times New Roman" w:cs="Times New Roman"/>
          <w:sz w:val="24"/>
          <w:szCs w:val="24"/>
        </w:rPr>
        <w:t xml:space="preserve"> e rigorosamente </w:t>
      </w:r>
      <w:r w:rsidRPr="00050020">
        <w:rPr>
          <w:rFonts w:ascii="Times New Roman" w:hAnsi="Times New Roman" w:cs="Times New Roman"/>
          <w:i/>
          <w:iCs/>
          <w:sz w:val="24"/>
          <w:szCs w:val="24"/>
        </w:rPr>
        <w:t>out-of-sample</w:t>
      </w:r>
      <w:r w:rsidRPr="00050020">
        <w:rPr>
          <w:rFonts w:ascii="Times New Roman" w:hAnsi="Times New Roman" w:cs="Times New Roman"/>
          <w:sz w:val="24"/>
          <w:szCs w:val="24"/>
        </w:rPr>
        <w:t>.</w:t>
      </w:r>
    </w:p>
    <w:p w14:paraId="4FCD53B6" w14:textId="77777777" w:rsidR="00050020" w:rsidRPr="00050020" w:rsidRDefault="00050020" w:rsidP="00050020">
      <w:pPr>
        <w:jc w:val="both"/>
        <w:rPr>
          <w:rFonts w:ascii="Times New Roman" w:hAnsi="Times New Roman" w:cs="Times New Roman"/>
          <w:sz w:val="24"/>
          <w:szCs w:val="24"/>
        </w:rPr>
      </w:pPr>
    </w:p>
    <w:p w14:paraId="49A0A374" w14:textId="33F1EDA2" w:rsidR="008A240A" w:rsidRPr="008A240A" w:rsidRDefault="007D19CB" w:rsidP="008A240A">
      <w:pPr>
        <w:jc w:val="both"/>
        <w:rPr>
          <w:rFonts w:ascii="Times New Roman" w:hAnsi="Times New Roman" w:cs="Times New Roman"/>
          <w:b/>
          <w:bCs/>
          <w:sz w:val="24"/>
          <w:szCs w:val="24"/>
        </w:rPr>
      </w:pPr>
      <w:r>
        <w:rPr>
          <w:rFonts w:ascii="Times New Roman" w:hAnsi="Times New Roman" w:cs="Times New Roman"/>
          <w:b/>
          <w:bCs/>
          <w:sz w:val="24"/>
          <w:szCs w:val="24"/>
        </w:rPr>
        <w:t>3</w:t>
      </w:r>
      <w:r w:rsidR="008A240A" w:rsidRPr="008A240A">
        <w:rPr>
          <w:rFonts w:ascii="Times New Roman" w:hAnsi="Times New Roman" w:cs="Times New Roman"/>
          <w:b/>
          <w:bCs/>
          <w:sz w:val="24"/>
          <w:szCs w:val="24"/>
        </w:rPr>
        <w:t>.</w:t>
      </w:r>
      <w:r w:rsidR="00D11ED9">
        <w:rPr>
          <w:rFonts w:ascii="Times New Roman" w:hAnsi="Times New Roman" w:cs="Times New Roman"/>
          <w:b/>
          <w:bCs/>
          <w:sz w:val="24"/>
          <w:szCs w:val="24"/>
        </w:rPr>
        <w:t>5</w:t>
      </w:r>
      <w:r w:rsidR="008A240A" w:rsidRPr="008A240A">
        <w:rPr>
          <w:rFonts w:ascii="Times New Roman" w:hAnsi="Times New Roman" w:cs="Times New Roman"/>
          <w:b/>
          <w:bCs/>
          <w:sz w:val="24"/>
          <w:szCs w:val="24"/>
        </w:rPr>
        <w:t xml:space="preserve"> Fixed Universe</w:t>
      </w:r>
      <w:r w:rsidR="005B1500">
        <w:rPr>
          <w:rFonts w:ascii="Times New Roman" w:hAnsi="Times New Roman" w:cs="Times New Roman"/>
          <w:b/>
          <w:bCs/>
          <w:sz w:val="24"/>
          <w:szCs w:val="24"/>
        </w:rPr>
        <w:t xml:space="preserve"> Portfolio</w:t>
      </w:r>
      <w:r w:rsidR="008A240A" w:rsidRPr="008A240A">
        <w:rPr>
          <w:rFonts w:ascii="Times New Roman" w:hAnsi="Times New Roman" w:cs="Times New Roman"/>
          <w:b/>
          <w:bCs/>
          <w:sz w:val="24"/>
          <w:szCs w:val="24"/>
        </w:rPr>
        <w:t xml:space="preserve"> Robustness</w:t>
      </w:r>
    </w:p>
    <w:p w14:paraId="5B6D445E" w14:textId="77777777" w:rsidR="00C33D36" w:rsidRPr="00C33D36" w:rsidRDefault="00C33D36" w:rsidP="00C33D36">
      <w:pPr>
        <w:pStyle w:val="Didascalia"/>
        <w:keepNext/>
        <w:jc w:val="both"/>
        <w:rPr>
          <w:rFonts w:ascii="Times New Roman" w:hAnsi="Times New Roman" w:cs="Times New Roman"/>
          <w:i w:val="0"/>
          <w:iCs w:val="0"/>
          <w:color w:val="auto"/>
          <w:sz w:val="24"/>
          <w:szCs w:val="24"/>
        </w:rPr>
      </w:pPr>
      <w:r w:rsidRPr="00C33D36">
        <w:rPr>
          <w:rFonts w:ascii="Times New Roman" w:hAnsi="Times New Roman" w:cs="Times New Roman"/>
          <w:i w:val="0"/>
          <w:iCs w:val="0"/>
          <w:color w:val="auto"/>
          <w:sz w:val="24"/>
          <w:szCs w:val="24"/>
        </w:rPr>
        <w:t>Al fine di verificare se le evidenze osservate dipendessero esclusivamente dalla capacità dei modelli di selezionare specifici asset all’interno dell’universo giornaliero, l’intera metodologia è stata replicata su un portafoglio statico (fixed-universe portfolio) composto da cinque titoli tecnologici a elevata capitalizzazione: NVIDIA, Microsoft, Apple, Amazon e Alphabet. Questa impostazione, mantenendo invariata la composizione dei titoli per l’intera durata dell’esperimento, riduce significativamente la discrezionalità implicita nella selezione cross-sectional e impone agli LLMs di operare continuativamente sul medesimo insieme di asset. Di conseguenza, tale configurazione rappresenta una verifica di robustezza particolarmente stringente, utile a isolare il contributo derivante dal puro processo di stock selection rispetto alla reale capacità informativa dei segnali e all'interpretazione delle dinamiche direzionali del mercato.</w:t>
      </w:r>
    </w:p>
    <w:p w14:paraId="09E4AFFB" w14:textId="40394391" w:rsidR="00C33D36" w:rsidRPr="00C33D36" w:rsidRDefault="00C33D36" w:rsidP="00C33D36">
      <w:pPr>
        <w:pStyle w:val="Didascalia"/>
        <w:keepNext/>
        <w:jc w:val="both"/>
        <w:rPr>
          <w:rFonts w:ascii="Times New Roman" w:hAnsi="Times New Roman" w:cs="Times New Roman"/>
          <w:i w:val="0"/>
          <w:iCs w:val="0"/>
          <w:color w:val="auto"/>
          <w:sz w:val="24"/>
          <w:szCs w:val="24"/>
        </w:rPr>
      </w:pPr>
      <w:r w:rsidRPr="00C33D36">
        <w:rPr>
          <w:rFonts w:ascii="Times New Roman" w:hAnsi="Times New Roman" w:cs="Times New Roman"/>
          <w:i w:val="0"/>
          <w:iCs w:val="0"/>
          <w:color w:val="auto"/>
          <w:sz w:val="24"/>
          <w:szCs w:val="24"/>
        </w:rPr>
        <w:t xml:space="preserve">I risultati empirici indicano che le performance risk-adjusted ottenute nel portafoglio statico risultano complessivamente contenute, confermando e rafforzando le evidenze emerse nell’analisi principale. Come illustrato nella Tabella </w:t>
      </w:r>
      <w:r w:rsidR="00216505">
        <w:rPr>
          <w:rFonts w:ascii="Times New Roman" w:hAnsi="Times New Roman" w:cs="Times New Roman"/>
          <w:i w:val="0"/>
          <w:iCs w:val="0"/>
          <w:color w:val="auto"/>
          <w:sz w:val="24"/>
          <w:szCs w:val="24"/>
        </w:rPr>
        <w:t>8</w:t>
      </w:r>
      <w:r w:rsidRPr="00C33D36">
        <w:rPr>
          <w:rFonts w:ascii="Times New Roman" w:hAnsi="Times New Roman" w:cs="Times New Roman"/>
          <w:i w:val="0"/>
          <w:iCs w:val="0"/>
          <w:color w:val="auto"/>
          <w:sz w:val="24"/>
          <w:szCs w:val="24"/>
        </w:rPr>
        <w:t xml:space="preserve">, nessuna delle configurazioni analizzate è in grado di produrre Sharpe ratio economicamente elevati o di mostrare una robusta e persistente generazione di alpha superiore rispetto alle alternative. Più nel dettaglio, ChatGPT in versione non loggata (CGP) evidenzia la dinamica cumulata relativamente più stabile e moderatamente positiva (Sharpe = 0.151), mentre Gemini Pro (G) mostra una performance maggiormente volatile e complessivamente inferiore (Sharpe = -0.107). Tali divergenze, pur delineando lievi asimmetrie tra le piattaforme, rimangono </w:t>
      </w:r>
      <w:r w:rsidRPr="00C33D36">
        <w:rPr>
          <w:rFonts w:ascii="Times New Roman" w:hAnsi="Times New Roman" w:cs="Times New Roman"/>
          <w:i w:val="0"/>
          <w:iCs w:val="0"/>
          <w:color w:val="auto"/>
          <w:sz w:val="24"/>
          <w:szCs w:val="24"/>
        </w:rPr>
        <w:lastRenderedPageBreak/>
        <w:t>confinate entro margini ristretti e non risultano sufficienti a modificare le conclusioni generali dell’esperimento.</w:t>
      </w:r>
    </w:p>
    <w:p w14:paraId="1EBFF29B" w14:textId="6DEE6218" w:rsidR="00D11ED9" w:rsidRPr="00216505" w:rsidRDefault="00D11ED9" w:rsidP="00216505">
      <w:pPr>
        <w:pStyle w:val="Didascalia"/>
        <w:keepNext/>
        <w:rPr>
          <w:rFonts w:ascii="Times New Roman" w:hAnsi="Times New Roman" w:cs="Times New Roman"/>
          <w:color w:val="auto"/>
        </w:rPr>
      </w:pPr>
      <w:r w:rsidRPr="00D11ED9">
        <w:rPr>
          <w:rFonts w:ascii="Times New Roman" w:hAnsi="Times New Roman" w:cs="Times New Roman"/>
          <w:color w:val="auto"/>
        </w:rPr>
        <w:t xml:space="preserve">Tabella </w:t>
      </w:r>
      <w:r w:rsidRPr="00D11ED9">
        <w:rPr>
          <w:rFonts w:ascii="Times New Roman" w:hAnsi="Times New Roman" w:cs="Times New Roman"/>
          <w:color w:val="auto"/>
        </w:rPr>
        <w:fldChar w:fldCharType="begin"/>
      </w:r>
      <w:r w:rsidRPr="00D11ED9">
        <w:rPr>
          <w:rFonts w:ascii="Times New Roman" w:hAnsi="Times New Roman" w:cs="Times New Roman"/>
          <w:color w:val="auto"/>
        </w:rPr>
        <w:instrText xml:space="preserve"> SEQ Tabella \* ARABIC </w:instrText>
      </w:r>
      <w:r w:rsidRPr="00D11ED9">
        <w:rPr>
          <w:rFonts w:ascii="Times New Roman" w:hAnsi="Times New Roman" w:cs="Times New Roman"/>
          <w:color w:val="auto"/>
        </w:rPr>
        <w:fldChar w:fldCharType="separate"/>
      </w:r>
      <w:r w:rsidRPr="00D11ED9">
        <w:rPr>
          <w:rFonts w:ascii="Times New Roman" w:hAnsi="Times New Roman" w:cs="Times New Roman"/>
          <w:noProof/>
          <w:color w:val="auto"/>
        </w:rPr>
        <w:t>8</w:t>
      </w:r>
      <w:r w:rsidRPr="00D11ED9">
        <w:rPr>
          <w:rFonts w:ascii="Times New Roman" w:hAnsi="Times New Roman" w:cs="Times New Roman"/>
          <w:color w:val="auto"/>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440"/>
        <w:gridCol w:w="1020"/>
        <w:gridCol w:w="1429"/>
      </w:tblGrid>
      <w:tr w:rsidR="00D157D3" w:rsidRPr="00D157D3" w14:paraId="784C718E" w14:textId="77777777" w:rsidTr="00D157D3">
        <w:trPr>
          <w:tblHeader/>
          <w:tblCellSpacing w:w="15" w:type="dxa"/>
        </w:trPr>
        <w:tc>
          <w:tcPr>
            <w:tcW w:w="0" w:type="auto"/>
            <w:tcBorders>
              <w:top w:val="single" w:sz="4" w:space="0" w:color="auto"/>
              <w:bottom w:val="single" w:sz="4" w:space="0" w:color="auto"/>
            </w:tcBorders>
            <w:vAlign w:val="center"/>
            <w:hideMark/>
          </w:tcPr>
          <w:p w14:paraId="36736C05"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Model</w:t>
            </w:r>
          </w:p>
        </w:tc>
        <w:tc>
          <w:tcPr>
            <w:tcW w:w="0" w:type="auto"/>
            <w:tcBorders>
              <w:top w:val="single" w:sz="4" w:space="0" w:color="auto"/>
              <w:bottom w:val="single" w:sz="4" w:space="0" w:color="auto"/>
            </w:tcBorders>
            <w:vAlign w:val="center"/>
            <w:hideMark/>
          </w:tcPr>
          <w:p w14:paraId="0503C77F"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Mean Return</w:t>
            </w:r>
          </w:p>
        </w:tc>
        <w:tc>
          <w:tcPr>
            <w:tcW w:w="0" w:type="auto"/>
            <w:tcBorders>
              <w:top w:val="single" w:sz="4" w:space="0" w:color="auto"/>
              <w:bottom w:val="single" w:sz="4" w:space="0" w:color="auto"/>
            </w:tcBorders>
            <w:vAlign w:val="center"/>
            <w:hideMark/>
          </w:tcPr>
          <w:p w14:paraId="7D091824"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Volatility</w:t>
            </w:r>
          </w:p>
        </w:tc>
        <w:tc>
          <w:tcPr>
            <w:tcW w:w="0" w:type="auto"/>
            <w:tcBorders>
              <w:top w:val="single" w:sz="4" w:space="0" w:color="auto"/>
              <w:bottom w:val="single" w:sz="4" w:space="0" w:color="auto"/>
            </w:tcBorders>
            <w:vAlign w:val="center"/>
            <w:hideMark/>
          </w:tcPr>
          <w:p w14:paraId="60F02871" w14:textId="77777777" w:rsidR="00D157D3" w:rsidRPr="00D157D3" w:rsidRDefault="00D157D3" w:rsidP="00D157D3">
            <w:pPr>
              <w:spacing w:after="0" w:line="240" w:lineRule="auto"/>
              <w:rPr>
                <w:rFonts w:ascii="Times New Roman" w:eastAsia="Times New Roman" w:hAnsi="Times New Roman" w:cs="Times New Roman"/>
                <w:b/>
                <w:bCs/>
                <w:kern w:val="0"/>
                <w:sz w:val="24"/>
                <w:szCs w:val="24"/>
                <w:lang w:eastAsia="it-IT"/>
                <w14:ligatures w14:val="none"/>
              </w:rPr>
            </w:pPr>
            <w:r w:rsidRPr="00D157D3">
              <w:rPr>
                <w:rFonts w:ascii="Times New Roman" w:eastAsia="Times New Roman" w:hAnsi="Times New Roman" w:cs="Times New Roman"/>
                <w:b/>
                <w:bCs/>
                <w:kern w:val="0"/>
                <w:sz w:val="24"/>
                <w:szCs w:val="24"/>
                <w:lang w:eastAsia="it-IT"/>
                <w14:ligatures w14:val="none"/>
              </w:rPr>
              <w:t>Sharpe Ratio</w:t>
            </w:r>
          </w:p>
        </w:tc>
      </w:tr>
      <w:tr w:rsidR="00D157D3" w:rsidRPr="00D157D3" w14:paraId="7B24DBB1" w14:textId="77777777">
        <w:trPr>
          <w:tblCellSpacing w:w="15" w:type="dxa"/>
        </w:trPr>
        <w:tc>
          <w:tcPr>
            <w:tcW w:w="0" w:type="auto"/>
            <w:vAlign w:val="center"/>
            <w:hideMark/>
          </w:tcPr>
          <w:p w14:paraId="27AD541E"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G</w:t>
            </w:r>
          </w:p>
        </w:tc>
        <w:tc>
          <w:tcPr>
            <w:tcW w:w="0" w:type="auto"/>
            <w:vAlign w:val="center"/>
            <w:hideMark/>
          </w:tcPr>
          <w:p w14:paraId="3F80BC5E"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-0.000318</w:t>
            </w:r>
          </w:p>
        </w:tc>
        <w:tc>
          <w:tcPr>
            <w:tcW w:w="0" w:type="auto"/>
            <w:vAlign w:val="center"/>
            <w:hideMark/>
          </w:tcPr>
          <w:p w14:paraId="48C74833"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0.00296</w:t>
            </w:r>
          </w:p>
        </w:tc>
        <w:tc>
          <w:tcPr>
            <w:tcW w:w="0" w:type="auto"/>
            <w:vAlign w:val="center"/>
            <w:hideMark/>
          </w:tcPr>
          <w:p w14:paraId="2029B581"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-0.107</w:t>
            </w:r>
          </w:p>
        </w:tc>
      </w:tr>
      <w:tr w:rsidR="00D157D3" w:rsidRPr="00D157D3" w14:paraId="1F9296D5" w14:textId="77777777">
        <w:trPr>
          <w:tblCellSpacing w:w="15" w:type="dxa"/>
        </w:trPr>
        <w:tc>
          <w:tcPr>
            <w:tcW w:w="0" w:type="auto"/>
            <w:vAlign w:val="center"/>
            <w:hideMark/>
          </w:tcPr>
          <w:p w14:paraId="500D2098"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22A83479"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0.000297</w:t>
            </w:r>
          </w:p>
        </w:tc>
        <w:tc>
          <w:tcPr>
            <w:tcW w:w="0" w:type="auto"/>
            <w:vAlign w:val="center"/>
            <w:hideMark/>
          </w:tcPr>
          <w:p w14:paraId="29F1C3D9" w14:textId="2B09C50D"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0.0410</w:t>
            </w:r>
          </w:p>
        </w:tc>
        <w:tc>
          <w:tcPr>
            <w:tcW w:w="0" w:type="auto"/>
            <w:vAlign w:val="center"/>
            <w:hideMark/>
          </w:tcPr>
          <w:p w14:paraId="3AF33705"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0.00724</w:t>
            </w:r>
          </w:p>
        </w:tc>
      </w:tr>
      <w:tr w:rsidR="00D157D3" w:rsidRPr="00D157D3" w14:paraId="230088D3" w14:textId="77777777" w:rsidTr="00BF682E">
        <w:trPr>
          <w:tblCellSpacing w:w="15" w:type="dxa"/>
        </w:trPr>
        <w:tc>
          <w:tcPr>
            <w:tcW w:w="0" w:type="auto"/>
            <w:tcBorders>
              <w:bottom w:val="single" w:sz="4" w:space="0" w:color="auto"/>
            </w:tcBorders>
            <w:vAlign w:val="center"/>
            <w:hideMark/>
          </w:tcPr>
          <w:p w14:paraId="55B11EF4"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CGP</w:t>
            </w:r>
          </w:p>
        </w:tc>
        <w:tc>
          <w:tcPr>
            <w:tcW w:w="0" w:type="auto"/>
            <w:tcBorders>
              <w:bottom w:val="single" w:sz="4" w:space="0" w:color="auto"/>
            </w:tcBorders>
            <w:vAlign w:val="center"/>
            <w:hideMark/>
          </w:tcPr>
          <w:p w14:paraId="06FD4B9D"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0.000437</w:t>
            </w:r>
          </w:p>
        </w:tc>
        <w:tc>
          <w:tcPr>
            <w:tcW w:w="0" w:type="auto"/>
            <w:tcBorders>
              <w:bottom w:val="single" w:sz="4" w:space="0" w:color="auto"/>
            </w:tcBorders>
            <w:vAlign w:val="center"/>
            <w:hideMark/>
          </w:tcPr>
          <w:p w14:paraId="3E4A78C3"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0.00289</w:t>
            </w:r>
          </w:p>
        </w:tc>
        <w:tc>
          <w:tcPr>
            <w:tcW w:w="0" w:type="auto"/>
            <w:tcBorders>
              <w:bottom w:val="single" w:sz="4" w:space="0" w:color="auto"/>
            </w:tcBorders>
            <w:vAlign w:val="center"/>
            <w:hideMark/>
          </w:tcPr>
          <w:p w14:paraId="4A07A98E" w14:textId="77777777" w:rsidR="00D157D3" w:rsidRPr="00D157D3" w:rsidRDefault="00D157D3" w:rsidP="00D157D3">
            <w:pPr>
              <w:spacing w:after="0" w:line="240" w:lineRule="auto"/>
              <w:rPr>
                <w:rFonts w:ascii="Times New Roman" w:eastAsia="Times New Roman" w:hAnsi="Times New Roman" w:cs="Times New Roman"/>
                <w:kern w:val="0"/>
                <w:sz w:val="24"/>
                <w:szCs w:val="24"/>
                <w:lang w:eastAsia="it-IT"/>
                <w14:ligatures w14:val="none"/>
              </w:rPr>
            </w:pPr>
            <w:r w:rsidRPr="00D157D3">
              <w:rPr>
                <w:rFonts w:ascii="Times New Roman" w:eastAsia="Times New Roman" w:hAnsi="Times New Roman" w:cs="Times New Roman"/>
                <w:kern w:val="0"/>
                <w:sz w:val="24"/>
                <w:szCs w:val="24"/>
                <w:lang w:eastAsia="it-IT"/>
                <w14:ligatures w14:val="none"/>
              </w:rPr>
              <w:t>0.151</w:t>
            </w:r>
          </w:p>
        </w:tc>
      </w:tr>
    </w:tbl>
    <w:p w14:paraId="23FEE541" w14:textId="23F7D4AE" w:rsidR="006F6D12" w:rsidRPr="006F6D12" w:rsidRDefault="004D23E9" w:rsidP="006F6D12">
      <w:pPr>
        <w:jc w:val="both"/>
        <w:rPr>
          <w:rFonts w:ascii="Times New Roman" w:hAnsi="Times New Roman" w:cs="Times New Roman"/>
          <w:sz w:val="24"/>
          <w:szCs w:val="24"/>
        </w:rPr>
      </w:pPr>
      <w:r w:rsidRPr="00DF37E2">
        <w:rPr>
          <w:rFonts w:ascii="Times New Roman" w:hAnsi="Times New Roman" w:cs="Times New Roman"/>
          <w:i/>
          <w:iCs/>
          <w:sz w:val="24"/>
          <w:szCs w:val="24"/>
        </w:rPr>
        <w:t>Fonte: elaborazione propria su dati raccolti in tempo reale.</w:t>
      </w:r>
    </w:p>
    <w:p w14:paraId="2364D78A" w14:textId="2E4934D0" w:rsidR="00C33D36" w:rsidRDefault="00C33D36" w:rsidP="00C33D36">
      <w:pPr>
        <w:pStyle w:val="Didascalia"/>
        <w:keepNext/>
        <w:jc w:val="both"/>
        <w:rPr>
          <w:rFonts w:ascii="Times New Roman" w:hAnsi="Times New Roman" w:cs="Times New Roman"/>
          <w:i w:val="0"/>
          <w:iCs w:val="0"/>
          <w:color w:val="auto"/>
          <w:sz w:val="24"/>
          <w:szCs w:val="24"/>
        </w:rPr>
      </w:pPr>
      <w:r w:rsidRPr="00C33D36">
        <w:rPr>
          <w:rFonts w:ascii="Times New Roman" w:hAnsi="Times New Roman" w:cs="Times New Roman"/>
          <w:i w:val="0"/>
          <w:iCs w:val="0"/>
          <w:color w:val="auto"/>
          <w:sz w:val="24"/>
          <w:szCs w:val="24"/>
        </w:rPr>
        <w:t>Dal punto di vista metodologico, l'evidenza di rendimenti risk-adjusted modesti suggerisce che una parte rilevante delle performance osservate nelle strategie principali rispecchi esposizioni opportunistiche a specifiche condizioni di mercato o a particolari segmenti dell’universo investibile dinamico, piuttosto che una stabile capacità predittiva generalizzabile da parte degli LLMs. Questa ipotesi trova un riscontro definitivo nei test statistici di magnitude forecasting: replicando la regressione lineare cross-sectional sulle stime del portafoglio a universo fisso, il coefficiente associato ai rendimenti previsti perde qualsiasi significatività statistica positiva, registrando un valore negativo e confermando l’assenza di una corretta scommessa sulla dimensione dei rendimenti reali. Il potere esplicativo sostanzialmente nullo convalida inequivocabilmente la limitata attitudine dei modelli linguistici a produrre segnali quantitativamente robusti, anche laddove il framework operativo venga semplificato stabilizzando l'insieme degli asset nel tempo.</w:t>
      </w:r>
    </w:p>
    <w:p w14:paraId="7CBF400F" w14:textId="534699BD" w:rsidR="00212089" w:rsidRPr="00216505" w:rsidRDefault="00212089" w:rsidP="00216505">
      <w:pPr>
        <w:pStyle w:val="Didascalia"/>
        <w:keepNext/>
        <w:rPr>
          <w:color w:val="auto"/>
        </w:rPr>
      </w:pPr>
      <w:r w:rsidRPr="00212089">
        <w:rPr>
          <w:color w:val="auto"/>
        </w:rPr>
        <w:t xml:space="preserve">Tabella </w:t>
      </w:r>
      <w:r w:rsidRPr="00212089">
        <w:rPr>
          <w:color w:val="auto"/>
        </w:rPr>
        <w:fldChar w:fldCharType="begin"/>
      </w:r>
      <w:r w:rsidRPr="00212089">
        <w:rPr>
          <w:color w:val="auto"/>
        </w:rPr>
        <w:instrText xml:space="preserve"> SEQ Tabella \* ARABIC </w:instrText>
      </w:r>
      <w:r w:rsidRPr="00212089">
        <w:rPr>
          <w:color w:val="auto"/>
        </w:rPr>
        <w:fldChar w:fldCharType="separate"/>
      </w:r>
      <w:r w:rsidR="00D11ED9">
        <w:rPr>
          <w:noProof/>
          <w:color w:val="auto"/>
        </w:rPr>
        <w:t>9</w:t>
      </w:r>
      <w:r w:rsidRPr="00212089">
        <w:rPr>
          <w:color w:val="auto"/>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87"/>
        <w:gridCol w:w="840"/>
        <w:gridCol w:w="680"/>
        <w:gridCol w:w="811"/>
      </w:tblGrid>
      <w:tr w:rsidR="00212089" w:rsidRPr="00212089" w14:paraId="6A0CF5F7" w14:textId="77777777" w:rsidTr="00212089">
        <w:trPr>
          <w:tblHeader/>
          <w:tblCellSpacing w:w="15" w:type="dxa"/>
        </w:trPr>
        <w:tc>
          <w:tcPr>
            <w:tcW w:w="0" w:type="auto"/>
            <w:tcBorders>
              <w:top w:val="single" w:sz="4" w:space="0" w:color="auto"/>
              <w:bottom w:val="single" w:sz="4" w:space="0" w:color="auto"/>
            </w:tcBorders>
            <w:vAlign w:val="center"/>
            <w:hideMark/>
          </w:tcPr>
          <w:p w14:paraId="4D0FD681" w14:textId="77777777" w:rsidR="00212089" w:rsidRPr="00212089" w:rsidRDefault="00212089" w:rsidP="00212089">
            <w:pPr>
              <w:spacing w:after="0" w:line="240" w:lineRule="auto"/>
              <w:jc w:val="center"/>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Variabile</w:t>
            </w:r>
          </w:p>
        </w:tc>
        <w:tc>
          <w:tcPr>
            <w:tcW w:w="0" w:type="auto"/>
            <w:tcBorders>
              <w:top w:val="single" w:sz="4" w:space="0" w:color="auto"/>
              <w:bottom w:val="single" w:sz="4" w:space="0" w:color="auto"/>
            </w:tcBorders>
            <w:vAlign w:val="center"/>
            <w:hideMark/>
          </w:tcPr>
          <w:p w14:paraId="73A4E7E7" w14:textId="77777777" w:rsidR="00212089" w:rsidRPr="00212089" w:rsidRDefault="00212089" w:rsidP="00212089">
            <w:pPr>
              <w:spacing w:after="0" w:line="240" w:lineRule="auto"/>
              <w:jc w:val="right"/>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Coefficiente</w:t>
            </w:r>
          </w:p>
        </w:tc>
        <w:tc>
          <w:tcPr>
            <w:tcW w:w="0" w:type="auto"/>
            <w:tcBorders>
              <w:top w:val="single" w:sz="4" w:space="0" w:color="auto"/>
              <w:bottom w:val="single" w:sz="4" w:space="0" w:color="auto"/>
            </w:tcBorders>
            <w:vAlign w:val="center"/>
            <w:hideMark/>
          </w:tcPr>
          <w:p w14:paraId="18618F58" w14:textId="77777777" w:rsidR="00212089" w:rsidRPr="00212089" w:rsidRDefault="00212089" w:rsidP="00212089">
            <w:pPr>
              <w:spacing w:after="0" w:line="240" w:lineRule="auto"/>
              <w:jc w:val="right"/>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SE</w:t>
            </w:r>
          </w:p>
        </w:tc>
        <w:tc>
          <w:tcPr>
            <w:tcW w:w="0" w:type="auto"/>
            <w:tcBorders>
              <w:top w:val="single" w:sz="4" w:space="0" w:color="auto"/>
              <w:bottom w:val="single" w:sz="4" w:space="0" w:color="auto"/>
            </w:tcBorders>
            <w:vAlign w:val="center"/>
            <w:hideMark/>
          </w:tcPr>
          <w:p w14:paraId="71C4D159" w14:textId="77777777" w:rsidR="00212089" w:rsidRPr="00212089" w:rsidRDefault="00212089" w:rsidP="00212089">
            <w:pPr>
              <w:spacing w:after="0" w:line="240" w:lineRule="auto"/>
              <w:jc w:val="right"/>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t</w:t>
            </w:r>
          </w:p>
        </w:tc>
        <w:tc>
          <w:tcPr>
            <w:tcW w:w="0" w:type="auto"/>
            <w:tcBorders>
              <w:top w:val="single" w:sz="4" w:space="0" w:color="auto"/>
              <w:bottom w:val="single" w:sz="4" w:space="0" w:color="auto"/>
            </w:tcBorders>
            <w:vAlign w:val="center"/>
            <w:hideMark/>
          </w:tcPr>
          <w:p w14:paraId="26A02DE2" w14:textId="77777777" w:rsidR="00212089" w:rsidRPr="00212089" w:rsidRDefault="00212089" w:rsidP="00212089">
            <w:pPr>
              <w:spacing w:after="0" w:line="240" w:lineRule="auto"/>
              <w:jc w:val="right"/>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p</w:t>
            </w:r>
          </w:p>
        </w:tc>
      </w:tr>
      <w:tr w:rsidR="00212089" w:rsidRPr="00212089" w14:paraId="68E4482D" w14:textId="77777777">
        <w:trPr>
          <w:tblCellSpacing w:w="15" w:type="dxa"/>
        </w:trPr>
        <w:tc>
          <w:tcPr>
            <w:tcW w:w="0" w:type="auto"/>
            <w:vAlign w:val="center"/>
            <w:hideMark/>
          </w:tcPr>
          <w:p w14:paraId="0E44EDC9"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Intercetta</w:t>
            </w:r>
          </w:p>
        </w:tc>
        <w:tc>
          <w:tcPr>
            <w:tcW w:w="0" w:type="auto"/>
            <w:vAlign w:val="center"/>
            <w:hideMark/>
          </w:tcPr>
          <w:p w14:paraId="0562DE76"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0.00163***</w:t>
            </w:r>
          </w:p>
        </w:tc>
        <w:tc>
          <w:tcPr>
            <w:tcW w:w="0" w:type="auto"/>
            <w:vAlign w:val="center"/>
            <w:hideMark/>
          </w:tcPr>
          <w:p w14:paraId="3CFD0F50"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0.00049</w:t>
            </w:r>
          </w:p>
        </w:tc>
        <w:tc>
          <w:tcPr>
            <w:tcW w:w="0" w:type="auto"/>
            <w:vAlign w:val="center"/>
            <w:hideMark/>
          </w:tcPr>
          <w:p w14:paraId="53413D9D"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3.329</w:t>
            </w:r>
          </w:p>
        </w:tc>
        <w:tc>
          <w:tcPr>
            <w:tcW w:w="0" w:type="auto"/>
            <w:vAlign w:val="center"/>
            <w:hideMark/>
          </w:tcPr>
          <w:p w14:paraId="08E589CE" w14:textId="43FCBC0E"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 xml:space="preserve">&lt; </w:t>
            </w:r>
            <w:r w:rsidR="00134E0B">
              <w:rPr>
                <w:rFonts w:ascii="Times New Roman" w:eastAsia="Times New Roman" w:hAnsi="Times New Roman" w:cs="Times New Roman"/>
                <w:kern w:val="0"/>
                <w:sz w:val="24"/>
                <w:szCs w:val="24"/>
                <w:lang w:eastAsia="it-IT"/>
                <w14:ligatures w14:val="none"/>
              </w:rPr>
              <w:t>0</w:t>
            </w:r>
            <w:r w:rsidRPr="00212089">
              <w:rPr>
                <w:rFonts w:ascii="Times New Roman" w:eastAsia="Times New Roman" w:hAnsi="Times New Roman" w:cs="Times New Roman"/>
                <w:kern w:val="0"/>
                <w:sz w:val="24"/>
                <w:szCs w:val="24"/>
                <w:lang w:eastAsia="it-IT"/>
                <w14:ligatures w14:val="none"/>
              </w:rPr>
              <w:t>.001</w:t>
            </w:r>
          </w:p>
        </w:tc>
      </w:tr>
      <w:tr w:rsidR="00212089" w:rsidRPr="00212089" w14:paraId="4BCDC3CA" w14:textId="77777777" w:rsidTr="00BF682E">
        <w:trPr>
          <w:tblCellSpacing w:w="15" w:type="dxa"/>
        </w:trPr>
        <w:tc>
          <w:tcPr>
            <w:tcW w:w="0" w:type="auto"/>
            <w:tcBorders>
              <w:bottom w:val="single" w:sz="4" w:space="0" w:color="auto"/>
            </w:tcBorders>
            <w:vAlign w:val="center"/>
            <w:hideMark/>
          </w:tcPr>
          <w:p w14:paraId="18B1C3DC"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return_pred</w:t>
            </w:r>
          </w:p>
        </w:tc>
        <w:tc>
          <w:tcPr>
            <w:tcW w:w="0" w:type="auto"/>
            <w:tcBorders>
              <w:bottom w:val="single" w:sz="4" w:space="0" w:color="auto"/>
            </w:tcBorders>
            <w:vAlign w:val="center"/>
            <w:hideMark/>
          </w:tcPr>
          <w:p w14:paraId="76B39CC5"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-0.00309**</w:t>
            </w:r>
          </w:p>
        </w:tc>
        <w:tc>
          <w:tcPr>
            <w:tcW w:w="0" w:type="auto"/>
            <w:tcBorders>
              <w:bottom w:val="single" w:sz="4" w:space="0" w:color="auto"/>
            </w:tcBorders>
            <w:vAlign w:val="center"/>
            <w:hideMark/>
          </w:tcPr>
          <w:p w14:paraId="63922734"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0.00115</w:t>
            </w:r>
          </w:p>
        </w:tc>
        <w:tc>
          <w:tcPr>
            <w:tcW w:w="0" w:type="auto"/>
            <w:tcBorders>
              <w:bottom w:val="single" w:sz="4" w:space="0" w:color="auto"/>
            </w:tcBorders>
            <w:vAlign w:val="center"/>
            <w:hideMark/>
          </w:tcPr>
          <w:p w14:paraId="78F6D69F" w14:textId="77777777" w:rsidR="00212089" w:rsidRPr="00212089" w:rsidRDefault="00212089" w:rsidP="00212089">
            <w:pPr>
              <w:spacing w:after="0" w:line="240" w:lineRule="auto"/>
              <w:jc w:val="right"/>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-2.683</w:t>
            </w:r>
          </w:p>
        </w:tc>
        <w:tc>
          <w:tcPr>
            <w:tcW w:w="0" w:type="auto"/>
            <w:tcBorders>
              <w:bottom w:val="single" w:sz="4" w:space="0" w:color="auto"/>
            </w:tcBorders>
            <w:vAlign w:val="center"/>
            <w:hideMark/>
          </w:tcPr>
          <w:p w14:paraId="30947EB5" w14:textId="51C72BBE" w:rsidR="00212089" w:rsidRPr="00212089" w:rsidRDefault="00134E0B" w:rsidP="00212089">
            <w:pPr>
              <w:spacing w:after="0" w:line="240" w:lineRule="auto"/>
              <w:jc w:val="right"/>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0</w:t>
            </w:r>
            <w:r w:rsidR="00212089" w:rsidRPr="00212089">
              <w:rPr>
                <w:rFonts w:ascii="Times New Roman" w:eastAsia="Times New Roman" w:hAnsi="Times New Roman" w:cs="Times New Roman"/>
                <w:kern w:val="0"/>
                <w:sz w:val="24"/>
                <w:szCs w:val="24"/>
                <w:lang w:eastAsia="it-IT"/>
                <w14:ligatures w14:val="none"/>
              </w:rPr>
              <w:t>.007</w:t>
            </w:r>
          </w:p>
        </w:tc>
      </w:tr>
    </w:tbl>
    <w:p w14:paraId="1FBB5D6C" w14:textId="516FC97E" w:rsidR="00212089" w:rsidRPr="00212089" w:rsidRDefault="00212089" w:rsidP="00D157D3">
      <w:pPr>
        <w:jc w:val="both"/>
        <w:rPr>
          <w:rFonts w:ascii="Times New Roman" w:hAnsi="Times New Roman" w:cs="Times New Roman"/>
          <w:sz w:val="24"/>
          <w:szCs w:val="24"/>
        </w:rPr>
      </w:pPr>
      <w:r w:rsidRPr="00212089">
        <w:rPr>
          <w:rFonts w:ascii="Times New Roman" w:hAnsi="Times New Roman" w:cs="Times New Roman"/>
          <w:i/>
          <w:iCs/>
          <w:sz w:val="24"/>
          <w:szCs w:val="24"/>
        </w:rPr>
        <w:t xml:space="preserve">Nota: </w:t>
      </w:r>
      <w:r w:rsidRPr="00212089">
        <w:rPr>
          <w:rFonts w:ascii="Times New Roman" w:hAnsi="Times New Roman" w:cs="Times New Roman"/>
          <w:sz w:val="24"/>
          <w:szCs w:val="24"/>
        </w:rPr>
        <w:t xml:space="preserve">Variabile dipendente: </w:t>
      </w:r>
      <w:r w:rsidRPr="00212089">
        <w:rPr>
          <w:rFonts w:ascii="Times New Roman" w:hAnsi="Times New Roman" w:cs="Times New Roman"/>
          <w:i/>
          <w:iCs/>
          <w:sz w:val="24"/>
          <w:szCs w:val="24"/>
        </w:rPr>
        <w:t>return_oc</w:t>
      </w:r>
      <w:r w:rsidRPr="00212089">
        <w:rPr>
          <w:rFonts w:ascii="Times New Roman" w:hAnsi="Times New Roman" w:cs="Times New Roman"/>
          <w:sz w:val="24"/>
          <w:szCs w:val="24"/>
        </w:rPr>
        <w:t xml:space="preserve">. SE = errore standard. ** p &lt; .01, *** p &lt; .001. </w:t>
      </w:r>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=0.006</m:t>
        </m:r>
      </m:oMath>
      <w:r w:rsidRPr="00212089">
        <w:rPr>
          <w:rFonts w:ascii="Times New Roman" w:hAnsi="Times New Roman" w:cs="Times New Roman"/>
          <w:sz w:val="24"/>
          <w:szCs w:val="24"/>
        </w:rPr>
        <w:t xml:space="preserve">, </w:t>
      </w:r>
      <m:oMath>
        <m:r>
          <w:rPr>
            <w:rFonts w:ascii="Cambria Math" w:hAnsi="Cambria Math" w:cs="Times New Roman"/>
            <w:sz w:val="24"/>
            <w:szCs w:val="24"/>
          </w:rPr>
          <m:t>Adj</m:t>
        </m:r>
        <m:r>
          <m:rPr>
            <m:sty m:val="p"/>
          </m:rPr>
          <w:rPr>
            <w:rFonts w:ascii="Cambria Math" w:hAnsi="Cambria Math" w:cs="Times New Roman"/>
            <w:sz w:val="24"/>
            <w:szCs w:val="24"/>
          </w:rPr>
          <m:t>. </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=0.005</m:t>
        </m:r>
      </m:oMath>
      <w:r w:rsidRPr="00212089">
        <w:rPr>
          <w:rFonts w:ascii="Times New Roman" w:hAnsi="Times New Roman" w:cs="Times New Roman"/>
          <w:sz w:val="24"/>
          <w:szCs w:val="24"/>
        </w:rPr>
        <w:t xml:space="preserve">, </w:t>
      </w:r>
      <m:oMath>
        <m:r>
          <w:rPr>
            <w:rFonts w:ascii="Cambria Math" w:hAnsi="Cambria Math" w:cs="Times New Roman"/>
            <w:sz w:val="24"/>
            <w:szCs w:val="24"/>
          </w:rPr>
          <m:t>F(1,1143)=7.199</m:t>
        </m:r>
      </m:oMath>
      <w:r w:rsidRPr="00212089">
        <w:rPr>
          <w:rFonts w:ascii="Times New Roman" w:hAnsi="Times New Roman" w:cs="Times New Roman"/>
          <w:sz w:val="24"/>
          <w:szCs w:val="24"/>
        </w:rPr>
        <w:t xml:space="preserve">, </w:t>
      </w:r>
      <m:oMath>
        <m:r>
          <w:rPr>
            <w:rFonts w:ascii="Cambria Math" w:hAnsi="Cambria Math" w:cs="Times New Roman"/>
            <w:sz w:val="24"/>
            <w:szCs w:val="24"/>
          </w:rPr>
          <m:t>p=.007</m:t>
        </m:r>
      </m:oMath>
      <w:r w:rsidRPr="00212089">
        <w:rPr>
          <w:rFonts w:ascii="Times New Roman" w:hAnsi="Times New Roman" w:cs="Times New Roman"/>
          <w:sz w:val="24"/>
          <w:szCs w:val="24"/>
        </w:rPr>
        <w:t>.</w:t>
      </w:r>
    </w:p>
    <w:p w14:paraId="709CCBCE" w14:textId="302DE58C" w:rsidR="00C33D36" w:rsidRPr="00C33D36" w:rsidRDefault="00C33D36" w:rsidP="008A240A">
      <w:pPr>
        <w:jc w:val="both"/>
        <w:rPr>
          <w:rFonts w:ascii="Times New Roman" w:hAnsi="Times New Roman" w:cs="Times New Roman"/>
          <w:b/>
          <w:bCs/>
          <w:sz w:val="24"/>
          <w:szCs w:val="24"/>
          <w:lang w:val="en-GB"/>
        </w:rPr>
      </w:pPr>
      <w:r w:rsidRPr="00C33D36">
        <w:rPr>
          <w:rFonts w:ascii="Times New Roman" w:hAnsi="Times New Roman" w:cs="Times New Roman"/>
          <w:b/>
          <w:bCs/>
          <w:sz w:val="24"/>
          <w:szCs w:val="24"/>
          <w:lang w:val="en-GB"/>
        </w:rPr>
        <w:t>3</w:t>
      </w:r>
      <w:r w:rsidR="008A240A" w:rsidRPr="00C33D36">
        <w:rPr>
          <w:rFonts w:ascii="Times New Roman" w:hAnsi="Times New Roman" w:cs="Times New Roman"/>
          <w:b/>
          <w:bCs/>
          <w:sz w:val="24"/>
          <w:szCs w:val="24"/>
          <w:lang w:val="en-GB"/>
        </w:rPr>
        <w:t xml:space="preserve">.6 </w:t>
      </w:r>
      <w:r w:rsidRPr="00C33D36">
        <w:rPr>
          <w:rFonts w:ascii="Times New Roman" w:hAnsi="Times New Roman" w:cs="Times New Roman"/>
          <w:b/>
          <w:bCs/>
          <w:sz w:val="24"/>
          <w:szCs w:val="24"/>
          <w:lang w:val="en-GB"/>
        </w:rPr>
        <w:t>Data Cleaning, Outlier Analysis, and Model Performance</w:t>
      </w:r>
    </w:p>
    <w:p w14:paraId="57487E9A" w14:textId="66D53754" w:rsidR="00C33D36" w:rsidRPr="00C33D36" w:rsidRDefault="00C33D36" w:rsidP="00C33D36">
      <w:pPr>
        <w:jc w:val="both"/>
        <w:rPr>
          <w:rFonts w:ascii="Times New Roman" w:hAnsi="Times New Roman" w:cs="Times New Roman"/>
          <w:sz w:val="24"/>
          <w:szCs w:val="24"/>
        </w:rPr>
      </w:pPr>
      <w:r w:rsidRPr="00C33D36">
        <w:rPr>
          <w:rFonts w:ascii="Times New Roman" w:hAnsi="Times New Roman" w:cs="Times New Roman"/>
          <w:sz w:val="24"/>
          <w:szCs w:val="24"/>
        </w:rPr>
        <w:t xml:space="preserve">Per garantire la solidità metodologica dell'esperimento, l'analisi è stata sottoposta a una serie di verifiche di robustezza strutturate. In primo luogo, si è proceduto alla purificazione del dataset tramite l’esclusione sistematica delle osservazioni invalide, quali output incompleti, errori operativi evidenti, ticker inesistenti o asset non inclusi nell’universo investibile ex-ante. Tale procedura di pulizia non ha prodotto variazioni sostanziali nelle metriche aggregate: le discrepanze riscontrate sia in termini di </w:t>
      </w:r>
      <w:r w:rsidRPr="00C33D36">
        <w:rPr>
          <w:rFonts w:ascii="Times New Roman" w:hAnsi="Times New Roman" w:cs="Times New Roman"/>
          <w:i/>
          <w:iCs/>
          <w:sz w:val="24"/>
          <w:szCs w:val="24"/>
        </w:rPr>
        <w:t>directional accuracy</w:t>
      </w:r>
      <w:r w:rsidRPr="00C33D36">
        <w:rPr>
          <w:rFonts w:ascii="Times New Roman" w:hAnsi="Times New Roman" w:cs="Times New Roman"/>
          <w:sz w:val="24"/>
          <w:szCs w:val="24"/>
        </w:rPr>
        <w:t xml:space="preserve"> sia di </w:t>
      </w:r>
      <w:r w:rsidRPr="00C33D36">
        <w:rPr>
          <w:rFonts w:ascii="Times New Roman" w:hAnsi="Times New Roman" w:cs="Times New Roman"/>
          <w:i/>
          <w:iCs/>
          <w:sz w:val="24"/>
          <w:szCs w:val="24"/>
        </w:rPr>
        <w:t>Sharpe ratio</w:t>
      </w:r>
      <w:r w:rsidRPr="00C33D36">
        <w:rPr>
          <w:rFonts w:ascii="Times New Roman" w:hAnsi="Times New Roman" w:cs="Times New Roman"/>
          <w:sz w:val="24"/>
          <w:szCs w:val="24"/>
        </w:rPr>
        <w:t xml:space="preserve"> e rendimenti cumulati sono risultate marginali. Questa evidenza suggerisce che le limitazioni predittive riscontrate non derivino da anomalie operative o </w:t>
      </w:r>
      <w:r w:rsidRPr="00C33D36">
        <w:rPr>
          <w:rFonts w:ascii="Times New Roman" w:hAnsi="Times New Roman" w:cs="Times New Roman"/>
          <w:i/>
          <w:iCs/>
          <w:sz w:val="24"/>
          <w:szCs w:val="24"/>
        </w:rPr>
        <w:t>hallucinations</w:t>
      </w:r>
      <w:r w:rsidRPr="00C33D36">
        <w:rPr>
          <w:rFonts w:ascii="Times New Roman" w:hAnsi="Times New Roman" w:cs="Times New Roman"/>
          <w:sz w:val="24"/>
          <w:szCs w:val="24"/>
        </w:rPr>
        <w:t xml:space="preserve"> episodiche, bensì da caratteristiche strutturali e intrinseche del processo inferenziale dei Large Language Models (LLMs) applicati al dominio finanziario.</w:t>
      </w:r>
    </w:p>
    <w:p w14:paraId="078BD7B1" w14:textId="77777777" w:rsidR="00C33D36" w:rsidRDefault="00C33D36" w:rsidP="00DF37E2">
      <w:pPr>
        <w:jc w:val="both"/>
        <w:rPr>
          <w:rFonts w:ascii="Times New Roman" w:hAnsi="Times New Roman" w:cs="Times New Roman"/>
          <w:sz w:val="24"/>
          <w:szCs w:val="24"/>
        </w:rPr>
      </w:pPr>
      <w:r w:rsidRPr="00C33D36">
        <w:rPr>
          <w:rFonts w:ascii="Times New Roman" w:hAnsi="Times New Roman" w:cs="Times New Roman"/>
          <w:sz w:val="24"/>
          <w:szCs w:val="24"/>
        </w:rPr>
        <w:t>In secondo luogo, è stata condotta un'analisi approfondita sui rendimenti estremi (</w:t>
      </w:r>
      <w:r w:rsidRPr="00C33D36">
        <w:rPr>
          <w:rFonts w:ascii="Times New Roman" w:hAnsi="Times New Roman" w:cs="Times New Roman"/>
          <w:i/>
          <w:iCs/>
          <w:sz w:val="24"/>
          <w:szCs w:val="24"/>
        </w:rPr>
        <w:t>outliers</w:t>
      </w:r>
      <w:r w:rsidRPr="00C33D36">
        <w:rPr>
          <w:rFonts w:ascii="Times New Roman" w:hAnsi="Times New Roman" w:cs="Times New Roman"/>
          <w:sz w:val="24"/>
          <w:szCs w:val="24"/>
        </w:rPr>
        <w:t>) per verificare se le performance storiche dei portafogli fossero artificialmente guidate da un ristretto numero di giornate eccezionali. Gli outliers giornalieri sono stati identificati applicando il metodo statistico standard dell'intervallo interquartile (IQR), classificando come anomalie i rendimenti esterni alla banda</w:t>
      </w:r>
      <w:r>
        <w:rPr>
          <w:rFonts w:ascii="Times New Roman" w:hAnsi="Times New Roman" w:cs="Times New Roman"/>
          <w:sz w:val="24"/>
          <w:szCs w:val="24"/>
        </w:rPr>
        <w:t xml:space="preserve"> </w:t>
      </w:r>
      <w:r w:rsidR="00DF37E2" w:rsidRPr="00DF37E2">
        <w:rPr>
          <w:rFonts w:ascii="Times New Roman" w:hAnsi="Times New Roman" w:cs="Times New Roman"/>
          <w:sz w:val="24"/>
          <w:szCs w:val="24"/>
        </w:rPr>
        <w:t>(</w:t>
      </w:r>
      <m:oMath>
        <m:r>
          <w:rPr>
            <w:rFonts w:ascii="Cambria Math" w:hAnsi="Cambria Math" w:cs="Times New Roman"/>
            <w:sz w:val="24"/>
            <w:szCs w:val="24"/>
          </w:rPr>
          <m:t>Q1 - 1.5 × IQR;Q3 + 1.5 ×IQR</m:t>
        </m:r>
      </m:oMath>
      <w:r w:rsidR="00DF37E2" w:rsidRPr="00DF37E2">
        <w:rPr>
          <w:rFonts w:ascii="Times New Roman" w:hAnsi="Times New Roman" w:cs="Times New Roman"/>
          <w:sz w:val="24"/>
          <w:szCs w:val="24"/>
        </w:rPr>
        <w:t xml:space="preserve">). </w:t>
      </w:r>
    </w:p>
    <w:p w14:paraId="0C2C0FE8" w14:textId="1ADE5C1F" w:rsidR="00C33D36" w:rsidRDefault="00C33D36" w:rsidP="00DF37E2">
      <w:pPr>
        <w:jc w:val="both"/>
        <w:rPr>
          <w:rFonts w:ascii="Times New Roman" w:hAnsi="Times New Roman" w:cs="Times New Roman"/>
          <w:sz w:val="24"/>
          <w:szCs w:val="24"/>
        </w:rPr>
      </w:pPr>
      <w:r w:rsidRPr="00C33D36">
        <w:rPr>
          <w:rFonts w:ascii="Times New Roman" w:hAnsi="Times New Roman" w:cs="Times New Roman"/>
          <w:sz w:val="24"/>
          <w:szCs w:val="24"/>
        </w:rPr>
        <w:t xml:space="preserve">L'esame della distribuzione dei rendimenti rileva una struttura complessivamente omogenea e una presenza contenuta di anomalie, diffusamente inferiori al 3% del campione totale. Gli eventi estremi </w:t>
      </w:r>
      <w:r w:rsidRPr="00C33D36">
        <w:rPr>
          <w:rFonts w:ascii="Times New Roman" w:hAnsi="Times New Roman" w:cs="Times New Roman"/>
          <w:sz w:val="24"/>
          <w:szCs w:val="24"/>
        </w:rPr>
        <w:lastRenderedPageBreak/>
        <w:t>risultano concentrati prevalentemente nella coda superiore della distribuzione, evidenziando una maggiore frequenza di asimmetrie positive soprattutto nei portafogli ponderati per la capitalizzazione (</w:t>
      </w:r>
      <w:r w:rsidRPr="00C33D36">
        <w:rPr>
          <w:rFonts w:ascii="Times New Roman" w:hAnsi="Times New Roman" w:cs="Times New Roman"/>
          <w:i/>
          <w:iCs/>
          <w:sz w:val="24"/>
          <w:szCs w:val="24"/>
        </w:rPr>
        <w:t>Value Weighted</w:t>
      </w:r>
      <w:r w:rsidRPr="00C33D36">
        <w:rPr>
          <w:rFonts w:ascii="Times New Roman" w:hAnsi="Times New Roman" w:cs="Times New Roman"/>
          <w:sz w:val="24"/>
          <w:szCs w:val="24"/>
        </w:rPr>
        <w:t>).</w:t>
      </w:r>
    </w:p>
    <w:p w14:paraId="42E95ADF" w14:textId="7F7F6952" w:rsidR="00DF37E2" w:rsidRPr="00DF37E2" w:rsidRDefault="00DF37E2" w:rsidP="00DF37E2">
      <w:pPr>
        <w:jc w:val="both"/>
        <w:rPr>
          <w:rFonts w:ascii="Times New Roman" w:hAnsi="Times New Roman" w:cs="Times New Roman"/>
          <w:sz w:val="24"/>
          <w:szCs w:val="24"/>
        </w:rPr>
      </w:pPr>
      <w:r w:rsidRPr="00DF37E2">
        <w:rPr>
          <w:rFonts w:ascii="Times New Roman" w:hAnsi="Times New Roman" w:cs="Times New Roman"/>
          <w:sz w:val="24"/>
          <w:szCs w:val="24"/>
        </w:rPr>
        <w:t xml:space="preserve">La Figura </w:t>
      </w:r>
      <w:r w:rsidR="00C27D44">
        <w:rPr>
          <w:rFonts w:ascii="Times New Roman" w:hAnsi="Times New Roman" w:cs="Times New Roman"/>
          <w:sz w:val="24"/>
          <w:szCs w:val="24"/>
        </w:rPr>
        <w:t>3</w:t>
      </w:r>
      <w:r w:rsidRPr="00DF37E2">
        <w:rPr>
          <w:rFonts w:ascii="Times New Roman" w:hAnsi="Times New Roman" w:cs="Times New Roman"/>
          <w:sz w:val="24"/>
          <w:szCs w:val="24"/>
        </w:rPr>
        <w:t xml:space="preserve"> riporta la distribuzione dei rendimenti giornalieri e gli outliers identificati per ciascun portafoglio.</w:t>
      </w:r>
    </w:p>
    <w:p w14:paraId="6261AD95" w14:textId="77777777" w:rsidR="00216505" w:rsidRDefault="00D157D3" w:rsidP="00216505">
      <w:pPr>
        <w:keepNext/>
        <w:jc w:val="center"/>
      </w:pPr>
      <w:r>
        <w:rPr>
          <w:rFonts w:ascii="Times New Roman" w:hAnsi="Times New Roman" w:cs="Times New Roman"/>
          <w:b/>
          <w:bCs/>
          <w:noProof/>
          <w:sz w:val="24"/>
          <w:szCs w:val="24"/>
        </w:rPr>
        <w:drawing>
          <wp:inline distT="0" distB="0" distL="0" distR="0" wp14:anchorId="256F30DA" wp14:editId="31E2928D">
            <wp:extent cx="4548146" cy="3003760"/>
            <wp:effectExtent l="0" t="0" r="5080" b="6350"/>
            <wp:docPr id="69404706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4913" cy="3008229"/>
                    </a:xfrm>
                    <a:prstGeom prst="rect">
                      <a:avLst/>
                    </a:prstGeom>
                    <a:noFill/>
                    <a:ln>
                      <a:noFill/>
                    </a:ln>
                  </pic:spPr>
                </pic:pic>
              </a:graphicData>
            </a:graphic>
          </wp:inline>
        </w:drawing>
      </w:r>
    </w:p>
    <w:p w14:paraId="607F4695" w14:textId="2218F044" w:rsidR="00DF37E2" w:rsidRPr="00216505" w:rsidRDefault="00216505" w:rsidP="00216505">
      <w:pPr>
        <w:pStyle w:val="Didascalia"/>
        <w:jc w:val="center"/>
        <w:rPr>
          <w:rFonts w:ascii="Times New Roman" w:hAnsi="Times New Roman" w:cs="Times New Roman"/>
          <w:i w:val="0"/>
          <w:iCs w:val="0"/>
          <w:color w:val="auto"/>
          <w:sz w:val="24"/>
          <w:szCs w:val="24"/>
        </w:rPr>
      </w:pPr>
      <w:r w:rsidRPr="00216505">
        <w:rPr>
          <w:rFonts w:ascii="Times New Roman" w:hAnsi="Times New Roman" w:cs="Times New Roman"/>
          <w:color w:val="auto"/>
        </w:rPr>
        <w:t xml:space="preserve">Figure </w:t>
      </w:r>
      <w:r w:rsidRPr="00216505">
        <w:rPr>
          <w:rFonts w:ascii="Times New Roman" w:hAnsi="Times New Roman" w:cs="Times New Roman"/>
          <w:color w:val="auto"/>
        </w:rPr>
        <w:fldChar w:fldCharType="begin"/>
      </w:r>
      <w:r w:rsidRPr="00216505">
        <w:rPr>
          <w:rFonts w:ascii="Times New Roman" w:hAnsi="Times New Roman" w:cs="Times New Roman"/>
          <w:color w:val="auto"/>
        </w:rPr>
        <w:instrText xml:space="preserve"> SEQ Figure \* ARABIC </w:instrText>
      </w:r>
      <w:r w:rsidRPr="00216505">
        <w:rPr>
          <w:rFonts w:ascii="Times New Roman" w:hAnsi="Times New Roman" w:cs="Times New Roman"/>
          <w:color w:val="auto"/>
        </w:rPr>
        <w:fldChar w:fldCharType="separate"/>
      </w:r>
      <w:r w:rsidRPr="00216505">
        <w:rPr>
          <w:rFonts w:ascii="Times New Roman" w:hAnsi="Times New Roman" w:cs="Times New Roman"/>
          <w:noProof/>
          <w:color w:val="auto"/>
        </w:rPr>
        <w:t>3</w:t>
      </w:r>
      <w:r w:rsidRPr="00216505">
        <w:rPr>
          <w:rFonts w:ascii="Times New Roman" w:hAnsi="Times New Roman" w:cs="Times New Roman"/>
          <w:color w:val="auto"/>
        </w:rPr>
        <w:fldChar w:fldCharType="end"/>
      </w:r>
    </w:p>
    <w:p w14:paraId="6CCF46B9" w14:textId="47F015C0" w:rsidR="00DF37E2" w:rsidRDefault="00DF37E2" w:rsidP="00DF37E2">
      <w:pPr>
        <w:jc w:val="both"/>
        <w:rPr>
          <w:rFonts w:ascii="Times New Roman" w:hAnsi="Times New Roman" w:cs="Times New Roman"/>
          <w:i/>
          <w:iCs/>
          <w:sz w:val="24"/>
          <w:szCs w:val="24"/>
        </w:rPr>
      </w:pPr>
      <w:r w:rsidRPr="00DF37E2">
        <w:rPr>
          <w:rFonts w:ascii="Times New Roman" w:hAnsi="Times New Roman" w:cs="Times New Roman"/>
          <w:i/>
          <w:iCs/>
          <w:sz w:val="24"/>
          <w:szCs w:val="24"/>
        </w:rPr>
        <w:t>Nota. La figura mostra i boxplot dei rendimenti giornalieri dei portafogli LLM. Gli outliers sono identificati mediante criterio interquartile standard (1.5 × IQR).</w:t>
      </w:r>
    </w:p>
    <w:p w14:paraId="243E0A5B" w14:textId="3792EEEA" w:rsidR="00D157D3" w:rsidRPr="00DF37E2" w:rsidRDefault="00DF37E2" w:rsidP="00DF37E2">
      <w:pPr>
        <w:jc w:val="both"/>
        <w:rPr>
          <w:rFonts w:ascii="Times New Roman" w:hAnsi="Times New Roman" w:cs="Times New Roman"/>
          <w:sz w:val="24"/>
          <w:szCs w:val="24"/>
        </w:rPr>
      </w:pPr>
      <w:r w:rsidRPr="00DF37E2">
        <w:rPr>
          <w:rFonts w:ascii="Times New Roman" w:hAnsi="Times New Roman" w:cs="Times New Roman"/>
          <w:sz w:val="24"/>
          <w:szCs w:val="24"/>
        </w:rPr>
        <w:t xml:space="preserve">La Tabella </w:t>
      </w:r>
      <w:r w:rsidR="00D157D3">
        <w:rPr>
          <w:rFonts w:ascii="Times New Roman" w:hAnsi="Times New Roman" w:cs="Times New Roman"/>
          <w:sz w:val="24"/>
          <w:szCs w:val="24"/>
        </w:rPr>
        <w:t>1</w:t>
      </w:r>
      <w:r w:rsidR="00C27D44">
        <w:rPr>
          <w:rFonts w:ascii="Times New Roman" w:hAnsi="Times New Roman" w:cs="Times New Roman"/>
          <w:sz w:val="24"/>
          <w:szCs w:val="24"/>
        </w:rPr>
        <w:t>0</w:t>
      </w:r>
      <w:r w:rsidR="00D157D3">
        <w:rPr>
          <w:rFonts w:ascii="Times New Roman" w:hAnsi="Times New Roman" w:cs="Times New Roman"/>
          <w:sz w:val="24"/>
          <w:szCs w:val="24"/>
        </w:rPr>
        <w:t xml:space="preserve"> </w:t>
      </w:r>
      <w:r w:rsidRPr="00DF37E2">
        <w:rPr>
          <w:rFonts w:ascii="Times New Roman" w:hAnsi="Times New Roman" w:cs="Times New Roman"/>
          <w:sz w:val="24"/>
          <w:szCs w:val="24"/>
        </w:rPr>
        <w:t>sintetizza il numero di osservazioni estreme identificate nei differenti portafogli.</w:t>
      </w:r>
    </w:p>
    <w:p w14:paraId="27531B35" w14:textId="312BEC4C" w:rsidR="00D157D3" w:rsidRPr="006270F8" w:rsidRDefault="00D157D3" w:rsidP="006270F8">
      <w:pPr>
        <w:pStyle w:val="Didascalia"/>
        <w:keepNext/>
        <w:rPr>
          <w:color w:val="auto"/>
        </w:rPr>
      </w:pPr>
      <w:r w:rsidRPr="00D157D3">
        <w:rPr>
          <w:color w:val="auto"/>
        </w:rPr>
        <w:t xml:space="preserve">Tabella </w:t>
      </w:r>
      <w:r w:rsidRPr="00D157D3">
        <w:rPr>
          <w:color w:val="auto"/>
        </w:rPr>
        <w:fldChar w:fldCharType="begin"/>
      </w:r>
      <w:r w:rsidRPr="00D157D3">
        <w:rPr>
          <w:color w:val="auto"/>
        </w:rPr>
        <w:instrText xml:space="preserve"> SEQ Tabella \* ARABIC </w:instrText>
      </w:r>
      <w:r w:rsidRPr="00D157D3">
        <w:rPr>
          <w:color w:val="auto"/>
        </w:rPr>
        <w:fldChar w:fldCharType="separate"/>
      </w:r>
      <w:r w:rsidR="00D11ED9">
        <w:rPr>
          <w:noProof/>
          <w:color w:val="auto"/>
        </w:rPr>
        <w:t>10</w:t>
      </w:r>
      <w:r w:rsidRPr="00D157D3">
        <w:rPr>
          <w:color w:val="auto"/>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707"/>
        <w:gridCol w:w="974"/>
        <w:gridCol w:w="1040"/>
        <w:gridCol w:w="1280"/>
        <w:gridCol w:w="1335"/>
      </w:tblGrid>
      <w:tr w:rsidR="00212089" w:rsidRPr="00212089" w14:paraId="6DE38AE9" w14:textId="77777777" w:rsidTr="00704DBE">
        <w:trPr>
          <w:tblHeader/>
          <w:tblCellSpacing w:w="15" w:type="dxa"/>
        </w:trPr>
        <w:tc>
          <w:tcPr>
            <w:tcW w:w="0" w:type="auto"/>
            <w:tcBorders>
              <w:top w:val="single" w:sz="4" w:space="0" w:color="auto"/>
              <w:bottom w:val="single" w:sz="4" w:space="0" w:color="auto"/>
            </w:tcBorders>
            <w:vAlign w:val="center"/>
            <w:hideMark/>
          </w:tcPr>
          <w:p w14:paraId="2A9287EF" w14:textId="77777777" w:rsidR="00212089" w:rsidRPr="00212089" w:rsidRDefault="00212089" w:rsidP="00212089">
            <w:pPr>
              <w:spacing w:after="0" w:line="240" w:lineRule="auto"/>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Portafoglio</w:t>
            </w:r>
          </w:p>
        </w:tc>
        <w:tc>
          <w:tcPr>
            <w:tcW w:w="0" w:type="auto"/>
            <w:tcBorders>
              <w:top w:val="single" w:sz="4" w:space="0" w:color="auto"/>
              <w:bottom w:val="single" w:sz="4" w:space="0" w:color="auto"/>
            </w:tcBorders>
            <w:vAlign w:val="center"/>
            <w:hideMark/>
          </w:tcPr>
          <w:p w14:paraId="52759A04" w14:textId="730F930E" w:rsidR="00212089" w:rsidRPr="00212089" w:rsidRDefault="00212089" w:rsidP="00212089">
            <w:pPr>
              <w:spacing w:after="0" w:line="240" w:lineRule="auto"/>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 xml:space="preserve">N </w:t>
            </w:r>
            <w:r w:rsidR="00704DBE">
              <w:rPr>
                <w:rFonts w:ascii="Times New Roman" w:eastAsia="Times New Roman" w:hAnsi="Times New Roman" w:cs="Times New Roman"/>
                <w:b/>
                <w:bCs/>
                <w:kern w:val="0"/>
                <w:sz w:val="24"/>
                <w:szCs w:val="24"/>
                <w:lang w:eastAsia="it-IT"/>
                <w14:ligatures w14:val="none"/>
              </w:rPr>
              <w:t>Obs</w:t>
            </w:r>
          </w:p>
        </w:tc>
        <w:tc>
          <w:tcPr>
            <w:tcW w:w="0" w:type="auto"/>
            <w:tcBorders>
              <w:top w:val="single" w:sz="4" w:space="0" w:color="auto"/>
              <w:bottom w:val="single" w:sz="4" w:space="0" w:color="auto"/>
            </w:tcBorders>
            <w:vAlign w:val="center"/>
            <w:hideMark/>
          </w:tcPr>
          <w:p w14:paraId="04A25C28" w14:textId="77777777" w:rsidR="00212089" w:rsidRPr="00212089" w:rsidRDefault="00212089" w:rsidP="00212089">
            <w:pPr>
              <w:spacing w:after="0" w:line="240" w:lineRule="auto"/>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N outlier</w:t>
            </w:r>
          </w:p>
        </w:tc>
        <w:tc>
          <w:tcPr>
            <w:tcW w:w="0" w:type="auto"/>
            <w:tcBorders>
              <w:top w:val="single" w:sz="4" w:space="0" w:color="auto"/>
              <w:bottom w:val="single" w:sz="4" w:space="0" w:color="auto"/>
            </w:tcBorders>
            <w:vAlign w:val="center"/>
            <w:hideMark/>
          </w:tcPr>
          <w:p w14:paraId="63B60FB2" w14:textId="77777777" w:rsidR="00212089" w:rsidRPr="00212089" w:rsidRDefault="00212089" w:rsidP="00212089">
            <w:pPr>
              <w:spacing w:after="0" w:line="240" w:lineRule="auto"/>
              <w:rPr>
                <w:rFonts w:ascii="Times New Roman" w:eastAsia="Times New Roman" w:hAnsi="Times New Roman" w:cs="Times New Roman"/>
                <w:b/>
                <w:bCs/>
                <w:kern w:val="0"/>
                <w:sz w:val="24"/>
                <w:szCs w:val="24"/>
                <w:lang w:eastAsia="it-IT"/>
                <w14:ligatures w14:val="none"/>
              </w:rPr>
            </w:pPr>
            <w:r w:rsidRPr="00212089">
              <w:rPr>
                <w:rFonts w:ascii="Times New Roman" w:eastAsia="Times New Roman" w:hAnsi="Times New Roman" w:cs="Times New Roman"/>
                <w:b/>
                <w:bCs/>
                <w:kern w:val="0"/>
                <w:sz w:val="24"/>
                <w:szCs w:val="24"/>
                <w:lang w:eastAsia="it-IT"/>
                <w14:ligatures w14:val="none"/>
              </w:rPr>
              <w:t>% outlier</w:t>
            </w:r>
          </w:p>
        </w:tc>
        <w:tc>
          <w:tcPr>
            <w:tcW w:w="0" w:type="auto"/>
            <w:tcBorders>
              <w:top w:val="single" w:sz="4" w:space="0" w:color="auto"/>
              <w:bottom w:val="single" w:sz="4" w:space="0" w:color="auto"/>
            </w:tcBorders>
            <w:vAlign w:val="center"/>
            <w:hideMark/>
          </w:tcPr>
          <w:p w14:paraId="5A84FD19" w14:textId="54040D16" w:rsidR="00212089" w:rsidRPr="00212089" w:rsidRDefault="00704DBE" w:rsidP="00212089">
            <w:pPr>
              <w:spacing w:after="0" w:line="240" w:lineRule="auto"/>
              <w:rPr>
                <w:rFonts w:ascii="Times New Roman" w:eastAsia="Times New Roman" w:hAnsi="Times New Roman" w:cs="Times New Roman"/>
                <w:b/>
                <w:bCs/>
                <w:kern w:val="0"/>
                <w:sz w:val="24"/>
                <w:szCs w:val="24"/>
                <w:lang w:eastAsia="it-IT"/>
                <w14:ligatures w14:val="none"/>
              </w:rPr>
            </w:pPr>
            <w:r>
              <w:rPr>
                <w:rFonts w:ascii="Times New Roman" w:eastAsia="Times New Roman" w:hAnsi="Times New Roman" w:cs="Times New Roman"/>
                <w:b/>
                <w:bCs/>
                <w:kern w:val="0"/>
                <w:sz w:val="24"/>
                <w:szCs w:val="24"/>
                <w:lang w:eastAsia="it-IT"/>
                <w14:ligatures w14:val="none"/>
              </w:rPr>
              <w:t>Min Return</w:t>
            </w:r>
          </w:p>
        </w:tc>
        <w:tc>
          <w:tcPr>
            <w:tcW w:w="0" w:type="auto"/>
            <w:tcBorders>
              <w:top w:val="single" w:sz="4" w:space="0" w:color="auto"/>
              <w:bottom w:val="single" w:sz="4" w:space="0" w:color="auto"/>
            </w:tcBorders>
            <w:vAlign w:val="center"/>
            <w:hideMark/>
          </w:tcPr>
          <w:p w14:paraId="3AEE9554" w14:textId="7B2628BB" w:rsidR="00212089" w:rsidRPr="00212089" w:rsidRDefault="00704DBE" w:rsidP="00212089">
            <w:pPr>
              <w:spacing w:after="0" w:line="240" w:lineRule="auto"/>
              <w:rPr>
                <w:rFonts w:ascii="Times New Roman" w:eastAsia="Times New Roman" w:hAnsi="Times New Roman" w:cs="Times New Roman"/>
                <w:b/>
                <w:bCs/>
                <w:kern w:val="0"/>
                <w:sz w:val="24"/>
                <w:szCs w:val="24"/>
                <w:lang w:eastAsia="it-IT"/>
                <w14:ligatures w14:val="none"/>
              </w:rPr>
            </w:pPr>
            <w:r>
              <w:rPr>
                <w:rFonts w:ascii="Times New Roman" w:eastAsia="Times New Roman" w:hAnsi="Times New Roman" w:cs="Times New Roman"/>
                <w:b/>
                <w:bCs/>
                <w:kern w:val="0"/>
                <w:sz w:val="24"/>
                <w:szCs w:val="24"/>
                <w:lang w:eastAsia="it-IT"/>
                <w14:ligatures w14:val="none"/>
              </w:rPr>
              <w:t>Max Return</w:t>
            </w:r>
          </w:p>
        </w:tc>
      </w:tr>
      <w:tr w:rsidR="00212089" w:rsidRPr="00212089" w14:paraId="6B3BC430" w14:textId="77777777">
        <w:trPr>
          <w:tblCellSpacing w:w="15" w:type="dxa"/>
        </w:trPr>
        <w:tc>
          <w:tcPr>
            <w:tcW w:w="0" w:type="auto"/>
            <w:vAlign w:val="center"/>
            <w:hideMark/>
          </w:tcPr>
          <w:p w14:paraId="4E0F49BA" w14:textId="1E34AAE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EW-</w:t>
            </w:r>
            <w:r w:rsidRPr="00212089">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3B8C38F1"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76</w:t>
            </w:r>
          </w:p>
        </w:tc>
        <w:tc>
          <w:tcPr>
            <w:tcW w:w="0" w:type="auto"/>
            <w:vAlign w:val="center"/>
            <w:hideMark/>
          </w:tcPr>
          <w:p w14:paraId="0D713D43"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w:t>
            </w:r>
          </w:p>
        </w:tc>
        <w:tc>
          <w:tcPr>
            <w:tcW w:w="0" w:type="auto"/>
            <w:vAlign w:val="center"/>
            <w:hideMark/>
          </w:tcPr>
          <w:p w14:paraId="4C47E04C"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2.63%</w:t>
            </w:r>
          </w:p>
        </w:tc>
        <w:tc>
          <w:tcPr>
            <w:tcW w:w="0" w:type="auto"/>
            <w:vAlign w:val="center"/>
            <w:hideMark/>
          </w:tcPr>
          <w:p w14:paraId="7C749CD8"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-0.0358</w:t>
            </w:r>
          </w:p>
        </w:tc>
        <w:tc>
          <w:tcPr>
            <w:tcW w:w="0" w:type="auto"/>
            <w:vAlign w:val="center"/>
            <w:hideMark/>
          </w:tcPr>
          <w:p w14:paraId="20B2177C"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0.0483</w:t>
            </w:r>
          </w:p>
        </w:tc>
      </w:tr>
      <w:tr w:rsidR="00212089" w:rsidRPr="00212089" w14:paraId="0783A624" w14:textId="77777777">
        <w:trPr>
          <w:tblCellSpacing w:w="15" w:type="dxa"/>
        </w:trPr>
        <w:tc>
          <w:tcPr>
            <w:tcW w:w="0" w:type="auto"/>
            <w:vAlign w:val="center"/>
            <w:hideMark/>
          </w:tcPr>
          <w:p w14:paraId="7E48378F" w14:textId="0080AE2A"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EW-</w:t>
            </w:r>
            <w:r w:rsidRPr="00212089">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33887571"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74</w:t>
            </w:r>
          </w:p>
        </w:tc>
        <w:tc>
          <w:tcPr>
            <w:tcW w:w="0" w:type="auto"/>
            <w:vAlign w:val="center"/>
            <w:hideMark/>
          </w:tcPr>
          <w:p w14:paraId="150E39B5"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w:t>
            </w:r>
          </w:p>
        </w:tc>
        <w:tc>
          <w:tcPr>
            <w:tcW w:w="0" w:type="auto"/>
            <w:vAlign w:val="center"/>
            <w:hideMark/>
          </w:tcPr>
          <w:p w14:paraId="5DC89D6F"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2.70%</w:t>
            </w:r>
          </w:p>
        </w:tc>
        <w:tc>
          <w:tcPr>
            <w:tcW w:w="0" w:type="auto"/>
            <w:vAlign w:val="center"/>
            <w:hideMark/>
          </w:tcPr>
          <w:p w14:paraId="744C8C81"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-0.0392</w:t>
            </w:r>
          </w:p>
        </w:tc>
        <w:tc>
          <w:tcPr>
            <w:tcW w:w="0" w:type="auto"/>
            <w:vAlign w:val="center"/>
            <w:hideMark/>
          </w:tcPr>
          <w:p w14:paraId="37B72142"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0.0589</w:t>
            </w:r>
          </w:p>
        </w:tc>
      </w:tr>
      <w:tr w:rsidR="00212089" w:rsidRPr="00212089" w14:paraId="2791AD73" w14:textId="77777777">
        <w:trPr>
          <w:tblCellSpacing w:w="15" w:type="dxa"/>
        </w:trPr>
        <w:tc>
          <w:tcPr>
            <w:tcW w:w="0" w:type="auto"/>
            <w:vAlign w:val="center"/>
            <w:hideMark/>
          </w:tcPr>
          <w:p w14:paraId="10335E27" w14:textId="3A9E8A3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EW-</w:t>
            </w:r>
            <w:r w:rsidRPr="00212089">
              <w:rPr>
                <w:rFonts w:ascii="Times New Roman" w:eastAsia="Times New Roman" w:hAnsi="Times New Roman" w:cs="Times New Roman"/>
                <w:kern w:val="0"/>
                <w:sz w:val="24"/>
                <w:szCs w:val="24"/>
                <w:lang w:eastAsia="it-IT"/>
                <w14:ligatures w14:val="none"/>
              </w:rPr>
              <w:t>G</w:t>
            </w:r>
          </w:p>
        </w:tc>
        <w:tc>
          <w:tcPr>
            <w:tcW w:w="0" w:type="auto"/>
            <w:vAlign w:val="center"/>
            <w:hideMark/>
          </w:tcPr>
          <w:p w14:paraId="1DAFB1B9"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73</w:t>
            </w:r>
          </w:p>
        </w:tc>
        <w:tc>
          <w:tcPr>
            <w:tcW w:w="0" w:type="auto"/>
            <w:vAlign w:val="center"/>
            <w:hideMark/>
          </w:tcPr>
          <w:p w14:paraId="7841B87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w:t>
            </w:r>
          </w:p>
        </w:tc>
        <w:tc>
          <w:tcPr>
            <w:tcW w:w="0" w:type="auto"/>
            <w:vAlign w:val="center"/>
            <w:hideMark/>
          </w:tcPr>
          <w:p w14:paraId="0C4F4252"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1.37%</w:t>
            </w:r>
          </w:p>
        </w:tc>
        <w:tc>
          <w:tcPr>
            <w:tcW w:w="0" w:type="auto"/>
            <w:vAlign w:val="center"/>
            <w:hideMark/>
          </w:tcPr>
          <w:p w14:paraId="57AFEC2D"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-0.0323</w:t>
            </w:r>
          </w:p>
        </w:tc>
        <w:tc>
          <w:tcPr>
            <w:tcW w:w="0" w:type="auto"/>
            <w:vAlign w:val="center"/>
            <w:hideMark/>
          </w:tcPr>
          <w:p w14:paraId="13045085"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0.0555</w:t>
            </w:r>
          </w:p>
        </w:tc>
      </w:tr>
      <w:tr w:rsidR="00212089" w:rsidRPr="00212089" w14:paraId="1E38ACB1" w14:textId="77777777">
        <w:trPr>
          <w:tblCellSpacing w:w="15" w:type="dxa"/>
        </w:trPr>
        <w:tc>
          <w:tcPr>
            <w:tcW w:w="0" w:type="auto"/>
            <w:vAlign w:val="center"/>
            <w:hideMark/>
          </w:tcPr>
          <w:p w14:paraId="18FD069B" w14:textId="1DC8FFD5"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SW-</w:t>
            </w:r>
            <w:r w:rsidRPr="00212089">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3DF320CE"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76</w:t>
            </w:r>
          </w:p>
        </w:tc>
        <w:tc>
          <w:tcPr>
            <w:tcW w:w="0" w:type="auto"/>
            <w:vAlign w:val="center"/>
            <w:hideMark/>
          </w:tcPr>
          <w:p w14:paraId="333E5707"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w:t>
            </w:r>
          </w:p>
        </w:tc>
        <w:tc>
          <w:tcPr>
            <w:tcW w:w="0" w:type="auto"/>
            <w:vAlign w:val="center"/>
            <w:hideMark/>
          </w:tcPr>
          <w:p w14:paraId="799D795D"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w:t>
            </w:r>
          </w:p>
        </w:tc>
        <w:tc>
          <w:tcPr>
            <w:tcW w:w="0" w:type="auto"/>
            <w:vAlign w:val="center"/>
            <w:hideMark/>
          </w:tcPr>
          <w:p w14:paraId="2945CC1D"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-0.0379</w:t>
            </w:r>
          </w:p>
        </w:tc>
        <w:tc>
          <w:tcPr>
            <w:tcW w:w="0" w:type="auto"/>
            <w:vAlign w:val="center"/>
            <w:hideMark/>
          </w:tcPr>
          <w:p w14:paraId="75B43A97"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0.0421</w:t>
            </w:r>
          </w:p>
        </w:tc>
      </w:tr>
      <w:tr w:rsidR="00212089" w:rsidRPr="00212089" w14:paraId="68129BB3" w14:textId="77777777">
        <w:trPr>
          <w:tblCellSpacing w:w="15" w:type="dxa"/>
        </w:trPr>
        <w:tc>
          <w:tcPr>
            <w:tcW w:w="0" w:type="auto"/>
            <w:vAlign w:val="center"/>
            <w:hideMark/>
          </w:tcPr>
          <w:p w14:paraId="3260CDB0" w14:textId="6482746F"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SW-</w:t>
            </w:r>
            <w:r w:rsidRPr="00212089">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46BFA597"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74</w:t>
            </w:r>
          </w:p>
        </w:tc>
        <w:tc>
          <w:tcPr>
            <w:tcW w:w="0" w:type="auto"/>
            <w:vAlign w:val="center"/>
            <w:hideMark/>
          </w:tcPr>
          <w:p w14:paraId="414064BA"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w:t>
            </w:r>
          </w:p>
        </w:tc>
        <w:tc>
          <w:tcPr>
            <w:tcW w:w="0" w:type="auto"/>
            <w:vAlign w:val="center"/>
            <w:hideMark/>
          </w:tcPr>
          <w:p w14:paraId="5E65095D"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w:t>
            </w:r>
          </w:p>
        </w:tc>
        <w:tc>
          <w:tcPr>
            <w:tcW w:w="0" w:type="auto"/>
            <w:vAlign w:val="center"/>
            <w:hideMark/>
          </w:tcPr>
          <w:p w14:paraId="65250DCC"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-0.0396</w:t>
            </w:r>
          </w:p>
        </w:tc>
        <w:tc>
          <w:tcPr>
            <w:tcW w:w="0" w:type="auto"/>
            <w:vAlign w:val="center"/>
            <w:hideMark/>
          </w:tcPr>
          <w:p w14:paraId="598F4338"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0.0474</w:t>
            </w:r>
          </w:p>
        </w:tc>
      </w:tr>
      <w:tr w:rsidR="00212089" w:rsidRPr="00212089" w14:paraId="48B1028B" w14:textId="77777777">
        <w:trPr>
          <w:tblCellSpacing w:w="15" w:type="dxa"/>
        </w:trPr>
        <w:tc>
          <w:tcPr>
            <w:tcW w:w="0" w:type="auto"/>
            <w:vAlign w:val="center"/>
            <w:hideMark/>
          </w:tcPr>
          <w:p w14:paraId="778E5E43" w14:textId="58C48574"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SW-</w:t>
            </w:r>
            <w:r w:rsidRPr="00212089">
              <w:rPr>
                <w:rFonts w:ascii="Times New Roman" w:eastAsia="Times New Roman" w:hAnsi="Times New Roman" w:cs="Times New Roman"/>
                <w:kern w:val="0"/>
                <w:sz w:val="24"/>
                <w:szCs w:val="24"/>
                <w:lang w:eastAsia="it-IT"/>
                <w14:ligatures w14:val="none"/>
              </w:rPr>
              <w:t>G</w:t>
            </w:r>
          </w:p>
        </w:tc>
        <w:tc>
          <w:tcPr>
            <w:tcW w:w="0" w:type="auto"/>
            <w:vAlign w:val="center"/>
            <w:hideMark/>
          </w:tcPr>
          <w:p w14:paraId="2BC31F29"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73</w:t>
            </w:r>
          </w:p>
        </w:tc>
        <w:tc>
          <w:tcPr>
            <w:tcW w:w="0" w:type="auto"/>
            <w:vAlign w:val="center"/>
            <w:hideMark/>
          </w:tcPr>
          <w:p w14:paraId="778F343E"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w:t>
            </w:r>
          </w:p>
        </w:tc>
        <w:tc>
          <w:tcPr>
            <w:tcW w:w="0" w:type="auto"/>
            <w:vAlign w:val="center"/>
            <w:hideMark/>
          </w:tcPr>
          <w:p w14:paraId="4BD4323F"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1.37%</w:t>
            </w:r>
          </w:p>
        </w:tc>
        <w:tc>
          <w:tcPr>
            <w:tcW w:w="0" w:type="auto"/>
            <w:vAlign w:val="center"/>
            <w:hideMark/>
          </w:tcPr>
          <w:p w14:paraId="26988151"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-0.0302</w:t>
            </w:r>
          </w:p>
        </w:tc>
        <w:tc>
          <w:tcPr>
            <w:tcW w:w="0" w:type="auto"/>
            <w:vAlign w:val="center"/>
            <w:hideMark/>
          </w:tcPr>
          <w:p w14:paraId="43A5BF84"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0.0646</w:t>
            </w:r>
          </w:p>
        </w:tc>
      </w:tr>
      <w:tr w:rsidR="00212089" w:rsidRPr="00212089" w14:paraId="661D021A" w14:textId="77777777">
        <w:trPr>
          <w:tblCellSpacing w:w="15" w:type="dxa"/>
        </w:trPr>
        <w:tc>
          <w:tcPr>
            <w:tcW w:w="0" w:type="auto"/>
            <w:vAlign w:val="center"/>
            <w:hideMark/>
          </w:tcPr>
          <w:p w14:paraId="378FC68B" w14:textId="56C8CE06"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VW-</w:t>
            </w:r>
            <w:r w:rsidRPr="00212089">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21C0857C"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76</w:t>
            </w:r>
          </w:p>
        </w:tc>
        <w:tc>
          <w:tcPr>
            <w:tcW w:w="0" w:type="auto"/>
            <w:vAlign w:val="center"/>
            <w:hideMark/>
          </w:tcPr>
          <w:p w14:paraId="71CDA85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w:t>
            </w:r>
          </w:p>
        </w:tc>
        <w:tc>
          <w:tcPr>
            <w:tcW w:w="0" w:type="auto"/>
            <w:vAlign w:val="center"/>
            <w:hideMark/>
          </w:tcPr>
          <w:p w14:paraId="79C0A1BE"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1.32%</w:t>
            </w:r>
          </w:p>
        </w:tc>
        <w:tc>
          <w:tcPr>
            <w:tcW w:w="0" w:type="auto"/>
            <w:vAlign w:val="center"/>
            <w:hideMark/>
          </w:tcPr>
          <w:p w14:paraId="6E09EB6F"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-0.0323</w:t>
            </w:r>
          </w:p>
        </w:tc>
        <w:tc>
          <w:tcPr>
            <w:tcW w:w="0" w:type="auto"/>
            <w:vAlign w:val="center"/>
            <w:hideMark/>
          </w:tcPr>
          <w:p w14:paraId="0D99F372"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0.0723</w:t>
            </w:r>
          </w:p>
        </w:tc>
      </w:tr>
      <w:tr w:rsidR="00212089" w:rsidRPr="00212089" w14:paraId="72A325C7" w14:textId="77777777">
        <w:trPr>
          <w:tblCellSpacing w:w="15" w:type="dxa"/>
        </w:trPr>
        <w:tc>
          <w:tcPr>
            <w:tcW w:w="0" w:type="auto"/>
            <w:vAlign w:val="center"/>
            <w:hideMark/>
          </w:tcPr>
          <w:p w14:paraId="03E13F03" w14:textId="38BC41F6"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VW-</w:t>
            </w:r>
            <w:r w:rsidRPr="00212089">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733B05BE"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74</w:t>
            </w:r>
          </w:p>
        </w:tc>
        <w:tc>
          <w:tcPr>
            <w:tcW w:w="0" w:type="auto"/>
            <w:vAlign w:val="center"/>
            <w:hideMark/>
          </w:tcPr>
          <w:p w14:paraId="3A584EF0"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w:t>
            </w:r>
          </w:p>
        </w:tc>
        <w:tc>
          <w:tcPr>
            <w:tcW w:w="0" w:type="auto"/>
            <w:vAlign w:val="center"/>
            <w:hideMark/>
          </w:tcPr>
          <w:p w14:paraId="68D920B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0.00%</w:t>
            </w:r>
          </w:p>
        </w:tc>
        <w:tc>
          <w:tcPr>
            <w:tcW w:w="0" w:type="auto"/>
            <w:vAlign w:val="center"/>
            <w:hideMark/>
          </w:tcPr>
          <w:p w14:paraId="6CC99413"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-0.0388</w:t>
            </w:r>
          </w:p>
        </w:tc>
        <w:tc>
          <w:tcPr>
            <w:tcW w:w="0" w:type="auto"/>
            <w:vAlign w:val="center"/>
            <w:hideMark/>
          </w:tcPr>
          <w:p w14:paraId="0C429D8F"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0.0398</w:t>
            </w:r>
          </w:p>
        </w:tc>
      </w:tr>
      <w:tr w:rsidR="00212089" w:rsidRPr="00212089" w14:paraId="7586704E" w14:textId="77777777" w:rsidTr="00BF682E">
        <w:trPr>
          <w:tblCellSpacing w:w="15" w:type="dxa"/>
        </w:trPr>
        <w:tc>
          <w:tcPr>
            <w:tcW w:w="0" w:type="auto"/>
            <w:tcBorders>
              <w:bottom w:val="single" w:sz="4" w:space="0" w:color="auto"/>
            </w:tcBorders>
            <w:vAlign w:val="center"/>
            <w:hideMark/>
          </w:tcPr>
          <w:p w14:paraId="6188B03C" w14:textId="65700936"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VW-</w:t>
            </w:r>
            <w:r w:rsidRPr="00212089">
              <w:rPr>
                <w:rFonts w:ascii="Times New Roman" w:eastAsia="Times New Roman" w:hAnsi="Times New Roman" w:cs="Times New Roman"/>
                <w:kern w:val="0"/>
                <w:sz w:val="24"/>
                <w:szCs w:val="24"/>
                <w:lang w:eastAsia="it-IT"/>
                <w14:ligatures w14:val="none"/>
              </w:rPr>
              <w:t>G</w:t>
            </w:r>
          </w:p>
        </w:tc>
        <w:tc>
          <w:tcPr>
            <w:tcW w:w="0" w:type="auto"/>
            <w:tcBorders>
              <w:bottom w:val="single" w:sz="4" w:space="0" w:color="auto"/>
            </w:tcBorders>
            <w:vAlign w:val="center"/>
            <w:hideMark/>
          </w:tcPr>
          <w:p w14:paraId="53DDCB3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73</w:t>
            </w:r>
          </w:p>
        </w:tc>
        <w:tc>
          <w:tcPr>
            <w:tcW w:w="0" w:type="auto"/>
            <w:tcBorders>
              <w:bottom w:val="single" w:sz="4" w:space="0" w:color="auto"/>
            </w:tcBorders>
            <w:vAlign w:val="center"/>
            <w:hideMark/>
          </w:tcPr>
          <w:p w14:paraId="7ECA83AD"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w:t>
            </w:r>
          </w:p>
        </w:tc>
        <w:tc>
          <w:tcPr>
            <w:tcW w:w="0" w:type="auto"/>
            <w:tcBorders>
              <w:bottom w:val="single" w:sz="4" w:space="0" w:color="auto"/>
            </w:tcBorders>
            <w:vAlign w:val="center"/>
            <w:hideMark/>
          </w:tcPr>
          <w:p w14:paraId="3A2A7D9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2.74%</w:t>
            </w:r>
          </w:p>
        </w:tc>
        <w:tc>
          <w:tcPr>
            <w:tcW w:w="0" w:type="auto"/>
            <w:tcBorders>
              <w:bottom w:val="single" w:sz="4" w:space="0" w:color="auto"/>
            </w:tcBorders>
            <w:vAlign w:val="center"/>
            <w:hideMark/>
          </w:tcPr>
          <w:p w14:paraId="0B218398"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-0.0390</w:t>
            </w:r>
          </w:p>
        </w:tc>
        <w:tc>
          <w:tcPr>
            <w:tcW w:w="0" w:type="auto"/>
            <w:tcBorders>
              <w:bottom w:val="single" w:sz="4" w:space="0" w:color="auto"/>
            </w:tcBorders>
            <w:vAlign w:val="center"/>
            <w:hideMark/>
          </w:tcPr>
          <w:p w14:paraId="1FC2215B" w14:textId="77777777" w:rsidR="00212089" w:rsidRPr="00212089" w:rsidRDefault="00212089" w:rsidP="00212089">
            <w:pPr>
              <w:spacing w:after="0" w:line="240" w:lineRule="auto"/>
              <w:rPr>
                <w:rFonts w:ascii="Times New Roman" w:eastAsia="Times New Roman" w:hAnsi="Times New Roman" w:cs="Times New Roman"/>
                <w:kern w:val="0"/>
                <w:sz w:val="24"/>
                <w:szCs w:val="24"/>
                <w:lang w:eastAsia="it-IT"/>
                <w14:ligatures w14:val="none"/>
              </w:rPr>
            </w:pPr>
            <w:r w:rsidRPr="00212089">
              <w:rPr>
                <w:rFonts w:ascii="Times New Roman" w:eastAsia="Times New Roman" w:hAnsi="Times New Roman" w:cs="Times New Roman"/>
                <w:kern w:val="0"/>
                <w:sz w:val="24"/>
                <w:szCs w:val="24"/>
                <w:lang w:eastAsia="it-IT"/>
                <w14:ligatures w14:val="none"/>
              </w:rPr>
              <w:t>0.0583</w:t>
            </w:r>
          </w:p>
        </w:tc>
      </w:tr>
    </w:tbl>
    <w:p w14:paraId="0C7DD9BF" w14:textId="77777777" w:rsidR="00DF37E2" w:rsidRDefault="00DF37E2" w:rsidP="00DF37E2">
      <w:pPr>
        <w:jc w:val="both"/>
        <w:rPr>
          <w:rFonts w:ascii="Times New Roman" w:hAnsi="Times New Roman" w:cs="Times New Roman"/>
          <w:i/>
          <w:iCs/>
          <w:sz w:val="24"/>
          <w:szCs w:val="24"/>
        </w:rPr>
      </w:pPr>
      <w:r w:rsidRPr="00DF37E2">
        <w:rPr>
          <w:rFonts w:ascii="Times New Roman" w:hAnsi="Times New Roman" w:cs="Times New Roman"/>
          <w:i/>
          <w:iCs/>
          <w:sz w:val="24"/>
          <w:szCs w:val="24"/>
        </w:rPr>
        <w:t>Fonte: elaborazione propria su dati raccolti in tempo reale.</w:t>
      </w:r>
    </w:p>
    <w:p w14:paraId="5A964771" w14:textId="72F32081" w:rsidR="00E54263" w:rsidRPr="00E54263" w:rsidRDefault="00E54263" w:rsidP="00DF37E2">
      <w:pPr>
        <w:jc w:val="both"/>
        <w:rPr>
          <w:rFonts w:ascii="Times New Roman" w:hAnsi="Times New Roman" w:cs="Times New Roman"/>
          <w:i/>
          <w:iCs/>
          <w:sz w:val="24"/>
          <w:szCs w:val="24"/>
        </w:rPr>
      </w:pPr>
      <w:r w:rsidRPr="00E54263">
        <w:rPr>
          <w:rFonts w:ascii="Times New Roman" w:hAnsi="Times New Roman" w:cs="Times New Roman"/>
          <w:i/>
          <w:iCs/>
          <w:sz w:val="24"/>
          <w:szCs w:val="24"/>
        </w:rPr>
        <w:t xml:space="preserve">Nota. </w:t>
      </w:r>
      <w:r w:rsidR="00D157D3" w:rsidRPr="00D157D3">
        <w:rPr>
          <w:rFonts w:ascii="Times New Roman" w:hAnsi="Times New Roman" w:cs="Times New Roman"/>
          <w:i/>
          <w:iCs/>
          <w:sz w:val="24"/>
          <w:szCs w:val="24"/>
        </w:rPr>
        <w:t>La tabella riporta il numero totale di osservazioni (N Obs), il numero di outlier identificati (N Outliers), la relativa percentuale di outlier sul totale delle osservazioni (% Outliers), nonché i valori minimo e massimo dei rendimenti osservati per ciascun portafoglio. I risultati sono presentati per i portafogli Equally Weighted (EW), Signal Weighted (SW) e Value Weighted (VW) relativi alle configurazioni di modello CGL, CGP e G.</w:t>
      </w:r>
    </w:p>
    <w:p w14:paraId="46EF4D9F" w14:textId="44CEE8BD" w:rsidR="00BF682E" w:rsidRDefault="00BF682E" w:rsidP="00BF682E">
      <w:pPr>
        <w:pStyle w:val="Didascalia"/>
        <w:keepNext/>
        <w:jc w:val="both"/>
        <w:rPr>
          <w:rFonts w:ascii="Times New Roman" w:hAnsi="Times New Roman" w:cs="Times New Roman"/>
          <w:i w:val="0"/>
          <w:iCs w:val="0"/>
          <w:color w:val="auto"/>
          <w:sz w:val="24"/>
          <w:szCs w:val="24"/>
        </w:rPr>
      </w:pPr>
      <w:r w:rsidRPr="00BF682E">
        <w:rPr>
          <w:rFonts w:ascii="Times New Roman" w:hAnsi="Times New Roman" w:cs="Times New Roman"/>
          <w:i w:val="0"/>
          <w:iCs w:val="0"/>
          <w:color w:val="auto"/>
          <w:sz w:val="24"/>
          <w:szCs w:val="24"/>
        </w:rPr>
        <w:lastRenderedPageBreak/>
        <w:t>Sebbene l'esigua frequenza di anomalie suggerisca una stabilità distributiva generale, il ricalcolo delle metriche di performance effettuato dopo la rimozione degli outliers (Tabella 1</w:t>
      </w:r>
      <w:r w:rsidR="00C27D44">
        <w:rPr>
          <w:rFonts w:ascii="Times New Roman" w:hAnsi="Times New Roman" w:cs="Times New Roman"/>
          <w:i w:val="0"/>
          <w:iCs w:val="0"/>
          <w:color w:val="auto"/>
          <w:sz w:val="24"/>
          <w:szCs w:val="24"/>
        </w:rPr>
        <w:t>1</w:t>
      </w:r>
      <w:r w:rsidRPr="00BF682E">
        <w:rPr>
          <w:rFonts w:ascii="Times New Roman" w:hAnsi="Times New Roman" w:cs="Times New Roman"/>
          <w:i w:val="0"/>
          <w:iCs w:val="0"/>
          <w:color w:val="auto"/>
          <w:sz w:val="24"/>
          <w:szCs w:val="24"/>
        </w:rPr>
        <w:t>) evidenzia una sensibilità delle strategie notevolmente superiore rispetto a quanto ipotizzato nell'analisi principale. Escludendo le giornate estreme, si assiste infatti a un generalizzato e marcato ridimensionamento degli indici di efficienza: il portafoglio EW-CGP contrae il proprio Sharpe ratio da 0.172 a 0.108, mentre EW-G si riduce da 0.195 a 0.162. Il fenomeno è ancora più polarizzato nella configurazione EW-CGL, il cui indicatore corretto per il rischio assume segno negativo (-0.0139), dimostrando come la sua performance originaria fosse interamente subordinata a due soli giorni favorevoli. Anche l'universo Value Weighted subisce un analogo deterioramento, con il portafoglio VW-G che scende da uno Sharpe ratio di 0.156 a 0.0858, e VW-CGL che flette da 0.114 a 0.0714.</w:t>
      </w:r>
    </w:p>
    <w:p w14:paraId="407BF95B" w14:textId="298738E1" w:rsidR="00D157D3" w:rsidRPr="006270F8" w:rsidRDefault="00D157D3" w:rsidP="006270F8">
      <w:pPr>
        <w:pStyle w:val="Didascalia"/>
        <w:keepNext/>
        <w:rPr>
          <w:color w:val="auto"/>
          <w:lang w:val="en-GB"/>
        </w:rPr>
      </w:pPr>
      <w:r w:rsidRPr="00E049A9">
        <w:rPr>
          <w:color w:val="auto"/>
          <w:lang w:val="en-GB"/>
        </w:rPr>
        <w:t xml:space="preserve">Tabella </w:t>
      </w:r>
      <w:r w:rsidRPr="00D157D3">
        <w:rPr>
          <w:color w:val="auto"/>
        </w:rPr>
        <w:fldChar w:fldCharType="begin"/>
      </w:r>
      <w:r w:rsidRPr="00E049A9">
        <w:rPr>
          <w:color w:val="auto"/>
          <w:lang w:val="en-GB"/>
        </w:rPr>
        <w:instrText xml:space="preserve"> SEQ Tabella \* ARABIC </w:instrText>
      </w:r>
      <w:r w:rsidRPr="00D157D3">
        <w:rPr>
          <w:color w:val="auto"/>
        </w:rPr>
        <w:fldChar w:fldCharType="separate"/>
      </w:r>
      <w:r w:rsidR="00D11ED9">
        <w:rPr>
          <w:noProof/>
          <w:color w:val="auto"/>
          <w:lang w:val="en-GB"/>
        </w:rPr>
        <w:t>11</w:t>
      </w:r>
      <w:r w:rsidRPr="00D157D3">
        <w:rPr>
          <w:color w:val="auto"/>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714"/>
        <w:gridCol w:w="1274"/>
        <w:gridCol w:w="941"/>
        <w:gridCol w:w="1407"/>
        <w:gridCol w:w="862"/>
      </w:tblGrid>
      <w:tr w:rsidR="00704DBE" w:rsidRPr="009F6B01" w14:paraId="01A3005A" w14:textId="77777777" w:rsidTr="00C949E0">
        <w:trPr>
          <w:tblHeader/>
          <w:tblCellSpacing w:w="15" w:type="dxa"/>
        </w:trPr>
        <w:tc>
          <w:tcPr>
            <w:tcW w:w="0" w:type="auto"/>
            <w:tcBorders>
              <w:top w:val="single" w:sz="4" w:space="0" w:color="auto"/>
              <w:bottom w:val="single" w:sz="4" w:space="0" w:color="auto"/>
            </w:tcBorders>
            <w:vAlign w:val="center"/>
            <w:hideMark/>
          </w:tcPr>
          <w:p w14:paraId="4E41347A" w14:textId="77777777" w:rsidR="00704DBE" w:rsidRPr="009F6B01" w:rsidRDefault="00704DBE" w:rsidP="00C949E0">
            <w:pPr>
              <w:spacing w:after="0" w:line="240" w:lineRule="auto"/>
              <w:jc w:val="center"/>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type</w:t>
            </w:r>
          </w:p>
        </w:tc>
        <w:tc>
          <w:tcPr>
            <w:tcW w:w="0" w:type="auto"/>
            <w:tcBorders>
              <w:top w:val="single" w:sz="4" w:space="0" w:color="auto"/>
              <w:bottom w:val="single" w:sz="4" w:space="0" w:color="auto"/>
            </w:tcBorders>
            <w:vAlign w:val="center"/>
            <w:hideMark/>
          </w:tcPr>
          <w:p w14:paraId="368704F6" w14:textId="77777777" w:rsidR="00704DBE" w:rsidRPr="009F6B01" w:rsidRDefault="00704DBE" w:rsidP="00C949E0">
            <w:pPr>
              <w:spacing w:after="0" w:line="240" w:lineRule="auto"/>
              <w:jc w:val="center"/>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Model</w:t>
            </w:r>
          </w:p>
        </w:tc>
        <w:tc>
          <w:tcPr>
            <w:tcW w:w="0" w:type="auto"/>
            <w:tcBorders>
              <w:top w:val="single" w:sz="4" w:space="0" w:color="auto"/>
              <w:bottom w:val="single" w:sz="4" w:space="0" w:color="auto"/>
            </w:tcBorders>
            <w:vAlign w:val="center"/>
            <w:hideMark/>
          </w:tcPr>
          <w:p w14:paraId="74D626A2" w14:textId="77777777" w:rsidR="00704DBE" w:rsidRPr="009F6B01" w:rsidRDefault="00704DBE" w:rsidP="00C949E0">
            <w:pPr>
              <w:spacing w:after="0" w:line="240" w:lineRule="auto"/>
              <w:jc w:val="right"/>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mean_clean</w:t>
            </w:r>
          </w:p>
        </w:tc>
        <w:tc>
          <w:tcPr>
            <w:tcW w:w="0" w:type="auto"/>
            <w:tcBorders>
              <w:top w:val="single" w:sz="4" w:space="0" w:color="auto"/>
              <w:bottom w:val="single" w:sz="4" w:space="0" w:color="auto"/>
            </w:tcBorders>
            <w:vAlign w:val="center"/>
            <w:hideMark/>
          </w:tcPr>
          <w:p w14:paraId="569509D0" w14:textId="77777777" w:rsidR="00704DBE" w:rsidRPr="009F6B01" w:rsidRDefault="00704DBE" w:rsidP="00C949E0">
            <w:pPr>
              <w:spacing w:after="0" w:line="240" w:lineRule="auto"/>
              <w:jc w:val="right"/>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sd_clean</w:t>
            </w:r>
          </w:p>
        </w:tc>
        <w:tc>
          <w:tcPr>
            <w:tcW w:w="0" w:type="auto"/>
            <w:tcBorders>
              <w:top w:val="single" w:sz="4" w:space="0" w:color="auto"/>
              <w:bottom w:val="single" w:sz="4" w:space="0" w:color="auto"/>
            </w:tcBorders>
            <w:vAlign w:val="center"/>
            <w:hideMark/>
          </w:tcPr>
          <w:p w14:paraId="2EA65F3C" w14:textId="77777777" w:rsidR="00704DBE" w:rsidRPr="009F6B01" w:rsidRDefault="00704DBE" w:rsidP="00C949E0">
            <w:pPr>
              <w:spacing w:after="0" w:line="240" w:lineRule="auto"/>
              <w:jc w:val="right"/>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sharpe_clean</w:t>
            </w:r>
          </w:p>
        </w:tc>
        <w:tc>
          <w:tcPr>
            <w:tcW w:w="0" w:type="auto"/>
            <w:tcBorders>
              <w:top w:val="single" w:sz="4" w:space="0" w:color="auto"/>
              <w:bottom w:val="single" w:sz="4" w:space="0" w:color="auto"/>
            </w:tcBorders>
            <w:vAlign w:val="center"/>
            <w:hideMark/>
          </w:tcPr>
          <w:p w14:paraId="3FA03F23" w14:textId="77777777" w:rsidR="00704DBE" w:rsidRPr="009F6B01" w:rsidRDefault="00704DBE" w:rsidP="00C949E0">
            <w:pPr>
              <w:spacing w:after="0" w:line="240" w:lineRule="auto"/>
              <w:jc w:val="right"/>
              <w:rPr>
                <w:rFonts w:ascii="Times New Roman" w:eastAsia="Times New Roman" w:hAnsi="Times New Roman" w:cs="Times New Roman"/>
                <w:b/>
                <w:bCs/>
                <w:kern w:val="0"/>
                <w:sz w:val="24"/>
                <w:szCs w:val="24"/>
                <w:lang w:eastAsia="it-IT"/>
                <w14:ligatures w14:val="none"/>
              </w:rPr>
            </w:pPr>
            <w:r w:rsidRPr="009F6B01">
              <w:rPr>
                <w:rFonts w:ascii="Times New Roman" w:eastAsia="Times New Roman" w:hAnsi="Times New Roman" w:cs="Times New Roman"/>
                <w:b/>
                <w:bCs/>
                <w:kern w:val="0"/>
                <w:sz w:val="24"/>
                <w:szCs w:val="24"/>
                <w:lang w:eastAsia="it-IT"/>
                <w14:ligatures w14:val="none"/>
              </w:rPr>
              <w:t>n_clean</w:t>
            </w:r>
          </w:p>
        </w:tc>
      </w:tr>
      <w:tr w:rsidR="00704DBE" w:rsidRPr="009F6B01" w14:paraId="0A47E4CC" w14:textId="77777777" w:rsidTr="00C949E0">
        <w:trPr>
          <w:tblCellSpacing w:w="15" w:type="dxa"/>
        </w:trPr>
        <w:tc>
          <w:tcPr>
            <w:tcW w:w="0" w:type="auto"/>
            <w:vAlign w:val="center"/>
            <w:hideMark/>
          </w:tcPr>
          <w:p w14:paraId="65513FFB"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79105E5E"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04012DD2"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-0.000226</w:t>
            </w:r>
          </w:p>
        </w:tc>
        <w:tc>
          <w:tcPr>
            <w:tcW w:w="0" w:type="auto"/>
            <w:vAlign w:val="center"/>
            <w:hideMark/>
          </w:tcPr>
          <w:p w14:paraId="3C477388"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0.0162</w:t>
            </w:r>
          </w:p>
        </w:tc>
        <w:tc>
          <w:tcPr>
            <w:tcW w:w="0" w:type="auto"/>
            <w:vAlign w:val="center"/>
            <w:hideMark/>
          </w:tcPr>
          <w:p w14:paraId="1C28029F"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-0.0139</w:t>
            </w:r>
          </w:p>
        </w:tc>
        <w:tc>
          <w:tcPr>
            <w:tcW w:w="0" w:type="auto"/>
            <w:vAlign w:val="center"/>
            <w:hideMark/>
          </w:tcPr>
          <w:p w14:paraId="45F95BE9"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74</w:t>
            </w:r>
          </w:p>
        </w:tc>
      </w:tr>
      <w:tr w:rsidR="00704DBE" w:rsidRPr="009F6B01" w14:paraId="25C10211" w14:textId="77777777" w:rsidTr="00C949E0">
        <w:trPr>
          <w:tblCellSpacing w:w="15" w:type="dxa"/>
        </w:trPr>
        <w:tc>
          <w:tcPr>
            <w:tcW w:w="0" w:type="auto"/>
            <w:vAlign w:val="center"/>
            <w:hideMark/>
          </w:tcPr>
          <w:p w14:paraId="03210FD9"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2669B1FA"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3FDD9BDD"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0.00184</w:t>
            </w:r>
          </w:p>
        </w:tc>
        <w:tc>
          <w:tcPr>
            <w:tcW w:w="0" w:type="auto"/>
            <w:vAlign w:val="center"/>
            <w:hideMark/>
          </w:tcPr>
          <w:p w14:paraId="33B1482D"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0.0171</w:t>
            </w:r>
          </w:p>
        </w:tc>
        <w:tc>
          <w:tcPr>
            <w:tcW w:w="0" w:type="auto"/>
            <w:vAlign w:val="center"/>
            <w:hideMark/>
          </w:tcPr>
          <w:p w14:paraId="332AA67D"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0.108</w:t>
            </w:r>
          </w:p>
        </w:tc>
        <w:tc>
          <w:tcPr>
            <w:tcW w:w="0" w:type="auto"/>
            <w:vAlign w:val="center"/>
            <w:hideMark/>
          </w:tcPr>
          <w:p w14:paraId="0641CF79"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72</w:t>
            </w:r>
          </w:p>
        </w:tc>
      </w:tr>
      <w:tr w:rsidR="00704DBE" w:rsidRPr="009F6B01" w14:paraId="733888FA" w14:textId="77777777" w:rsidTr="00C949E0">
        <w:trPr>
          <w:tblCellSpacing w:w="15" w:type="dxa"/>
        </w:trPr>
        <w:tc>
          <w:tcPr>
            <w:tcW w:w="0" w:type="auto"/>
            <w:vAlign w:val="center"/>
            <w:hideMark/>
          </w:tcPr>
          <w:p w14:paraId="787906FC"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EW</w:t>
            </w:r>
          </w:p>
        </w:tc>
        <w:tc>
          <w:tcPr>
            <w:tcW w:w="0" w:type="auto"/>
            <w:vAlign w:val="center"/>
            <w:hideMark/>
          </w:tcPr>
          <w:p w14:paraId="560DF652"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G</w:t>
            </w:r>
          </w:p>
        </w:tc>
        <w:tc>
          <w:tcPr>
            <w:tcW w:w="0" w:type="auto"/>
            <w:vAlign w:val="center"/>
            <w:hideMark/>
          </w:tcPr>
          <w:p w14:paraId="70AF7C88"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0.00246</w:t>
            </w:r>
          </w:p>
        </w:tc>
        <w:tc>
          <w:tcPr>
            <w:tcW w:w="0" w:type="auto"/>
            <w:vAlign w:val="center"/>
            <w:hideMark/>
          </w:tcPr>
          <w:p w14:paraId="174957F5"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0.0153</w:t>
            </w:r>
          </w:p>
        </w:tc>
        <w:tc>
          <w:tcPr>
            <w:tcW w:w="0" w:type="auto"/>
            <w:vAlign w:val="center"/>
            <w:hideMark/>
          </w:tcPr>
          <w:p w14:paraId="73C010DE"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0.162</w:t>
            </w:r>
          </w:p>
        </w:tc>
        <w:tc>
          <w:tcPr>
            <w:tcW w:w="0" w:type="auto"/>
            <w:vAlign w:val="center"/>
            <w:hideMark/>
          </w:tcPr>
          <w:p w14:paraId="2A53FDB3"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72</w:t>
            </w:r>
          </w:p>
        </w:tc>
      </w:tr>
      <w:tr w:rsidR="00704DBE" w:rsidRPr="009F6B01" w14:paraId="668AC9F3" w14:textId="77777777" w:rsidTr="00C949E0">
        <w:trPr>
          <w:tblCellSpacing w:w="15" w:type="dxa"/>
        </w:trPr>
        <w:tc>
          <w:tcPr>
            <w:tcW w:w="0" w:type="auto"/>
            <w:vAlign w:val="center"/>
            <w:hideMark/>
          </w:tcPr>
          <w:p w14:paraId="5AEBCD90"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2339F923"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021775CE"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0.000291</w:t>
            </w:r>
          </w:p>
        </w:tc>
        <w:tc>
          <w:tcPr>
            <w:tcW w:w="0" w:type="auto"/>
            <w:vAlign w:val="center"/>
            <w:hideMark/>
          </w:tcPr>
          <w:p w14:paraId="590F1B41"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33956807"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0.0160</w:t>
            </w:r>
          </w:p>
        </w:tc>
        <w:tc>
          <w:tcPr>
            <w:tcW w:w="0" w:type="auto"/>
            <w:vAlign w:val="center"/>
            <w:hideMark/>
          </w:tcPr>
          <w:p w14:paraId="05C4B61A"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76</w:t>
            </w:r>
          </w:p>
        </w:tc>
      </w:tr>
      <w:tr w:rsidR="00704DBE" w:rsidRPr="009F6B01" w14:paraId="53F26C9A" w14:textId="77777777" w:rsidTr="00C949E0">
        <w:trPr>
          <w:tblCellSpacing w:w="15" w:type="dxa"/>
        </w:trPr>
        <w:tc>
          <w:tcPr>
            <w:tcW w:w="0" w:type="auto"/>
            <w:vAlign w:val="center"/>
            <w:hideMark/>
          </w:tcPr>
          <w:p w14:paraId="75726C8E"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41BB7866"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5006C1C9"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0.00312</w:t>
            </w:r>
          </w:p>
        </w:tc>
        <w:tc>
          <w:tcPr>
            <w:tcW w:w="0" w:type="auto"/>
            <w:vAlign w:val="center"/>
            <w:hideMark/>
          </w:tcPr>
          <w:p w14:paraId="2E4528F7"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2E41699E"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0.172</w:t>
            </w:r>
          </w:p>
        </w:tc>
        <w:tc>
          <w:tcPr>
            <w:tcW w:w="0" w:type="auto"/>
            <w:vAlign w:val="center"/>
            <w:hideMark/>
          </w:tcPr>
          <w:p w14:paraId="1E7D9CBB"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74</w:t>
            </w:r>
          </w:p>
        </w:tc>
      </w:tr>
      <w:tr w:rsidR="00704DBE" w:rsidRPr="009F6B01" w14:paraId="357EBEA3" w14:textId="77777777" w:rsidTr="00C949E0">
        <w:trPr>
          <w:tblCellSpacing w:w="15" w:type="dxa"/>
        </w:trPr>
        <w:tc>
          <w:tcPr>
            <w:tcW w:w="0" w:type="auto"/>
            <w:vAlign w:val="center"/>
            <w:hideMark/>
          </w:tcPr>
          <w:p w14:paraId="163D3267"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SW</w:t>
            </w:r>
          </w:p>
        </w:tc>
        <w:tc>
          <w:tcPr>
            <w:tcW w:w="0" w:type="auto"/>
            <w:vAlign w:val="center"/>
            <w:hideMark/>
          </w:tcPr>
          <w:p w14:paraId="44C366D2"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G</w:t>
            </w:r>
          </w:p>
        </w:tc>
        <w:tc>
          <w:tcPr>
            <w:tcW w:w="0" w:type="auto"/>
            <w:vAlign w:val="center"/>
            <w:hideMark/>
          </w:tcPr>
          <w:p w14:paraId="174C521F"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0.00158</w:t>
            </w:r>
          </w:p>
        </w:tc>
        <w:tc>
          <w:tcPr>
            <w:tcW w:w="0" w:type="auto"/>
            <w:vAlign w:val="center"/>
            <w:hideMark/>
          </w:tcPr>
          <w:p w14:paraId="65F71BD8"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0.0155</w:t>
            </w:r>
          </w:p>
        </w:tc>
        <w:tc>
          <w:tcPr>
            <w:tcW w:w="0" w:type="auto"/>
            <w:vAlign w:val="center"/>
            <w:hideMark/>
          </w:tcPr>
          <w:p w14:paraId="53F40A3B"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0.102</w:t>
            </w:r>
          </w:p>
        </w:tc>
        <w:tc>
          <w:tcPr>
            <w:tcW w:w="0" w:type="auto"/>
            <w:vAlign w:val="center"/>
            <w:hideMark/>
          </w:tcPr>
          <w:p w14:paraId="54394E54"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72</w:t>
            </w:r>
          </w:p>
        </w:tc>
      </w:tr>
      <w:tr w:rsidR="00704DBE" w:rsidRPr="009F6B01" w14:paraId="69BDF4CA" w14:textId="77777777" w:rsidTr="00C949E0">
        <w:trPr>
          <w:tblCellSpacing w:w="15" w:type="dxa"/>
        </w:trPr>
        <w:tc>
          <w:tcPr>
            <w:tcW w:w="0" w:type="auto"/>
            <w:vAlign w:val="center"/>
            <w:hideMark/>
          </w:tcPr>
          <w:p w14:paraId="5A64500D"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555FDE95"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CGL</w:t>
            </w:r>
          </w:p>
        </w:tc>
        <w:tc>
          <w:tcPr>
            <w:tcW w:w="0" w:type="auto"/>
            <w:vAlign w:val="center"/>
            <w:hideMark/>
          </w:tcPr>
          <w:p w14:paraId="59EAEE7E"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0.00125</w:t>
            </w:r>
          </w:p>
        </w:tc>
        <w:tc>
          <w:tcPr>
            <w:tcW w:w="0" w:type="auto"/>
            <w:vAlign w:val="center"/>
            <w:hideMark/>
          </w:tcPr>
          <w:p w14:paraId="24CC34FC"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0.0175</w:t>
            </w:r>
          </w:p>
        </w:tc>
        <w:tc>
          <w:tcPr>
            <w:tcW w:w="0" w:type="auto"/>
            <w:vAlign w:val="center"/>
            <w:hideMark/>
          </w:tcPr>
          <w:p w14:paraId="49197FE3"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0.0714</w:t>
            </w:r>
          </w:p>
        </w:tc>
        <w:tc>
          <w:tcPr>
            <w:tcW w:w="0" w:type="auto"/>
            <w:vAlign w:val="center"/>
            <w:hideMark/>
          </w:tcPr>
          <w:p w14:paraId="724C0738"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75</w:t>
            </w:r>
          </w:p>
        </w:tc>
      </w:tr>
      <w:tr w:rsidR="00704DBE" w:rsidRPr="009F6B01" w14:paraId="56CF10A9" w14:textId="77777777" w:rsidTr="00C949E0">
        <w:trPr>
          <w:tblCellSpacing w:w="15" w:type="dxa"/>
        </w:trPr>
        <w:tc>
          <w:tcPr>
            <w:tcW w:w="0" w:type="auto"/>
            <w:vAlign w:val="center"/>
            <w:hideMark/>
          </w:tcPr>
          <w:p w14:paraId="3764D68E"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VW</w:t>
            </w:r>
          </w:p>
        </w:tc>
        <w:tc>
          <w:tcPr>
            <w:tcW w:w="0" w:type="auto"/>
            <w:vAlign w:val="center"/>
            <w:hideMark/>
          </w:tcPr>
          <w:p w14:paraId="3287D204"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CGP</w:t>
            </w:r>
          </w:p>
        </w:tc>
        <w:tc>
          <w:tcPr>
            <w:tcW w:w="0" w:type="auto"/>
            <w:vAlign w:val="center"/>
            <w:hideMark/>
          </w:tcPr>
          <w:p w14:paraId="1F90A16C"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0.000618</w:t>
            </w:r>
          </w:p>
        </w:tc>
        <w:tc>
          <w:tcPr>
            <w:tcW w:w="0" w:type="auto"/>
            <w:vAlign w:val="center"/>
            <w:hideMark/>
          </w:tcPr>
          <w:p w14:paraId="0A8D6808"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0.0182</w:t>
            </w:r>
          </w:p>
        </w:tc>
        <w:tc>
          <w:tcPr>
            <w:tcW w:w="0" w:type="auto"/>
            <w:vAlign w:val="center"/>
            <w:hideMark/>
          </w:tcPr>
          <w:p w14:paraId="6DDCAC6E"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0.0339</w:t>
            </w:r>
          </w:p>
        </w:tc>
        <w:tc>
          <w:tcPr>
            <w:tcW w:w="0" w:type="auto"/>
            <w:vAlign w:val="center"/>
            <w:hideMark/>
          </w:tcPr>
          <w:p w14:paraId="45CFFAA3"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74</w:t>
            </w:r>
          </w:p>
        </w:tc>
      </w:tr>
      <w:tr w:rsidR="00704DBE" w:rsidRPr="009F6B01" w14:paraId="4FCCE62B" w14:textId="77777777" w:rsidTr="00BF682E">
        <w:trPr>
          <w:tblCellSpacing w:w="15" w:type="dxa"/>
        </w:trPr>
        <w:tc>
          <w:tcPr>
            <w:tcW w:w="0" w:type="auto"/>
            <w:tcBorders>
              <w:bottom w:val="single" w:sz="4" w:space="0" w:color="auto"/>
            </w:tcBorders>
            <w:vAlign w:val="center"/>
            <w:hideMark/>
          </w:tcPr>
          <w:p w14:paraId="60BF0E3E"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VW</w:t>
            </w:r>
          </w:p>
        </w:tc>
        <w:tc>
          <w:tcPr>
            <w:tcW w:w="0" w:type="auto"/>
            <w:tcBorders>
              <w:bottom w:val="single" w:sz="4" w:space="0" w:color="auto"/>
            </w:tcBorders>
            <w:vAlign w:val="center"/>
            <w:hideMark/>
          </w:tcPr>
          <w:p w14:paraId="1C923B1D" w14:textId="77777777" w:rsidR="00704DBE" w:rsidRPr="009F6B01" w:rsidRDefault="00704DBE" w:rsidP="00C949E0">
            <w:pPr>
              <w:spacing w:after="0" w:line="240" w:lineRule="auto"/>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G</w:t>
            </w:r>
          </w:p>
        </w:tc>
        <w:tc>
          <w:tcPr>
            <w:tcW w:w="0" w:type="auto"/>
            <w:tcBorders>
              <w:bottom w:val="single" w:sz="4" w:space="0" w:color="auto"/>
            </w:tcBorders>
            <w:vAlign w:val="center"/>
            <w:hideMark/>
          </w:tcPr>
          <w:p w14:paraId="30F2922A"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0.00133</w:t>
            </w:r>
          </w:p>
        </w:tc>
        <w:tc>
          <w:tcPr>
            <w:tcW w:w="0" w:type="auto"/>
            <w:tcBorders>
              <w:bottom w:val="single" w:sz="4" w:space="0" w:color="auto"/>
            </w:tcBorders>
            <w:vAlign w:val="center"/>
            <w:hideMark/>
          </w:tcPr>
          <w:p w14:paraId="64DE2BCC"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0.0155</w:t>
            </w:r>
          </w:p>
        </w:tc>
        <w:tc>
          <w:tcPr>
            <w:tcW w:w="0" w:type="auto"/>
            <w:tcBorders>
              <w:bottom w:val="single" w:sz="4" w:space="0" w:color="auto"/>
            </w:tcBorders>
            <w:vAlign w:val="center"/>
            <w:hideMark/>
          </w:tcPr>
          <w:p w14:paraId="3A432972"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0.0858</w:t>
            </w:r>
          </w:p>
        </w:tc>
        <w:tc>
          <w:tcPr>
            <w:tcW w:w="0" w:type="auto"/>
            <w:tcBorders>
              <w:bottom w:val="single" w:sz="4" w:space="0" w:color="auto"/>
            </w:tcBorders>
            <w:vAlign w:val="center"/>
            <w:hideMark/>
          </w:tcPr>
          <w:p w14:paraId="3D99C950" w14:textId="77777777" w:rsidR="00704DBE" w:rsidRPr="009F6B01" w:rsidRDefault="00704DBE" w:rsidP="00C949E0">
            <w:pPr>
              <w:spacing w:after="0" w:line="240" w:lineRule="auto"/>
              <w:jc w:val="right"/>
              <w:rPr>
                <w:rFonts w:ascii="Times New Roman" w:eastAsia="Times New Roman" w:hAnsi="Times New Roman" w:cs="Times New Roman"/>
                <w:kern w:val="0"/>
                <w:sz w:val="24"/>
                <w:szCs w:val="24"/>
                <w:lang w:eastAsia="it-IT"/>
                <w14:ligatures w14:val="none"/>
              </w:rPr>
            </w:pPr>
            <w:r w:rsidRPr="009F6B01">
              <w:rPr>
                <w:rFonts w:ascii="Times New Roman" w:eastAsia="Times New Roman" w:hAnsi="Times New Roman" w:cs="Times New Roman"/>
                <w:kern w:val="0"/>
                <w:sz w:val="24"/>
                <w:szCs w:val="24"/>
                <w:lang w:eastAsia="it-IT"/>
                <w14:ligatures w14:val="none"/>
              </w:rPr>
              <w:t>71</w:t>
            </w:r>
          </w:p>
        </w:tc>
      </w:tr>
    </w:tbl>
    <w:p w14:paraId="59D57E45" w14:textId="77777777" w:rsidR="00DF37E2" w:rsidRPr="00DF37E2" w:rsidRDefault="00DF37E2" w:rsidP="00DF37E2">
      <w:pPr>
        <w:jc w:val="both"/>
        <w:rPr>
          <w:rFonts w:ascii="Times New Roman" w:hAnsi="Times New Roman" w:cs="Times New Roman"/>
          <w:sz w:val="24"/>
          <w:szCs w:val="24"/>
        </w:rPr>
      </w:pPr>
      <w:r w:rsidRPr="00DF37E2">
        <w:rPr>
          <w:rFonts w:ascii="Times New Roman" w:hAnsi="Times New Roman" w:cs="Times New Roman"/>
          <w:i/>
          <w:iCs/>
          <w:sz w:val="24"/>
          <w:szCs w:val="24"/>
        </w:rPr>
        <w:t>Nota. “Sharpe Clean” indica lo Sharpe ratio ricalcolato dopo l’esclusione degli outliers identificati tramite criterio IQR.</w:t>
      </w:r>
    </w:p>
    <w:p w14:paraId="60CF9090" w14:textId="761F7B3F" w:rsidR="00BF682E" w:rsidRDefault="00BF682E" w:rsidP="00BF682E">
      <w:pPr>
        <w:pStyle w:val="Didascalia"/>
        <w:keepNext/>
        <w:jc w:val="both"/>
        <w:rPr>
          <w:rFonts w:ascii="Times New Roman" w:hAnsi="Times New Roman" w:cs="Times New Roman"/>
          <w:i w:val="0"/>
          <w:iCs w:val="0"/>
          <w:color w:val="auto"/>
          <w:sz w:val="24"/>
          <w:szCs w:val="24"/>
        </w:rPr>
      </w:pPr>
      <w:r w:rsidRPr="00BF682E">
        <w:rPr>
          <w:rFonts w:ascii="Times New Roman" w:hAnsi="Times New Roman" w:cs="Times New Roman"/>
          <w:i w:val="0"/>
          <w:iCs w:val="0"/>
          <w:color w:val="auto"/>
          <w:sz w:val="24"/>
          <w:szCs w:val="24"/>
        </w:rPr>
        <w:t>I risultati dei controlli di robustezza confermano la validità statistica delle rilevazioni empiriche, ma minano l'ipotesi che i modelli posseggano una reale capacità predittiva. Come compendiato nel quadro di sintesi finale (Tabella 1</w:t>
      </w:r>
      <w:r w:rsidR="00C27D44">
        <w:rPr>
          <w:rFonts w:ascii="Times New Roman" w:hAnsi="Times New Roman" w:cs="Times New Roman"/>
          <w:i w:val="0"/>
          <w:iCs w:val="0"/>
          <w:color w:val="auto"/>
          <w:sz w:val="24"/>
          <w:szCs w:val="24"/>
        </w:rPr>
        <w:t>2</w:t>
      </w:r>
      <w:r w:rsidRPr="00BF682E">
        <w:rPr>
          <w:rFonts w:ascii="Times New Roman" w:hAnsi="Times New Roman" w:cs="Times New Roman"/>
          <w:i w:val="0"/>
          <w:iCs w:val="0"/>
          <w:color w:val="auto"/>
          <w:sz w:val="24"/>
          <w:szCs w:val="24"/>
        </w:rPr>
        <w:t>), una volta normalizzate le distribuzioni ed esaminate le esposizioni sistematiche ai fattori di rischio tramite modelli CAPM e Fama-French-Carhart, gli alpha multifattoriali perdono significatività statistica a fronte di beta di mercato stabilmente elevati e di una marcata reattività al fattore Momentum (MOM). Di conseguenza, l'apparente profittabilità registrata in alcune finestre temporali riflette scommesse asimmetriche e reattività opportunistiche a dinamiche sistemiche di mercato, escludendo l'esistenza di una generazione di alpha robusta, persistente e generalizzabile da parte degli LLMs analizzati.</w:t>
      </w:r>
    </w:p>
    <w:p w14:paraId="4125189D" w14:textId="19533ED3" w:rsidR="00D157D3" w:rsidRPr="00C27D44" w:rsidRDefault="00D157D3" w:rsidP="00D157D3">
      <w:pPr>
        <w:pStyle w:val="Didascalia"/>
        <w:keepNext/>
        <w:rPr>
          <w:color w:val="auto"/>
          <w:lang w:val="en-GB"/>
        </w:rPr>
      </w:pPr>
      <w:r w:rsidRPr="00C27D44">
        <w:rPr>
          <w:color w:val="auto"/>
          <w:lang w:val="en-GB"/>
        </w:rPr>
        <w:t xml:space="preserve">Tabella </w:t>
      </w:r>
      <w:r w:rsidRPr="00D157D3">
        <w:rPr>
          <w:color w:val="auto"/>
        </w:rPr>
        <w:fldChar w:fldCharType="begin"/>
      </w:r>
      <w:r w:rsidRPr="00C27D44">
        <w:rPr>
          <w:color w:val="auto"/>
          <w:lang w:val="en-GB"/>
        </w:rPr>
        <w:instrText xml:space="preserve"> SEQ Tabella \* ARABIC </w:instrText>
      </w:r>
      <w:r w:rsidRPr="00D157D3">
        <w:rPr>
          <w:color w:val="auto"/>
        </w:rPr>
        <w:fldChar w:fldCharType="separate"/>
      </w:r>
      <w:r w:rsidR="00D11ED9" w:rsidRPr="00C27D44">
        <w:rPr>
          <w:noProof/>
          <w:color w:val="auto"/>
          <w:lang w:val="en-GB"/>
        </w:rPr>
        <w:t>12</w:t>
      </w:r>
      <w:r w:rsidRPr="00D157D3">
        <w:rPr>
          <w:color w:val="auto"/>
        </w:rPr>
        <w:fldChar w:fldCharType="end"/>
      </w:r>
    </w:p>
    <w:p w14:paraId="197CB083" w14:textId="0A033DB1" w:rsidR="00D157D3" w:rsidRDefault="00D157D3" w:rsidP="00D157D3">
      <w:pPr>
        <w:jc w:val="both"/>
        <w:rPr>
          <w:rFonts w:ascii="Times New Roman" w:hAnsi="Times New Roman" w:cs="Times New Roman"/>
          <w:sz w:val="24"/>
          <w:szCs w:val="24"/>
          <w:lang w:val="en-GB"/>
        </w:rPr>
      </w:pPr>
      <w:r w:rsidRPr="004D23E9">
        <w:rPr>
          <w:rFonts w:ascii="Times New Roman" w:hAnsi="Times New Roman" w:cs="Times New Roman"/>
          <w:sz w:val="24"/>
          <w:szCs w:val="24"/>
          <w:lang w:val="en-GB"/>
        </w:rPr>
        <w:t>Summary of Risk-Adjusted Portfolio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440"/>
        <w:gridCol w:w="1414"/>
        <w:gridCol w:w="1040"/>
        <w:gridCol w:w="967"/>
        <w:gridCol w:w="1040"/>
        <w:gridCol w:w="975"/>
      </w:tblGrid>
      <w:tr w:rsidR="00FF5755" w:rsidRPr="00FF5755" w14:paraId="0393DD2E" w14:textId="77777777" w:rsidTr="00FF5755">
        <w:trPr>
          <w:tblHeader/>
          <w:tblCellSpacing w:w="15" w:type="dxa"/>
        </w:trPr>
        <w:tc>
          <w:tcPr>
            <w:tcW w:w="0" w:type="auto"/>
            <w:tcBorders>
              <w:top w:val="single" w:sz="4" w:space="0" w:color="auto"/>
              <w:bottom w:val="single" w:sz="4" w:space="0" w:color="auto"/>
            </w:tcBorders>
            <w:vAlign w:val="center"/>
            <w:hideMark/>
          </w:tcPr>
          <w:p w14:paraId="5984D41A"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Portfolio</w:t>
            </w:r>
          </w:p>
        </w:tc>
        <w:tc>
          <w:tcPr>
            <w:tcW w:w="0" w:type="auto"/>
            <w:tcBorders>
              <w:top w:val="single" w:sz="4" w:space="0" w:color="auto"/>
              <w:bottom w:val="single" w:sz="4" w:space="0" w:color="auto"/>
            </w:tcBorders>
            <w:vAlign w:val="center"/>
            <w:hideMark/>
          </w:tcPr>
          <w:p w14:paraId="57C9D411"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Mean Return</w:t>
            </w:r>
          </w:p>
        </w:tc>
        <w:tc>
          <w:tcPr>
            <w:tcW w:w="0" w:type="auto"/>
            <w:tcBorders>
              <w:top w:val="single" w:sz="4" w:space="0" w:color="auto"/>
              <w:bottom w:val="single" w:sz="4" w:space="0" w:color="auto"/>
            </w:tcBorders>
            <w:vAlign w:val="center"/>
            <w:hideMark/>
          </w:tcPr>
          <w:p w14:paraId="74D97C38"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Sharpe Ratio</w:t>
            </w:r>
          </w:p>
        </w:tc>
        <w:tc>
          <w:tcPr>
            <w:tcW w:w="0" w:type="auto"/>
            <w:tcBorders>
              <w:top w:val="single" w:sz="4" w:space="0" w:color="auto"/>
              <w:bottom w:val="single" w:sz="4" w:space="0" w:color="auto"/>
            </w:tcBorders>
            <w:vAlign w:val="center"/>
            <w:hideMark/>
          </w:tcPr>
          <w:p w14:paraId="567F6DB3"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α CAPM</w:t>
            </w:r>
          </w:p>
        </w:tc>
        <w:tc>
          <w:tcPr>
            <w:tcW w:w="0" w:type="auto"/>
            <w:tcBorders>
              <w:top w:val="single" w:sz="4" w:space="0" w:color="auto"/>
              <w:bottom w:val="single" w:sz="4" w:space="0" w:color="auto"/>
            </w:tcBorders>
            <w:vAlign w:val="center"/>
            <w:hideMark/>
          </w:tcPr>
          <w:p w14:paraId="71A04185"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β CAPM</w:t>
            </w:r>
          </w:p>
        </w:tc>
        <w:tc>
          <w:tcPr>
            <w:tcW w:w="0" w:type="auto"/>
            <w:tcBorders>
              <w:top w:val="single" w:sz="4" w:space="0" w:color="auto"/>
              <w:bottom w:val="single" w:sz="4" w:space="0" w:color="auto"/>
            </w:tcBorders>
            <w:vAlign w:val="center"/>
            <w:hideMark/>
          </w:tcPr>
          <w:p w14:paraId="2BFE6ED3"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FF α</w:t>
            </w:r>
          </w:p>
        </w:tc>
        <w:tc>
          <w:tcPr>
            <w:tcW w:w="0" w:type="auto"/>
            <w:tcBorders>
              <w:top w:val="single" w:sz="4" w:space="0" w:color="auto"/>
              <w:bottom w:val="single" w:sz="4" w:space="0" w:color="auto"/>
            </w:tcBorders>
            <w:vAlign w:val="center"/>
            <w:hideMark/>
          </w:tcPr>
          <w:p w14:paraId="5AEE5085" w14:textId="77777777" w:rsidR="00FF5755" w:rsidRPr="00FF5755" w:rsidRDefault="00FF5755" w:rsidP="00FF5755">
            <w:pPr>
              <w:spacing w:after="0" w:line="240" w:lineRule="auto"/>
              <w:jc w:val="center"/>
              <w:rPr>
                <w:rFonts w:ascii="Times New Roman" w:eastAsia="Times New Roman" w:hAnsi="Times New Roman" w:cs="Times New Roman"/>
                <w:b/>
                <w:bCs/>
                <w:kern w:val="0"/>
                <w:sz w:val="24"/>
                <w:szCs w:val="24"/>
                <w:lang w:eastAsia="it-IT"/>
                <w14:ligatures w14:val="none"/>
              </w:rPr>
            </w:pPr>
            <w:r w:rsidRPr="00FF5755">
              <w:rPr>
                <w:rFonts w:ascii="Times New Roman" w:eastAsia="Times New Roman" w:hAnsi="Times New Roman" w:cs="Times New Roman"/>
                <w:b/>
                <w:bCs/>
                <w:kern w:val="0"/>
                <w:sz w:val="24"/>
                <w:szCs w:val="24"/>
                <w:lang w:eastAsia="it-IT"/>
                <w14:ligatures w14:val="none"/>
              </w:rPr>
              <w:t>MOM</w:t>
            </w:r>
          </w:p>
        </w:tc>
      </w:tr>
      <w:tr w:rsidR="00FF5755" w:rsidRPr="00FF5755" w14:paraId="4A9F9A09" w14:textId="77777777" w:rsidTr="00FF5755">
        <w:trPr>
          <w:tblCellSpacing w:w="15" w:type="dxa"/>
        </w:trPr>
        <w:tc>
          <w:tcPr>
            <w:tcW w:w="0" w:type="auto"/>
            <w:vAlign w:val="center"/>
            <w:hideMark/>
          </w:tcPr>
          <w:p w14:paraId="5A98DF89"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EW-CGL</w:t>
            </w:r>
          </w:p>
        </w:tc>
        <w:tc>
          <w:tcPr>
            <w:tcW w:w="0" w:type="auto"/>
            <w:vAlign w:val="center"/>
            <w:hideMark/>
          </w:tcPr>
          <w:p w14:paraId="35C482F5"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0.00101</w:t>
            </w:r>
          </w:p>
        </w:tc>
        <w:tc>
          <w:tcPr>
            <w:tcW w:w="0" w:type="auto"/>
            <w:vAlign w:val="center"/>
            <w:hideMark/>
          </w:tcPr>
          <w:p w14:paraId="4EE0B1F7"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0.0571</w:t>
            </w:r>
          </w:p>
        </w:tc>
        <w:tc>
          <w:tcPr>
            <w:tcW w:w="0" w:type="auto"/>
            <w:vAlign w:val="center"/>
            <w:hideMark/>
          </w:tcPr>
          <w:p w14:paraId="1D183D1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-0.000192</w:t>
            </w:r>
          </w:p>
        </w:tc>
        <w:tc>
          <w:tcPr>
            <w:tcW w:w="0" w:type="auto"/>
            <w:vAlign w:val="center"/>
            <w:hideMark/>
          </w:tcPr>
          <w:p w14:paraId="45EBF4C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1.53***</w:t>
            </w:r>
          </w:p>
        </w:tc>
        <w:tc>
          <w:tcPr>
            <w:tcW w:w="0" w:type="auto"/>
            <w:vAlign w:val="center"/>
            <w:hideMark/>
          </w:tcPr>
          <w:p w14:paraId="0819EE81"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-0.000335</w:t>
            </w:r>
          </w:p>
        </w:tc>
        <w:tc>
          <w:tcPr>
            <w:tcW w:w="0" w:type="auto"/>
            <w:vAlign w:val="center"/>
            <w:hideMark/>
          </w:tcPr>
          <w:p w14:paraId="65DF8288"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0.501**</w:t>
            </w:r>
          </w:p>
        </w:tc>
      </w:tr>
      <w:tr w:rsidR="00FF5755" w:rsidRPr="00FF5755" w14:paraId="055467C8" w14:textId="77777777" w:rsidTr="00FF5755">
        <w:trPr>
          <w:tblCellSpacing w:w="15" w:type="dxa"/>
        </w:trPr>
        <w:tc>
          <w:tcPr>
            <w:tcW w:w="0" w:type="auto"/>
            <w:vAlign w:val="center"/>
            <w:hideMark/>
          </w:tcPr>
          <w:p w14:paraId="67E5240F"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EW-CGP</w:t>
            </w:r>
          </w:p>
        </w:tc>
        <w:tc>
          <w:tcPr>
            <w:tcW w:w="0" w:type="auto"/>
            <w:vAlign w:val="center"/>
            <w:hideMark/>
          </w:tcPr>
          <w:p w14:paraId="5CA536A7"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0.00324</w:t>
            </w:r>
          </w:p>
        </w:tc>
        <w:tc>
          <w:tcPr>
            <w:tcW w:w="0" w:type="auto"/>
            <w:vAlign w:val="center"/>
            <w:hideMark/>
          </w:tcPr>
          <w:p w14:paraId="492E916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0.172</w:t>
            </w:r>
          </w:p>
        </w:tc>
        <w:tc>
          <w:tcPr>
            <w:tcW w:w="0" w:type="auto"/>
            <w:vAlign w:val="center"/>
            <w:hideMark/>
          </w:tcPr>
          <w:p w14:paraId="1A8C7250"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0.00102</w:t>
            </w:r>
          </w:p>
        </w:tc>
        <w:tc>
          <w:tcPr>
            <w:tcW w:w="0" w:type="auto"/>
            <w:vAlign w:val="center"/>
            <w:hideMark/>
          </w:tcPr>
          <w:p w14:paraId="190A1765"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1.85***</w:t>
            </w:r>
          </w:p>
        </w:tc>
        <w:tc>
          <w:tcPr>
            <w:tcW w:w="0" w:type="auto"/>
            <w:vAlign w:val="center"/>
            <w:hideMark/>
          </w:tcPr>
          <w:p w14:paraId="3330373D"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-0.00128</w:t>
            </w:r>
          </w:p>
        </w:tc>
        <w:tc>
          <w:tcPr>
            <w:tcW w:w="0" w:type="auto"/>
            <w:vAlign w:val="center"/>
            <w:hideMark/>
          </w:tcPr>
          <w:p w14:paraId="5BC3E5D1"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0.696***</w:t>
            </w:r>
          </w:p>
        </w:tc>
      </w:tr>
      <w:tr w:rsidR="00FF5755" w:rsidRPr="00FF5755" w14:paraId="6FDA6FF8" w14:textId="77777777" w:rsidTr="00FF5755">
        <w:trPr>
          <w:tblCellSpacing w:w="15" w:type="dxa"/>
        </w:trPr>
        <w:tc>
          <w:tcPr>
            <w:tcW w:w="0" w:type="auto"/>
            <w:vAlign w:val="center"/>
            <w:hideMark/>
          </w:tcPr>
          <w:p w14:paraId="121E29D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EW-G</w:t>
            </w:r>
          </w:p>
        </w:tc>
        <w:tc>
          <w:tcPr>
            <w:tcW w:w="0" w:type="auto"/>
            <w:vAlign w:val="center"/>
            <w:hideMark/>
          </w:tcPr>
          <w:p w14:paraId="2A38E4B2"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0.00319</w:t>
            </w:r>
          </w:p>
        </w:tc>
        <w:tc>
          <w:tcPr>
            <w:tcW w:w="0" w:type="auto"/>
            <w:vAlign w:val="center"/>
            <w:hideMark/>
          </w:tcPr>
          <w:p w14:paraId="63AA393C"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0.195</w:t>
            </w:r>
          </w:p>
        </w:tc>
        <w:tc>
          <w:tcPr>
            <w:tcW w:w="0" w:type="auto"/>
            <w:vAlign w:val="center"/>
            <w:hideMark/>
          </w:tcPr>
          <w:p w14:paraId="146291F5"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0.00160</w:t>
            </w:r>
          </w:p>
        </w:tc>
        <w:tc>
          <w:tcPr>
            <w:tcW w:w="0" w:type="auto"/>
            <w:vAlign w:val="center"/>
            <w:hideMark/>
          </w:tcPr>
          <w:p w14:paraId="248631B5"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1.26***</w:t>
            </w:r>
          </w:p>
        </w:tc>
        <w:tc>
          <w:tcPr>
            <w:tcW w:w="0" w:type="auto"/>
            <w:vAlign w:val="center"/>
            <w:hideMark/>
          </w:tcPr>
          <w:p w14:paraId="4B2DAE17"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0.00111</w:t>
            </w:r>
          </w:p>
        </w:tc>
        <w:tc>
          <w:tcPr>
            <w:tcW w:w="0" w:type="auto"/>
            <w:vAlign w:val="center"/>
            <w:hideMark/>
          </w:tcPr>
          <w:p w14:paraId="327C912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0.244</w:t>
            </w:r>
          </w:p>
        </w:tc>
      </w:tr>
      <w:tr w:rsidR="00FF5755" w:rsidRPr="00FF5755" w14:paraId="20ACF633" w14:textId="77777777" w:rsidTr="00FF5755">
        <w:trPr>
          <w:tblCellSpacing w:w="15" w:type="dxa"/>
        </w:trPr>
        <w:tc>
          <w:tcPr>
            <w:tcW w:w="0" w:type="auto"/>
            <w:vAlign w:val="center"/>
            <w:hideMark/>
          </w:tcPr>
          <w:p w14:paraId="2A066A4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SW-CGL</w:t>
            </w:r>
          </w:p>
        </w:tc>
        <w:tc>
          <w:tcPr>
            <w:tcW w:w="0" w:type="auto"/>
            <w:vAlign w:val="center"/>
            <w:hideMark/>
          </w:tcPr>
          <w:p w14:paraId="53277F3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0.000291</w:t>
            </w:r>
          </w:p>
        </w:tc>
        <w:tc>
          <w:tcPr>
            <w:tcW w:w="0" w:type="auto"/>
            <w:vAlign w:val="center"/>
            <w:hideMark/>
          </w:tcPr>
          <w:p w14:paraId="2D47D930"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0.0160</w:t>
            </w:r>
          </w:p>
        </w:tc>
        <w:tc>
          <w:tcPr>
            <w:tcW w:w="0" w:type="auto"/>
            <w:vAlign w:val="center"/>
            <w:hideMark/>
          </w:tcPr>
          <w:p w14:paraId="3863E479"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-0.000771</w:t>
            </w:r>
          </w:p>
        </w:tc>
        <w:tc>
          <w:tcPr>
            <w:tcW w:w="0" w:type="auto"/>
            <w:vAlign w:val="center"/>
            <w:hideMark/>
          </w:tcPr>
          <w:p w14:paraId="6B40CE38"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1.57***</w:t>
            </w:r>
          </w:p>
        </w:tc>
        <w:tc>
          <w:tcPr>
            <w:tcW w:w="0" w:type="auto"/>
            <w:vAlign w:val="center"/>
            <w:hideMark/>
          </w:tcPr>
          <w:p w14:paraId="30343980"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-0.000989</w:t>
            </w:r>
          </w:p>
        </w:tc>
        <w:tc>
          <w:tcPr>
            <w:tcW w:w="0" w:type="auto"/>
            <w:vAlign w:val="center"/>
            <w:hideMark/>
          </w:tcPr>
          <w:p w14:paraId="5E8EA06A"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0.560***</w:t>
            </w:r>
          </w:p>
        </w:tc>
      </w:tr>
      <w:tr w:rsidR="00FF5755" w:rsidRPr="00FF5755" w14:paraId="0BD4E065" w14:textId="77777777" w:rsidTr="00FF5755">
        <w:trPr>
          <w:tblCellSpacing w:w="15" w:type="dxa"/>
        </w:trPr>
        <w:tc>
          <w:tcPr>
            <w:tcW w:w="0" w:type="auto"/>
            <w:vAlign w:val="center"/>
            <w:hideMark/>
          </w:tcPr>
          <w:p w14:paraId="266DC763"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SW-CGP</w:t>
            </w:r>
          </w:p>
        </w:tc>
        <w:tc>
          <w:tcPr>
            <w:tcW w:w="0" w:type="auto"/>
            <w:vAlign w:val="center"/>
            <w:hideMark/>
          </w:tcPr>
          <w:p w14:paraId="5C86F808"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0.00312</w:t>
            </w:r>
          </w:p>
        </w:tc>
        <w:tc>
          <w:tcPr>
            <w:tcW w:w="0" w:type="auto"/>
            <w:vAlign w:val="center"/>
            <w:hideMark/>
          </w:tcPr>
          <w:p w14:paraId="40E6274B"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0.172</w:t>
            </w:r>
          </w:p>
        </w:tc>
        <w:tc>
          <w:tcPr>
            <w:tcW w:w="0" w:type="auto"/>
            <w:vAlign w:val="center"/>
            <w:hideMark/>
          </w:tcPr>
          <w:p w14:paraId="587E40A9"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0.00128</w:t>
            </w:r>
          </w:p>
        </w:tc>
        <w:tc>
          <w:tcPr>
            <w:tcW w:w="0" w:type="auto"/>
            <w:vAlign w:val="center"/>
            <w:hideMark/>
          </w:tcPr>
          <w:p w14:paraId="7E837A1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1.82***</w:t>
            </w:r>
          </w:p>
        </w:tc>
        <w:tc>
          <w:tcPr>
            <w:tcW w:w="0" w:type="auto"/>
            <w:vAlign w:val="center"/>
            <w:hideMark/>
          </w:tcPr>
          <w:p w14:paraId="14F0D23A"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-0.00188</w:t>
            </w:r>
          </w:p>
        </w:tc>
        <w:tc>
          <w:tcPr>
            <w:tcW w:w="0" w:type="auto"/>
            <w:vAlign w:val="center"/>
            <w:hideMark/>
          </w:tcPr>
          <w:p w14:paraId="75BDC253"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0.749***</w:t>
            </w:r>
          </w:p>
        </w:tc>
      </w:tr>
      <w:tr w:rsidR="00FF5755" w:rsidRPr="00FF5755" w14:paraId="2C4531A2" w14:textId="77777777" w:rsidTr="00FF5755">
        <w:trPr>
          <w:tblCellSpacing w:w="15" w:type="dxa"/>
        </w:trPr>
        <w:tc>
          <w:tcPr>
            <w:tcW w:w="0" w:type="auto"/>
            <w:vAlign w:val="center"/>
            <w:hideMark/>
          </w:tcPr>
          <w:p w14:paraId="00B12816"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SW-G</w:t>
            </w:r>
          </w:p>
        </w:tc>
        <w:tc>
          <w:tcPr>
            <w:tcW w:w="0" w:type="auto"/>
            <w:vAlign w:val="center"/>
            <w:hideMark/>
          </w:tcPr>
          <w:p w14:paraId="275B799C"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0.00245</w:t>
            </w:r>
          </w:p>
        </w:tc>
        <w:tc>
          <w:tcPr>
            <w:tcW w:w="0" w:type="auto"/>
            <w:vAlign w:val="center"/>
            <w:hideMark/>
          </w:tcPr>
          <w:p w14:paraId="7B551030"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0.143</w:t>
            </w:r>
          </w:p>
        </w:tc>
        <w:tc>
          <w:tcPr>
            <w:tcW w:w="0" w:type="auto"/>
            <w:vAlign w:val="center"/>
            <w:hideMark/>
          </w:tcPr>
          <w:p w14:paraId="095B07D3"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0.000960</w:t>
            </w:r>
          </w:p>
        </w:tc>
        <w:tc>
          <w:tcPr>
            <w:tcW w:w="0" w:type="auto"/>
            <w:vAlign w:val="center"/>
            <w:hideMark/>
          </w:tcPr>
          <w:p w14:paraId="0447E79F"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1.28***</w:t>
            </w:r>
          </w:p>
        </w:tc>
        <w:tc>
          <w:tcPr>
            <w:tcW w:w="0" w:type="auto"/>
            <w:vAlign w:val="center"/>
            <w:hideMark/>
          </w:tcPr>
          <w:p w14:paraId="558D7A8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0.000046</w:t>
            </w:r>
          </w:p>
        </w:tc>
        <w:tc>
          <w:tcPr>
            <w:tcW w:w="0" w:type="auto"/>
            <w:vAlign w:val="center"/>
            <w:hideMark/>
          </w:tcPr>
          <w:p w14:paraId="2FA3717A"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0.305</w:t>
            </w:r>
          </w:p>
        </w:tc>
      </w:tr>
      <w:tr w:rsidR="00FF5755" w:rsidRPr="00FF5755" w14:paraId="3CF7CAC2" w14:textId="77777777" w:rsidTr="00FF5755">
        <w:trPr>
          <w:tblCellSpacing w:w="15" w:type="dxa"/>
        </w:trPr>
        <w:tc>
          <w:tcPr>
            <w:tcW w:w="0" w:type="auto"/>
            <w:vAlign w:val="center"/>
            <w:hideMark/>
          </w:tcPr>
          <w:p w14:paraId="758DE54C"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VW-CGL</w:t>
            </w:r>
          </w:p>
        </w:tc>
        <w:tc>
          <w:tcPr>
            <w:tcW w:w="0" w:type="auto"/>
            <w:vAlign w:val="center"/>
            <w:hideMark/>
          </w:tcPr>
          <w:p w14:paraId="5FA27F75"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0.00219</w:t>
            </w:r>
          </w:p>
        </w:tc>
        <w:tc>
          <w:tcPr>
            <w:tcW w:w="0" w:type="auto"/>
            <w:vAlign w:val="center"/>
            <w:hideMark/>
          </w:tcPr>
          <w:p w14:paraId="7800863D"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0.114</w:t>
            </w:r>
          </w:p>
        </w:tc>
        <w:tc>
          <w:tcPr>
            <w:tcW w:w="0" w:type="auto"/>
            <w:vAlign w:val="center"/>
            <w:hideMark/>
          </w:tcPr>
          <w:p w14:paraId="472AD117"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0.00156</w:t>
            </w:r>
          </w:p>
        </w:tc>
        <w:tc>
          <w:tcPr>
            <w:tcW w:w="0" w:type="auto"/>
            <w:vAlign w:val="center"/>
            <w:hideMark/>
          </w:tcPr>
          <w:p w14:paraId="50A42DC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1.62***</w:t>
            </w:r>
          </w:p>
        </w:tc>
        <w:tc>
          <w:tcPr>
            <w:tcW w:w="0" w:type="auto"/>
            <w:vAlign w:val="center"/>
            <w:hideMark/>
          </w:tcPr>
          <w:p w14:paraId="457E187E"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-0.000714</w:t>
            </w:r>
          </w:p>
        </w:tc>
        <w:tc>
          <w:tcPr>
            <w:tcW w:w="0" w:type="auto"/>
            <w:vAlign w:val="center"/>
            <w:hideMark/>
          </w:tcPr>
          <w:p w14:paraId="117E7FC1"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0.429**</w:t>
            </w:r>
          </w:p>
        </w:tc>
      </w:tr>
      <w:tr w:rsidR="00FF5755" w:rsidRPr="00FF5755" w14:paraId="2118655B" w14:textId="77777777" w:rsidTr="00FF5755">
        <w:trPr>
          <w:tblCellSpacing w:w="15" w:type="dxa"/>
        </w:trPr>
        <w:tc>
          <w:tcPr>
            <w:tcW w:w="0" w:type="auto"/>
            <w:vAlign w:val="center"/>
            <w:hideMark/>
          </w:tcPr>
          <w:p w14:paraId="092A3E6F"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VW-CGP</w:t>
            </w:r>
          </w:p>
        </w:tc>
        <w:tc>
          <w:tcPr>
            <w:tcW w:w="0" w:type="auto"/>
            <w:vAlign w:val="center"/>
            <w:hideMark/>
          </w:tcPr>
          <w:p w14:paraId="34A9E68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0.000618</w:t>
            </w:r>
          </w:p>
        </w:tc>
        <w:tc>
          <w:tcPr>
            <w:tcW w:w="0" w:type="auto"/>
            <w:vAlign w:val="center"/>
            <w:hideMark/>
          </w:tcPr>
          <w:p w14:paraId="74FD26A6"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0.0339</w:t>
            </w:r>
          </w:p>
        </w:tc>
        <w:tc>
          <w:tcPr>
            <w:tcW w:w="0" w:type="auto"/>
            <w:vAlign w:val="center"/>
            <w:hideMark/>
          </w:tcPr>
          <w:p w14:paraId="2EC0A032"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-0.000586</w:t>
            </w:r>
          </w:p>
        </w:tc>
        <w:tc>
          <w:tcPr>
            <w:tcW w:w="0" w:type="auto"/>
            <w:vAlign w:val="center"/>
            <w:hideMark/>
          </w:tcPr>
          <w:p w14:paraId="2ECE7B9A"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1.76***</w:t>
            </w:r>
          </w:p>
        </w:tc>
        <w:tc>
          <w:tcPr>
            <w:tcW w:w="0" w:type="auto"/>
            <w:vAlign w:val="center"/>
            <w:hideMark/>
          </w:tcPr>
          <w:p w14:paraId="426889D4"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-0.00302</w:t>
            </w:r>
          </w:p>
        </w:tc>
        <w:tc>
          <w:tcPr>
            <w:tcW w:w="0" w:type="auto"/>
            <w:vAlign w:val="center"/>
            <w:hideMark/>
          </w:tcPr>
          <w:p w14:paraId="3F7C5D69"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0.673***</w:t>
            </w:r>
          </w:p>
        </w:tc>
      </w:tr>
      <w:tr w:rsidR="00FF5755" w:rsidRPr="00FF5755" w14:paraId="6EFD2D77" w14:textId="77777777" w:rsidTr="00BF682E">
        <w:trPr>
          <w:tblCellSpacing w:w="15" w:type="dxa"/>
        </w:trPr>
        <w:tc>
          <w:tcPr>
            <w:tcW w:w="0" w:type="auto"/>
            <w:tcBorders>
              <w:bottom w:val="single" w:sz="4" w:space="0" w:color="auto"/>
            </w:tcBorders>
            <w:vAlign w:val="center"/>
            <w:hideMark/>
          </w:tcPr>
          <w:p w14:paraId="3FF5103A"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lastRenderedPageBreak/>
              <w:t>VW-G</w:t>
            </w:r>
          </w:p>
        </w:tc>
        <w:tc>
          <w:tcPr>
            <w:tcW w:w="0" w:type="auto"/>
            <w:tcBorders>
              <w:bottom w:val="single" w:sz="4" w:space="0" w:color="auto"/>
            </w:tcBorders>
            <w:vAlign w:val="center"/>
            <w:hideMark/>
          </w:tcPr>
          <w:p w14:paraId="377C5571"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0.00272</w:t>
            </w:r>
          </w:p>
        </w:tc>
        <w:tc>
          <w:tcPr>
            <w:tcW w:w="0" w:type="auto"/>
            <w:tcBorders>
              <w:bottom w:val="single" w:sz="4" w:space="0" w:color="auto"/>
            </w:tcBorders>
            <w:vAlign w:val="center"/>
            <w:hideMark/>
          </w:tcPr>
          <w:p w14:paraId="37E697C2"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0.156</w:t>
            </w:r>
          </w:p>
        </w:tc>
        <w:tc>
          <w:tcPr>
            <w:tcW w:w="0" w:type="auto"/>
            <w:tcBorders>
              <w:bottom w:val="single" w:sz="4" w:space="0" w:color="auto"/>
            </w:tcBorders>
            <w:vAlign w:val="center"/>
            <w:hideMark/>
          </w:tcPr>
          <w:p w14:paraId="2458C0CD"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0.00117</w:t>
            </w:r>
          </w:p>
        </w:tc>
        <w:tc>
          <w:tcPr>
            <w:tcW w:w="0" w:type="auto"/>
            <w:tcBorders>
              <w:bottom w:val="single" w:sz="4" w:space="0" w:color="auto"/>
            </w:tcBorders>
            <w:vAlign w:val="center"/>
            <w:hideMark/>
          </w:tcPr>
          <w:p w14:paraId="7BE92B58"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1.39***</w:t>
            </w:r>
          </w:p>
        </w:tc>
        <w:tc>
          <w:tcPr>
            <w:tcW w:w="0" w:type="auto"/>
            <w:tcBorders>
              <w:bottom w:val="single" w:sz="4" w:space="0" w:color="auto"/>
            </w:tcBorders>
            <w:vAlign w:val="center"/>
            <w:hideMark/>
          </w:tcPr>
          <w:p w14:paraId="3B30DBFC"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0.00163</w:t>
            </w:r>
          </w:p>
        </w:tc>
        <w:tc>
          <w:tcPr>
            <w:tcW w:w="0" w:type="auto"/>
            <w:tcBorders>
              <w:bottom w:val="single" w:sz="4" w:space="0" w:color="auto"/>
            </w:tcBorders>
            <w:vAlign w:val="center"/>
            <w:hideMark/>
          </w:tcPr>
          <w:p w14:paraId="5C7426B1" w14:textId="77777777" w:rsidR="00FF5755" w:rsidRPr="00FF5755" w:rsidRDefault="00FF5755" w:rsidP="00FF5755">
            <w:pPr>
              <w:spacing w:after="0" w:line="240" w:lineRule="auto"/>
              <w:rPr>
                <w:rFonts w:ascii="Times New Roman" w:eastAsia="Times New Roman" w:hAnsi="Times New Roman" w:cs="Times New Roman"/>
                <w:kern w:val="0"/>
                <w:sz w:val="24"/>
                <w:szCs w:val="24"/>
                <w:lang w:eastAsia="it-IT"/>
                <w14:ligatures w14:val="none"/>
              </w:rPr>
            </w:pPr>
            <w:r w:rsidRPr="00FF5755">
              <w:rPr>
                <w:rFonts w:ascii="Times New Roman" w:eastAsia="Times New Roman" w:hAnsi="Times New Roman" w:cs="Times New Roman"/>
                <w:kern w:val="0"/>
                <w:sz w:val="24"/>
                <w:szCs w:val="24"/>
                <w:lang w:eastAsia="it-IT"/>
                <w14:ligatures w14:val="none"/>
              </w:rPr>
              <w:t>0.239</w:t>
            </w:r>
          </w:p>
        </w:tc>
      </w:tr>
    </w:tbl>
    <w:p w14:paraId="7438D905" w14:textId="6E9071B8" w:rsidR="004D23E9" w:rsidRPr="004D23E9" w:rsidRDefault="004D23E9" w:rsidP="00DF37E2">
      <w:pPr>
        <w:jc w:val="both"/>
        <w:rPr>
          <w:rFonts w:ascii="Times New Roman" w:hAnsi="Times New Roman" w:cs="Times New Roman"/>
          <w:i/>
          <w:iCs/>
          <w:sz w:val="24"/>
          <w:szCs w:val="24"/>
        </w:rPr>
      </w:pPr>
      <w:r w:rsidRPr="004D23E9">
        <w:rPr>
          <w:rFonts w:ascii="Times New Roman" w:hAnsi="Times New Roman" w:cs="Times New Roman"/>
          <w:i/>
          <w:iCs/>
          <w:sz w:val="24"/>
          <w:szCs w:val="24"/>
        </w:rPr>
        <w:t>Nota. Gli Sharpe ratio sono riportati su base giornaliera e non annualizzati. Le t-statistics delle regressioni CAPM e Fama-French-Carhart</w:t>
      </w:r>
      <w:r>
        <w:rPr>
          <w:rFonts w:ascii="Times New Roman" w:hAnsi="Times New Roman" w:cs="Times New Roman"/>
          <w:i/>
          <w:iCs/>
          <w:sz w:val="24"/>
          <w:szCs w:val="24"/>
        </w:rPr>
        <w:t>.</w:t>
      </w:r>
    </w:p>
    <w:p w14:paraId="5FB3E913" w14:textId="75A0E29B" w:rsidR="008A240A" w:rsidRPr="00D11ED9" w:rsidRDefault="00BF682E" w:rsidP="008A240A">
      <w:pPr>
        <w:jc w:val="both"/>
        <w:rPr>
          <w:rFonts w:ascii="Times New Roman" w:hAnsi="Times New Roman" w:cs="Times New Roman"/>
          <w:b/>
          <w:bCs/>
          <w:sz w:val="24"/>
          <w:szCs w:val="24"/>
        </w:rPr>
      </w:pPr>
      <w:r w:rsidRPr="00D11ED9">
        <w:rPr>
          <w:rFonts w:ascii="Times New Roman" w:hAnsi="Times New Roman" w:cs="Times New Roman"/>
          <w:b/>
          <w:bCs/>
          <w:sz w:val="24"/>
          <w:szCs w:val="24"/>
        </w:rPr>
        <w:t>3</w:t>
      </w:r>
      <w:r w:rsidR="008A240A" w:rsidRPr="00D11ED9">
        <w:rPr>
          <w:rFonts w:ascii="Times New Roman" w:hAnsi="Times New Roman" w:cs="Times New Roman"/>
          <w:b/>
          <w:bCs/>
          <w:sz w:val="24"/>
          <w:szCs w:val="24"/>
        </w:rPr>
        <w:t xml:space="preserve">.7 </w:t>
      </w:r>
      <w:r w:rsidRPr="00D11ED9">
        <w:rPr>
          <w:rFonts w:ascii="Times New Roman" w:hAnsi="Times New Roman" w:cs="Times New Roman"/>
          <w:b/>
          <w:bCs/>
          <w:sz w:val="24"/>
          <w:szCs w:val="24"/>
        </w:rPr>
        <w:t>Empirical Discussion and Concluding Remarks</w:t>
      </w:r>
    </w:p>
    <w:p w14:paraId="7DB1A647" w14:textId="058D18BD" w:rsidR="00BF682E" w:rsidRPr="00BF682E" w:rsidRDefault="00BF682E" w:rsidP="00BF682E">
      <w:pPr>
        <w:jc w:val="both"/>
        <w:rPr>
          <w:rFonts w:ascii="Times New Roman" w:hAnsi="Times New Roman" w:cs="Times New Roman"/>
          <w:sz w:val="24"/>
          <w:szCs w:val="24"/>
        </w:rPr>
      </w:pPr>
      <w:r w:rsidRPr="00BF682E">
        <w:rPr>
          <w:rFonts w:ascii="Times New Roman" w:hAnsi="Times New Roman" w:cs="Times New Roman"/>
          <w:sz w:val="24"/>
          <w:szCs w:val="24"/>
        </w:rPr>
        <w:t xml:space="preserve">I risultati empirici ottenuti in questo lavoro consentono di formulare una discussione teorica e operativa più ampia sul ruolo dei modelli linguistici nel </w:t>
      </w:r>
      <w:r w:rsidRPr="00BF682E">
        <w:rPr>
          <w:rFonts w:ascii="Times New Roman" w:hAnsi="Times New Roman" w:cs="Times New Roman"/>
          <w:i/>
          <w:iCs/>
          <w:sz w:val="24"/>
          <w:szCs w:val="24"/>
        </w:rPr>
        <w:t>forecasting</w:t>
      </w:r>
      <w:r w:rsidRPr="00BF682E">
        <w:rPr>
          <w:rFonts w:ascii="Times New Roman" w:hAnsi="Times New Roman" w:cs="Times New Roman"/>
          <w:sz w:val="24"/>
          <w:szCs w:val="24"/>
        </w:rPr>
        <w:t xml:space="preserve"> finanziario e sul loro rapporto con l’efficienza informativa dei mercati. Nel complesso, l’evidenza raccolta dimostra che i Large Language Models (LLMs) sono effettivamente in grado di produrre output finanziariamente plausibili, semanticamente convincenti e coerenti con il contesto informativo disponibile; tuttavia, essi non mostrano una capacità predittiva sufficientemente robusta da tradursi in </w:t>
      </w:r>
      <w:r w:rsidRPr="00BF682E">
        <w:rPr>
          <w:rFonts w:ascii="Times New Roman" w:hAnsi="Times New Roman" w:cs="Times New Roman"/>
          <w:i/>
          <w:iCs/>
          <w:sz w:val="24"/>
          <w:szCs w:val="24"/>
        </w:rPr>
        <w:t>abnormal returns</w:t>
      </w:r>
      <w:r w:rsidRPr="00BF682E">
        <w:rPr>
          <w:rFonts w:ascii="Times New Roman" w:hAnsi="Times New Roman" w:cs="Times New Roman"/>
          <w:sz w:val="24"/>
          <w:szCs w:val="24"/>
        </w:rPr>
        <w:t xml:space="preserve"> persistenti e statisticamente significativi una volta corretto per il rischio. Questo divario tra la sofisticata qualità narrativa delle risposte e la debolezza delle performance quantitative reali trova la sua massima espressione nei test di </w:t>
      </w:r>
      <w:r w:rsidRPr="00BF682E">
        <w:rPr>
          <w:rFonts w:ascii="Times New Roman" w:hAnsi="Times New Roman" w:cs="Times New Roman"/>
          <w:i/>
          <w:iCs/>
          <w:sz w:val="24"/>
          <w:szCs w:val="24"/>
        </w:rPr>
        <w:t>market timing</w:t>
      </w:r>
      <w:r w:rsidRPr="00BF682E">
        <w:rPr>
          <w:rFonts w:ascii="Times New Roman" w:hAnsi="Times New Roman" w:cs="Times New Roman"/>
          <w:sz w:val="24"/>
          <w:szCs w:val="24"/>
        </w:rPr>
        <w:t xml:space="preserve"> sull'indice S&amp;P 500 e nell'analisi del </w:t>
      </w:r>
      <w:r w:rsidRPr="00BF682E">
        <w:rPr>
          <w:rFonts w:ascii="Times New Roman" w:hAnsi="Times New Roman" w:cs="Times New Roman"/>
          <w:i/>
          <w:iCs/>
          <w:sz w:val="24"/>
          <w:szCs w:val="24"/>
        </w:rPr>
        <w:t>magnitude forecasting</w:t>
      </w:r>
      <w:r w:rsidRPr="00BF682E">
        <w:rPr>
          <w:rFonts w:ascii="Times New Roman" w:hAnsi="Times New Roman" w:cs="Times New Roman"/>
          <w:sz w:val="24"/>
          <w:szCs w:val="24"/>
        </w:rPr>
        <w:t>. In quest'ultimo caso, la sostanziale assenza di una relazione statistica tra rendimenti previsti e realizzati suggerisce che gli LLMs non possiedano una reale attitudine alla quantificazione dell’intensità dei movimenti di mercato nel brevissimo termine.</w:t>
      </w:r>
    </w:p>
    <w:p w14:paraId="2344F871" w14:textId="77777777" w:rsidR="00BF682E" w:rsidRPr="00BF682E" w:rsidRDefault="00BF682E" w:rsidP="00BF682E">
      <w:pPr>
        <w:jc w:val="both"/>
        <w:rPr>
          <w:rFonts w:ascii="Times New Roman" w:hAnsi="Times New Roman" w:cs="Times New Roman"/>
          <w:sz w:val="24"/>
          <w:szCs w:val="24"/>
        </w:rPr>
      </w:pPr>
      <w:r w:rsidRPr="00BF682E">
        <w:rPr>
          <w:rFonts w:ascii="Times New Roman" w:hAnsi="Times New Roman" w:cs="Times New Roman"/>
          <w:sz w:val="24"/>
          <w:szCs w:val="24"/>
        </w:rPr>
        <w:t xml:space="preserve">Dal punto di vista dell'asset pricing, l'analisi multifattoriale offre una chiave di lettura univoca: gli </w:t>
      </w:r>
      <w:r w:rsidRPr="00BF682E">
        <w:rPr>
          <w:rFonts w:ascii="Times New Roman" w:hAnsi="Times New Roman" w:cs="Times New Roman"/>
          <w:i/>
          <w:iCs/>
          <w:sz w:val="24"/>
          <w:szCs w:val="24"/>
        </w:rPr>
        <w:t>Sharpe ratio</w:t>
      </w:r>
      <w:r w:rsidRPr="00BF682E">
        <w:rPr>
          <w:rFonts w:ascii="Times New Roman" w:hAnsi="Times New Roman" w:cs="Times New Roman"/>
          <w:sz w:val="24"/>
          <w:szCs w:val="24"/>
        </w:rPr>
        <w:t xml:space="preserve"> complessivamente moderati e l’assenza generalizzata di alpha significativi indicano che le performance cumulative positive registrate da alcune configurazioni – in particolare i portafogli </w:t>
      </w:r>
      <w:r w:rsidRPr="00BF682E">
        <w:rPr>
          <w:rFonts w:ascii="Times New Roman" w:hAnsi="Times New Roman" w:cs="Times New Roman"/>
          <w:i/>
          <w:iCs/>
          <w:sz w:val="24"/>
          <w:szCs w:val="24"/>
        </w:rPr>
        <w:t>equally</w:t>
      </w:r>
      <w:r w:rsidRPr="00BF682E">
        <w:rPr>
          <w:rFonts w:ascii="Times New Roman" w:hAnsi="Times New Roman" w:cs="Times New Roman"/>
          <w:sz w:val="24"/>
          <w:szCs w:val="24"/>
        </w:rPr>
        <w:t xml:space="preserve"> e </w:t>
      </w:r>
      <w:r w:rsidRPr="00BF682E">
        <w:rPr>
          <w:rFonts w:ascii="Times New Roman" w:hAnsi="Times New Roman" w:cs="Times New Roman"/>
          <w:i/>
          <w:iCs/>
          <w:sz w:val="24"/>
          <w:szCs w:val="24"/>
        </w:rPr>
        <w:t>signal weighted</w:t>
      </w:r>
      <w:r w:rsidRPr="00BF682E">
        <w:rPr>
          <w:rFonts w:ascii="Times New Roman" w:hAnsi="Times New Roman" w:cs="Times New Roman"/>
          <w:sz w:val="24"/>
          <w:szCs w:val="24"/>
        </w:rPr>
        <w:t xml:space="preserve"> di ChatGPT non loggato (CGP) e Gemini Pro (G) – siano interamente spiegate da esposizioni sistematiche ai fattori di mercato. Sotto questo profilo, l'analisi del fattore </w:t>
      </w:r>
      <w:r w:rsidRPr="00BF682E">
        <w:rPr>
          <w:rFonts w:ascii="Times New Roman" w:hAnsi="Times New Roman" w:cs="Times New Roman"/>
          <w:i/>
          <w:iCs/>
          <w:sz w:val="24"/>
          <w:szCs w:val="24"/>
        </w:rPr>
        <w:t>momentum</w:t>
      </w:r>
      <w:r w:rsidRPr="00BF682E">
        <w:rPr>
          <w:rFonts w:ascii="Times New Roman" w:hAnsi="Times New Roman" w:cs="Times New Roman"/>
          <w:sz w:val="24"/>
          <w:szCs w:val="24"/>
        </w:rPr>
        <w:t xml:space="preserve"> (MOM) evidenzia una moderata eterogeneità architetturale, con i modelli della famiglia ChatGPT maggiormente inclini a riflettere dinamiche di trend e sentiment già diffuse nel linguaggio finanziario pubblico, mentre Gemini Pro mostra una minore esposizione sistematica a tale fattore, pur senza generare alpha indipendente. Pertanto, l’evidenza empirica suggerisce che gli LLMs si comportino principalmente come raffinati strumenti di aggregazione narrativa e cattura del sentiment prevalente, piuttosto che come generatori di segnali </w:t>
      </w:r>
      <w:r w:rsidRPr="00BF682E">
        <w:rPr>
          <w:rFonts w:ascii="Times New Roman" w:hAnsi="Times New Roman" w:cs="Times New Roman"/>
          <w:i/>
          <w:iCs/>
          <w:sz w:val="24"/>
          <w:szCs w:val="24"/>
        </w:rPr>
        <w:t>alpha-producing</w:t>
      </w:r>
      <w:r w:rsidRPr="00BF682E">
        <w:rPr>
          <w:rFonts w:ascii="Times New Roman" w:hAnsi="Times New Roman" w:cs="Times New Roman"/>
          <w:sz w:val="24"/>
          <w:szCs w:val="24"/>
        </w:rPr>
        <w:t xml:space="preserve"> autonomi.</w:t>
      </w:r>
    </w:p>
    <w:p w14:paraId="27FBCA43" w14:textId="77777777" w:rsidR="00BF682E" w:rsidRPr="00BF682E" w:rsidRDefault="00BF682E" w:rsidP="00BF682E">
      <w:pPr>
        <w:jc w:val="both"/>
        <w:rPr>
          <w:rFonts w:ascii="Times New Roman" w:hAnsi="Times New Roman" w:cs="Times New Roman"/>
          <w:sz w:val="24"/>
          <w:szCs w:val="24"/>
        </w:rPr>
      </w:pPr>
      <w:r w:rsidRPr="00BF682E">
        <w:rPr>
          <w:rFonts w:ascii="Times New Roman" w:hAnsi="Times New Roman" w:cs="Times New Roman"/>
          <w:sz w:val="24"/>
          <w:szCs w:val="24"/>
        </w:rPr>
        <w:t xml:space="preserve">Questi risultati appaiono pienamente coerenti con la teoria dell’efficienza semi-forte dei mercati finanziari. In un ambiente caratterizzato da un'elevata competizione e da una rapidissima incorporazione dei dati pubblici nei prezzi, la semplice capacità algoritmica di sintetizzare l'informazione testuale non è sufficiente a garantire vantaggi predittivi economicamente sfruttabili in modo persistente, specialmente in un orizzonte temporale ristretto come quello intraday. A rafforzare la robustezza statistica di queste conclusioni concorre la natura stessa del framework metodologico adottato in questa ricerca: diversamente da gran parte della letteratura recente, l'esperimento è stato condotto in ambiente rigorosamente </w:t>
      </w:r>
      <w:r w:rsidRPr="00BF682E">
        <w:rPr>
          <w:rFonts w:ascii="Times New Roman" w:hAnsi="Times New Roman" w:cs="Times New Roman"/>
          <w:i/>
          <w:iCs/>
          <w:sz w:val="24"/>
          <w:szCs w:val="24"/>
        </w:rPr>
        <w:t>real-time</w:t>
      </w:r>
      <w:r w:rsidRPr="00BF682E">
        <w:rPr>
          <w:rFonts w:ascii="Times New Roman" w:hAnsi="Times New Roman" w:cs="Times New Roman"/>
          <w:sz w:val="24"/>
          <w:szCs w:val="24"/>
        </w:rPr>
        <w:t xml:space="preserve"> e </w:t>
      </w:r>
      <w:r w:rsidRPr="00BF682E">
        <w:rPr>
          <w:rFonts w:ascii="Times New Roman" w:hAnsi="Times New Roman" w:cs="Times New Roman"/>
          <w:i/>
          <w:iCs/>
          <w:sz w:val="24"/>
          <w:szCs w:val="24"/>
        </w:rPr>
        <w:t>out-of-sample</w:t>
      </w:r>
      <w:r w:rsidRPr="00BF682E">
        <w:rPr>
          <w:rFonts w:ascii="Times New Roman" w:hAnsi="Times New Roman" w:cs="Times New Roman"/>
          <w:sz w:val="24"/>
          <w:szCs w:val="24"/>
        </w:rPr>
        <w:t xml:space="preserve">. Questo approccio ha permesso di documentare sistematicamente criticità operative cruciali quali l'instabilità </w:t>
      </w:r>
      <w:r w:rsidRPr="00BF682E">
        <w:rPr>
          <w:rFonts w:ascii="Times New Roman" w:hAnsi="Times New Roman" w:cs="Times New Roman"/>
          <w:i/>
          <w:iCs/>
          <w:sz w:val="24"/>
          <w:szCs w:val="24"/>
        </w:rPr>
        <w:t>cross-session</w:t>
      </w:r>
      <w:r w:rsidRPr="00BF682E">
        <w:rPr>
          <w:rFonts w:ascii="Times New Roman" w:hAnsi="Times New Roman" w:cs="Times New Roman"/>
          <w:sz w:val="24"/>
          <w:szCs w:val="24"/>
        </w:rPr>
        <w:t xml:space="preserve">, la </w:t>
      </w:r>
      <w:r w:rsidRPr="00BF682E">
        <w:rPr>
          <w:rFonts w:ascii="Times New Roman" w:hAnsi="Times New Roman" w:cs="Times New Roman"/>
          <w:i/>
          <w:iCs/>
          <w:sz w:val="24"/>
          <w:szCs w:val="24"/>
        </w:rPr>
        <w:t>prompt non-compliance</w:t>
      </w:r>
      <w:r w:rsidRPr="00BF682E">
        <w:rPr>
          <w:rFonts w:ascii="Times New Roman" w:hAnsi="Times New Roman" w:cs="Times New Roman"/>
          <w:sz w:val="24"/>
          <w:szCs w:val="24"/>
        </w:rPr>
        <w:t xml:space="preserve">, le </w:t>
      </w:r>
      <w:r w:rsidRPr="00BF682E">
        <w:rPr>
          <w:rFonts w:ascii="Times New Roman" w:hAnsi="Times New Roman" w:cs="Times New Roman"/>
          <w:i/>
          <w:iCs/>
          <w:sz w:val="24"/>
          <w:szCs w:val="24"/>
        </w:rPr>
        <w:t>hallucinations</w:t>
      </w:r>
      <w:r w:rsidRPr="00BF682E">
        <w:rPr>
          <w:rFonts w:ascii="Times New Roman" w:hAnsi="Times New Roman" w:cs="Times New Roman"/>
          <w:sz w:val="24"/>
          <w:szCs w:val="24"/>
        </w:rPr>
        <w:t xml:space="preserve"> finanziarie e le interferenze dei </w:t>
      </w:r>
      <w:r w:rsidRPr="00BF682E">
        <w:rPr>
          <w:rFonts w:ascii="Times New Roman" w:hAnsi="Times New Roman" w:cs="Times New Roman"/>
          <w:i/>
          <w:iCs/>
          <w:sz w:val="24"/>
          <w:szCs w:val="24"/>
        </w:rPr>
        <w:t>guardrails</w:t>
      </w:r>
      <w:r w:rsidRPr="00BF682E">
        <w:rPr>
          <w:rFonts w:ascii="Times New Roman" w:hAnsi="Times New Roman" w:cs="Times New Roman"/>
          <w:sz w:val="24"/>
          <w:szCs w:val="24"/>
        </w:rPr>
        <w:t xml:space="preserve"> di sicurezza. Tali fenomeni indicano che i framework retrospettivi tradizionali tendono a sovrastimare la reale affidabilità degli LLMs, poiché l'ambiente controllato </w:t>
      </w:r>
      <w:r w:rsidRPr="00BF682E">
        <w:rPr>
          <w:rFonts w:ascii="Times New Roman" w:hAnsi="Times New Roman" w:cs="Times New Roman"/>
          <w:i/>
          <w:iCs/>
          <w:sz w:val="24"/>
          <w:szCs w:val="24"/>
        </w:rPr>
        <w:t>ex-post</w:t>
      </w:r>
      <w:r w:rsidRPr="00BF682E">
        <w:rPr>
          <w:rFonts w:ascii="Times New Roman" w:hAnsi="Times New Roman" w:cs="Times New Roman"/>
          <w:sz w:val="24"/>
          <w:szCs w:val="24"/>
        </w:rPr>
        <w:t xml:space="preserve"> mitiga artificialmente le complessità di stabilità e replicabilità tipiche del trading in tempo reale.</w:t>
      </w:r>
    </w:p>
    <w:p w14:paraId="018B438F" w14:textId="77777777" w:rsidR="00BF682E" w:rsidRPr="00BF682E" w:rsidRDefault="00BF682E" w:rsidP="00BF682E">
      <w:pPr>
        <w:jc w:val="both"/>
        <w:rPr>
          <w:rFonts w:ascii="Times New Roman" w:hAnsi="Times New Roman" w:cs="Times New Roman"/>
          <w:sz w:val="24"/>
          <w:szCs w:val="24"/>
        </w:rPr>
      </w:pPr>
      <w:r w:rsidRPr="00BF682E">
        <w:rPr>
          <w:rFonts w:ascii="Times New Roman" w:hAnsi="Times New Roman" w:cs="Times New Roman"/>
          <w:sz w:val="24"/>
          <w:szCs w:val="24"/>
        </w:rPr>
        <w:t xml:space="preserve">In conclusione, il contributo principale di questa ricerca non consiste nel decretare l'assoluta inefficacia degli LLMs nel dominio finanziario, quanto piuttosto nel dimostrare come la plausibilità testuale non si traduca necessariamente in strategie operative robuste. I modelli linguistici di grandi </w:t>
      </w:r>
      <w:r w:rsidRPr="00BF682E">
        <w:rPr>
          <w:rFonts w:ascii="Times New Roman" w:hAnsi="Times New Roman" w:cs="Times New Roman"/>
          <w:sz w:val="24"/>
          <w:szCs w:val="24"/>
        </w:rPr>
        <w:lastRenderedPageBreak/>
        <w:t xml:space="preserve">dimensioni confermano la loro straordinaria utilità come strumenti di supporto decisionale umano, efficaci nella sintesi di enormi volumi di testo, nell'analisi qualitativa del sentiment e nella generazione di scenari alternativi. Tuttavia, se impiegati come sistemi di forecasting quantitativo autonomi e sistematici, essi presentano ancora vincoli strutturali invalicabili, evidenziando la necessità di integrare metriche di valutazione </w:t>
      </w:r>
      <w:r w:rsidRPr="00BF682E">
        <w:rPr>
          <w:rFonts w:ascii="Times New Roman" w:hAnsi="Times New Roman" w:cs="Times New Roman"/>
          <w:i/>
          <w:iCs/>
          <w:sz w:val="24"/>
          <w:szCs w:val="24"/>
        </w:rPr>
        <w:t>risk-adjusted</w:t>
      </w:r>
      <w:r w:rsidRPr="00BF682E">
        <w:rPr>
          <w:rFonts w:ascii="Times New Roman" w:hAnsi="Times New Roman" w:cs="Times New Roman"/>
          <w:sz w:val="24"/>
          <w:szCs w:val="24"/>
        </w:rPr>
        <w:t>, controlli multifattoriali e una rigorosa validazione operativa per poterne comprendere il reale valore aggiunto in ambiente reale.</w:t>
      </w:r>
    </w:p>
    <w:p w14:paraId="1A24D65E" w14:textId="7A15C28E" w:rsidR="004022CF" w:rsidRPr="00BF682E" w:rsidRDefault="004022CF" w:rsidP="0022295B">
      <w:pPr>
        <w:jc w:val="both"/>
        <w:rPr>
          <w:rFonts w:ascii="Times New Roman" w:hAnsi="Times New Roman" w:cs="Times New Roman"/>
          <w:sz w:val="24"/>
          <w:szCs w:val="24"/>
        </w:rPr>
      </w:pPr>
    </w:p>
    <w:sectPr w:rsidR="004022CF" w:rsidRPr="00BF682E">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6096" w14:textId="77777777" w:rsidR="00C65091" w:rsidRDefault="00C65091" w:rsidP="0022295B">
      <w:pPr>
        <w:spacing w:after="0" w:line="240" w:lineRule="auto"/>
      </w:pPr>
      <w:r>
        <w:separator/>
      </w:r>
    </w:p>
  </w:endnote>
  <w:endnote w:type="continuationSeparator" w:id="0">
    <w:p w14:paraId="410A1748" w14:textId="77777777" w:rsidR="00C65091" w:rsidRDefault="00C65091" w:rsidP="00222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71B40" w14:textId="77777777" w:rsidR="00C65091" w:rsidRDefault="00C65091" w:rsidP="0022295B">
      <w:pPr>
        <w:spacing w:after="0" w:line="240" w:lineRule="auto"/>
      </w:pPr>
      <w:r>
        <w:separator/>
      </w:r>
    </w:p>
  </w:footnote>
  <w:footnote w:type="continuationSeparator" w:id="0">
    <w:p w14:paraId="455C9071" w14:textId="77777777" w:rsidR="00C65091" w:rsidRDefault="00C65091" w:rsidP="0022295B">
      <w:pPr>
        <w:spacing w:after="0" w:line="240" w:lineRule="auto"/>
      </w:pPr>
      <w:r>
        <w:continuationSeparator/>
      </w:r>
    </w:p>
  </w:footnote>
  <w:footnote w:id="1">
    <w:p w14:paraId="56B34FCD" w14:textId="77777777" w:rsidR="0022295B" w:rsidRPr="0022295B" w:rsidRDefault="0022295B" w:rsidP="0022295B">
      <w:pPr>
        <w:jc w:val="both"/>
        <w:rPr>
          <w:rFonts w:ascii="Times New Roman" w:hAnsi="Times New Roman" w:cs="Times New Roman"/>
          <w:sz w:val="24"/>
          <w:szCs w:val="24"/>
        </w:rPr>
      </w:pPr>
      <w:r>
        <w:rPr>
          <w:rStyle w:val="Rimandonotaapidipagina"/>
        </w:rPr>
        <w:footnoteRef/>
      </w:r>
      <w:r>
        <w:t xml:space="preserve"> </w:t>
      </w:r>
      <w:r w:rsidRPr="0022295B">
        <w:rPr>
          <w:rFonts w:ascii="Times New Roman" w:hAnsi="Times New Roman" w:cs="Times New Roman"/>
          <w:sz w:val="24"/>
          <w:szCs w:val="24"/>
        </w:rPr>
        <w:t>Data la natura intraday delle strategie implementate, il tasso risk-free giornaliero è stato assunto pari a zero, coerentemente con la letteratura sulle strategie ad alta frequenza e brevissimo orizzonte temporale.</w:t>
      </w:r>
    </w:p>
    <w:p w14:paraId="14783D63" w14:textId="38095D84" w:rsidR="0022295B" w:rsidRDefault="0022295B">
      <w:pPr>
        <w:pStyle w:val="Testonotaapidipagina"/>
      </w:pPr>
    </w:p>
  </w:footnote>
  <w:footnote w:id="2">
    <w:p w14:paraId="3ACA3EF3" w14:textId="4E5CF52C" w:rsidR="0022295B" w:rsidRDefault="0022295B">
      <w:pPr>
        <w:pStyle w:val="Testonotaapidipagina"/>
      </w:pPr>
      <w:r>
        <w:rPr>
          <w:rStyle w:val="Rimandonotaapidipagina"/>
        </w:rPr>
        <w:footnoteRef/>
      </w:r>
      <w:r>
        <w:t xml:space="preserve"> </w:t>
      </w:r>
      <w:r w:rsidRPr="0022295B">
        <w:rPr>
          <w:rFonts w:ascii="Times New Roman" w:hAnsi="Times New Roman" w:cs="Times New Roman"/>
          <w:sz w:val="24"/>
          <w:szCs w:val="24"/>
        </w:rPr>
        <w:t>Per “incoerenza direzionale” si intende la circostanza in cui il medesimo modello assegna simultaneamente aspettative positive e negative allo stesso titolo in task differenti svolti all’interno della medesima sessione operativa.</w:t>
      </w:r>
    </w:p>
  </w:footnote>
  <w:footnote w:id="3">
    <w:p w14:paraId="705D1F70" w14:textId="77777777" w:rsidR="0022295B" w:rsidRPr="0022295B" w:rsidRDefault="0022295B" w:rsidP="0022295B">
      <w:pPr>
        <w:jc w:val="both"/>
        <w:rPr>
          <w:rFonts w:ascii="Times New Roman" w:hAnsi="Times New Roman" w:cs="Times New Roman"/>
          <w:sz w:val="24"/>
          <w:szCs w:val="24"/>
        </w:rPr>
      </w:pPr>
      <w:r>
        <w:rPr>
          <w:rStyle w:val="Rimandonotaapidipagina"/>
        </w:rPr>
        <w:footnoteRef/>
      </w:r>
      <w:r>
        <w:t xml:space="preserve"> </w:t>
      </w:r>
      <w:r w:rsidRPr="0022295B">
        <w:rPr>
          <w:rFonts w:ascii="Times New Roman" w:hAnsi="Times New Roman" w:cs="Times New Roman"/>
          <w:sz w:val="24"/>
          <w:szCs w:val="24"/>
        </w:rPr>
        <w:t>Nel corso di diverse sessioni operative, il medesimo modello ha assegnato contemporaneamente aspettative rialziste e ribassiste allo stesso titolo in task differenti, evidenziando significativi problemi di coerenza inferenziale interna.</w:t>
      </w:r>
    </w:p>
    <w:p w14:paraId="224FB7C5" w14:textId="3F8C07D8" w:rsidR="0022295B" w:rsidRDefault="0022295B">
      <w:pPr>
        <w:pStyle w:val="Testonotaapidipagina"/>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461A"/>
    <w:multiLevelType w:val="multilevel"/>
    <w:tmpl w:val="326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54CF6"/>
    <w:multiLevelType w:val="multilevel"/>
    <w:tmpl w:val="A1A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E6BE5"/>
    <w:multiLevelType w:val="multilevel"/>
    <w:tmpl w:val="DD6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04949"/>
    <w:multiLevelType w:val="multilevel"/>
    <w:tmpl w:val="637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A43E4"/>
    <w:multiLevelType w:val="multilevel"/>
    <w:tmpl w:val="AC78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111B0"/>
    <w:multiLevelType w:val="multilevel"/>
    <w:tmpl w:val="69FC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D577F"/>
    <w:multiLevelType w:val="multilevel"/>
    <w:tmpl w:val="B474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B0377"/>
    <w:multiLevelType w:val="multilevel"/>
    <w:tmpl w:val="21C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65CE3"/>
    <w:multiLevelType w:val="multilevel"/>
    <w:tmpl w:val="8928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51265"/>
    <w:multiLevelType w:val="multilevel"/>
    <w:tmpl w:val="D6D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87614"/>
    <w:multiLevelType w:val="multilevel"/>
    <w:tmpl w:val="569A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67D47"/>
    <w:multiLevelType w:val="multilevel"/>
    <w:tmpl w:val="A8FE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F7F6B"/>
    <w:multiLevelType w:val="multilevel"/>
    <w:tmpl w:val="F57E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059763">
    <w:abstractNumId w:val="0"/>
  </w:num>
  <w:num w:numId="2" w16cid:durableId="1718965769">
    <w:abstractNumId w:val="8"/>
  </w:num>
  <w:num w:numId="3" w16cid:durableId="269507228">
    <w:abstractNumId w:val="9"/>
  </w:num>
  <w:num w:numId="4" w16cid:durableId="532112356">
    <w:abstractNumId w:val="6"/>
  </w:num>
  <w:num w:numId="5" w16cid:durableId="660239195">
    <w:abstractNumId w:val="11"/>
  </w:num>
  <w:num w:numId="6" w16cid:durableId="1282223428">
    <w:abstractNumId w:val="4"/>
  </w:num>
  <w:num w:numId="7" w16cid:durableId="368184450">
    <w:abstractNumId w:val="1"/>
  </w:num>
  <w:num w:numId="8" w16cid:durableId="378012228">
    <w:abstractNumId w:val="12"/>
  </w:num>
  <w:num w:numId="9" w16cid:durableId="1996951326">
    <w:abstractNumId w:val="7"/>
  </w:num>
  <w:num w:numId="10" w16cid:durableId="1187522884">
    <w:abstractNumId w:val="2"/>
  </w:num>
  <w:num w:numId="11" w16cid:durableId="679282834">
    <w:abstractNumId w:val="5"/>
  </w:num>
  <w:num w:numId="12" w16cid:durableId="1928952838">
    <w:abstractNumId w:val="10"/>
  </w:num>
  <w:num w:numId="13" w16cid:durableId="192504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09"/>
    <w:rsid w:val="000127E6"/>
    <w:rsid w:val="00050020"/>
    <w:rsid w:val="00077F12"/>
    <w:rsid w:val="0008678A"/>
    <w:rsid w:val="000B1B45"/>
    <w:rsid w:val="001137BF"/>
    <w:rsid w:val="00134E0B"/>
    <w:rsid w:val="00136800"/>
    <w:rsid w:val="00182304"/>
    <w:rsid w:val="001B3DF3"/>
    <w:rsid w:val="00202F64"/>
    <w:rsid w:val="00212089"/>
    <w:rsid w:val="00216505"/>
    <w:rsid w:val="0022295B"/>
    <w:rsid w:val="0024249D"/>
    <w:rsid w:val="0026641B"/>
    <w:rsid w:val="002955C0"/>
    <w:rsid w:val="002C1416"/>
    <w:rsid w:val="002F5392"/>
    <w:rsid w:val="00353B5D"/>
    <w:rsid w:val="0035794E"/>
    <w:rsid w:val="003642D0"/>
    <w:rsid w:val="003925FF"/>
    <w:rsid w:val="003F1C17"/>
    <w:rsid w:val="004022CF"/>
    <w:rsid w:val="00405309"/>
    <w:rsid w:val="00473803"/>
    <w:rsid w:val="004C752A"/>
    <w:rsid w:val="004D23E9"/>
    <w:rsid w:val="005765CE"/>
    <w:rsid w:val="005A7812"/>
    <w:rsid w:val="005B1500"/>
    <w:rsid w:val="005B7B23"/>
    <w:rsid w:val="005D6BC1"/>
    <w:rsid w:val="005F2160"/>
    <w:rsid w:val="00614EC5"/>
    <w:rsid w:val="006270F8"/>
    <w:rsid w:val="00683B4D"/>
    <w:rsid w:val="00683FE1"/>
    <w:rsid w:val="00694D0F"/>
    <w:rsid w:val="006E0154"/>
    <w:rsid w:val="006E079F"/>
    <w:rsid w:val="006F151E"/>
    <w:rsid w:val="006F6D12"/>
    <w:rsid w:val="00704DBE"/>
    <w:rsid w:val="00726F85"/>
    <w:rsid w:val="00773237"/>
    <w:rsid w:val="007963A3"/>
    <w:rsid w:val="007D19CB"/>
    <w:rsid w:val="007E251D"/>
    <w:rsid w:val="00826B2D"/>
    <w:rsid w:val="008513D3"/>
    <w:rsid w:val="008602D9"/>
    <w:rsid w:val="008A0FA0"/>
    <w:rsid w:val="008A240A"/>
    <w:rsid w:val="008A7574"/>
    <w:rsid w:val="008B51EF"/>
    <w:rsid w:val="008B6FF0"/>
    <w:rsid w:val="0092194D"/>
    <w:rsid w:val="00924CA7"/>
    <w:rsid w:val="009340EA"/>
    <w:rsid w:val="009A3EC0"/>
    <w:rsid w:val="009B0043"/>
    <w:rsid w:val="009F5B5F"/>
    <w:rsid w:val="00A207F6"/>
    <w:rsid w:val="00A9380F"/>
    <w:rsid w:val="00AD1358"/>
    <w:rsid w:val="00AD5E12"/>
    <w:rsid w:val="00B01CFF"/>
    <w:rsid w:val="00B02B09"/>
    <w:rsid w:val="00B06D5F"/>
    <w:rsid w:val="00B219CE"/>
    <w:rsid w:val="00B74297"/>
    <w:rsid w:val="00B961B7"/>
    <w:rsid w:val="00B97593"/>
    <w:rsid w:val="00BD3852"/>
    <w:rsid w:val="00BF04E8"/>
    <w:rsid w:val="00BF682E"/>
    <w:rsid w:val="00C27D44"/>
    <w:rsid w:val="00C33D36"/>
    <w:rsid w:val="00C4779A"/>
    <w:rsid w:val="00C479F0"/>
    <w:rsid w:val="00C65091"/>
    <w:rsid w:val="00C73779"/>
    <w:rsid w:val="00C74CBA"/>
    <w:rsid w:val="00CD050A"/>
    <w:rsid w:val="00D03047"/>
    <w:rsid w:val="00D11ED9"/>
    <w:rsid w:val="00D157D3"/>
    <w:rsid w:val="00D907D4"/>
    <w:rsid w:val="00D97E63"/>
    <w:rsid w:val="00DA40D3"/>
    <w:rsid w:val="00DA4BD5"/>
    <w:rsid w:val="00DF37E2"/>
    <w:rsid w:val="00E049A9"/>
    <w:rsid w:val="00E20D98"/>
    <w:rsid w:val="00E347B1"/>
    <w:rsid w:val="00E5064B"/>
    <w:rsid w:val="00E54263"/>
    <w:rsid w:val="00E70A7B"/>
    <w:rsid w:val="00EE67C2"/>
    <w:rsid w:val="00F17E90"/>
    <w:rsid w:val="00F43AE6"/>
    <w:rsid w:val="00F71D53"/>
    <w:rsid w:val="00FC291D"/>
    <w:rsid w:val="00FF575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9A19"/>
  <w15:chartTrackingRefBased/>
  <w15:docId w15:val="{48120D3D-C0D1-4C7B-A8EC-D30E8F0A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05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05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40530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0530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0530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0530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0530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0530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0530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0530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0530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40530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0530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0530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0530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0530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0530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05309"/>
    <w:rPr>
      <w:rFonts w:eastAsiaTheme="majorEastAsia" w:cstheme="majorBidi"/>
      <w:color w:val="272727" w:themeColor="text1" w:themeTint="D8"/>
    </w:rPr>
  </w:style>
  <w:style w:type="paragraph" w:styleId="Titolo">
    <w:name w:val="Title"/>
    <w:basedOn w:val="Normale"/>
    <w:next w:val="Normale"/>
    <w:link w:val="TitoloCarattere"/>
    <w:uiPriority w:val="10"/>
    <w:qFormat/>
    <w:rsid w:val="0040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0530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0530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0530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0530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05309"/>
    <w:rPr>
      <w:i/>
      <w:iCs/>
      <w:color w:val="404040" w:themeColor="text1" w:themeTint="BF"/>
    </w:rPr>
  </w:style>
  <w:style w:type="paragraph" w:styleId="Paragrafoelenco">
    <w:name w:val="List Paragraph"/>
    <w:basedOn w:val="Normale"/>
    <w:uiPriority w:val="34"/>
    <w:qFormat/>
    <w:rsid w:val="00405309"/>
    <w:pPr>
      <w:ind w:left="720"/>
      <w:contextualSpacing/>
    </w:pPr>
  </w:style>
  <w:style w:type="character" w:styleId="Enfasiintensa">
    <w:name w:val="Intense Emphasis"/>
    <w:basedOn w:val="Carpredefinitoparagrafo"/>
    <w:uiPriority w:val="21"/>
    <w:qFormat/>
    <w:rsid w:val="00405309"/>
    <w:rPr>
      <w:i/>
      <w:iCs/>
      <w:color w:val="0F4761" w:themeColor="accent1" w:themeShade="BF"/>
    </w:rPr>
  </w:style>
  <w:style w:type="paragraph" w:styleId="Citazioneintensa">
    <w:name w:val="Intense Quote"/>
    <w:basedOn w:val="Normale"/>
    <w:next w:val="Normale"/>
    <w:link w:val="CitazioneintensaCarattere"/>
    <w:uiPriority w:val="30"/>
    <w:qFormat/>
    <w:rsid w:val="00405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05309"/>
    <w:rPr>
      <w:i/>
      <w:iCs/>
      <w:color w:val="0F4761" w:themeColor="accent1" w:themeShade="BF"/>
    </w:rPr>
  </w:style>
  <w:style w:type="character" w:styleId="Riferimentointenso">
    <w:name w:val="Intense Reference"/>
    <w:basedOn w:val="Carpredefinitoparagrafo"/>
    <w:uiPriority w:val="32"/>
    <w:qFormat/>
    <w:rsid w:val="00405309"/>
    <w:rPr>
      <w:b/>
      <w:bCs/>
      <w:smallCaps/>
      <w:color w:val="0F4761" w:themeColor="accent1" w:themeShade="BF"/>
      <w:spacing w:val="5"/>
    </w:rPr>
  </w:style>
  <w:style w:type="paragraph" w:styleId="Testonotaapidipagina">
    <w:name w:val="footnote text"/>
    <w:basedOn w:val="Normale"/>
    <w:link w:val="TestonotaapidipaginaCarattere"/>
    <w:uiPriority w:val="99"/>
    <w:semiHidden/>
    <w:unhideWhenUsed/>
    <w:rsid w:val="0022295B"/>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22295B"/>
    <w:rPr>
      <w:sz w:val="20"/>
      <w:szCs w:val="20"/>
    </w:rPr>
  </w:style>
  <w:style w:type="character" w:styleId="Rimandonotaapidipagina">
    <w:name w:val="footnote reference"/>
    <w:basedOn w:val="Carpredefinitoparagrafo"/>
    <w:uiPriority w:val="99"/>
    <w:semiHidden/>
    <w:unhideWhenUsed/>
    <w:rsid w:val="0022295B"/>
    <w:rPr>
      <w:vertAlign w:val="superscript"/>
    </w:rPr>
  </w:style>
  <w:style w:type="table" w:styleId="Grigliatabella">
    <w:name w:val="Table Grid"/>
    <w:basedOn w:val="Tabellanormale"/>
    <w:uiPriority w:val="39"/>
    <w:rsid w:val="000B1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uiPriority w:val="35"/>
    <w:unhideWhenUsed/>
    <w:qFormat/>
    <w:rsid w:val="000B1B45"/>
    <w:pPr>
      <w:spacing w:after="200" w:line="240" w:lineRule="auto"/>
    </w:pPr>
    <w:rPr>
      <w:i/>
      <w:iCs/>
      <w:color w:val="0E2841" w:themeColor="text2"/>
      <w:sz w:val="18"/>
      <w:szCs w:val="18"/>
    </w:rPr>
  </w:style>
  <w:style w:type="paragraph" w:styleId="NormaleWeb">
    <w:name w:val="Normal (Web)"/>
    <w:basedOn w:val="Normale"/>
    <w:uiPriority w:val="99"/>
    <w:unhideWhenUsed/>
    <w:rsid w:val="00C7377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B0FAB-C71A-499A-982F-250853CC4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17</Pages>
  <Words>7055</Words>
  <Characters>40216</Characters>
  <Application>Microsoft Office Word</Application>
  <DocSecurity>0</DocSecurity>
  <Lines>335</Lines>
  <Paragraphs>94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GAMBINA</dc:creator>
  <cp:keywords/>
  <dc:description/>
  <cp:lastModifiedBy>Martina GAMBINA</cp:lastModifiedBy>
  <cp:revision>37</cp:revision>
  <dcterms:created xsi:type="dcterms:W3CDTF">2026-05-15T14:47:00Z</dcterms:created>
  <dcterms:modified xsi:type="dcterms:W3CDTF">2026-06-05T16:21:00Z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69fc5589-c8db-4a50-994f-08b7154bbbf0</vt:lpwstr>
  </property>
</Properties>
</file>