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oagqdv24a5d" w:id="0"/>
      <w:bookmarkEnd w:id="0"/>
      <w:r w:rsidDel="00000000" w:rsidR="00000000" w:rsidRPr="00000000">
        <w:rPr>
          <w:b w:val="1"/>
          <w:sz w:val="46"/>
          <w:szCs w:val="46"/>
          <w:rtl w:val="0"/>
        </w:rPr>
        <w:t xml:space="preserve">Informe: Blockchain en la Identidad Digital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pz0a2yluxop" w:id="1"/>
      <w:bookmarkEnd w:id="1"/>
      <w:r w:rsidDel="00000000" w:rsidR="00000000" w:rsidRPr="00000000">
        <w:rPr>
          <w:b w:val="1"/>
          <w:sz w:val="34"/>
          <w:szCs w:val="34"/>
          <w:rtl w:val="0"/>
        </w:rPr>
        <w:t xml:space="preserve">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El blockchain ha emergido como una de las tecnologías más innovadoras de la última década, con aplicaciones que van mucho más allá de las criptomonedas. Uno de los campos donde más impacto puede generar es en la identidad digital, un área clave para la seguridad, la privacidad y la confianza en entornos digitales. La identidad digital en blockchain busca ofrecer un sistema seguro, descentralizado y verificable que permita a los individuos controlar sus propios datos sin depender de intermediarios centralizados.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4mcm0w584m1" w:id="2"/>
      <w:bookmarkEnd w:id="2"/>
      <w:r w:rsidDel="00000000" w:rsidR="00000000" w:rsidRPr="00000000">
        <w:rPr>
          <w:b w:val="1"/>
          <w:sz w:val="34"/>
          <w:szCs w:val="34"/>
          <w:rtl w:val="0"/>
        </w:rPr>
        <w:t xml:space="preserve">Oportunidades y Usos del Blockchain en Identidad Digital</w:t>
      </w:r>
    </w:p>
    <w:p w:rsidR="00000000" w:rsidDel="00000000" w:rsidP="00000000" w:rsidRDefault="00000000" w:rsidRPr="00000000" w14:paraId="00000005">
      <w:pPr>
        <w:numPr>
          <w:ilvl w:val="0"/>
          <w:numId w:val="4"/>
        </w:numPr>
        <w:spacing w:after="0" w:afterAutospacing="0" w:before="480" w:lineRule="auto"/>
        <w:ind w:left="720" w:hanging="360"/>
      </w:pPr>
      <w:r w:rsidDel="00000000" w:rsidR="00000000" w:rsidRPr="00000000">
        <w:rPr>
          <w:rtl w:val="0"/>
        </w:rPr>
        <w:t xml:space="preserve">Autenticación descentralizada: las personas pueden gestionar sus credenciales sin necesidad de autoridades centrales.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Reducción del fraude: los registros inmutables previenen la manipulación de datos de identidad.</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Control del usuario sobre sus datos: permite decidir qué información comparte y con quién.</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Aplicaciones prácticas:</w:t>
        <w:br w:type="textWrapping"/>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Acceso a servicios financieros.</w:t>
        <w:br w:type="textWrapping"/>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Identidad autosoberana para refugiados o personas sin documentación oficial.</w:t>
        <w:br w:type="textWrapping"/>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Acceso a servicios gubernamentales digitales.</w:t>
        <w:br w:type="textWrapping"/>
      </w:r>
    </w:p>
    <w:p w:rsidR="00000000" w:rsidDel="00000000" w:rsidP="00000000" w:rsidRDefault="00000000" w:rsidRPr="00000000" w14:paraId="0000000C">
      <w:pPr>
        <w:numPr>
          <w:ilvl w:val="1"/>
          <w:numId w:val="4"/>
        </w:numPr>
        <w:spacing w:after="720" w:before="0" w:beforeAutospacing="0" w:lineRule="auto"/>
        <w:ind w:left="1440" w:hanging="360"/>
      </w:pPr>
      <w:r w:rsidDel="00000000" w:rsidR="00000000" w:rsidRPr="00000000">
        <w:rPr>
          <w:rtl w:val="0"/>
        </w:rPr>
        <w:t xml:space="preserve">Verificación en procesos de contratación o educación.</w:t>
        <w:br w:type="textWrapping"/>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wbqqonc5rjf" w:id="3"/>
      <w:bookmarkEnd w:id="3"/>
      <w:r w:rsidDel="00000000" w:rsidR="00000000" w:rsidRPr="00000000">
        <w:rPr>
          <w:b w:val="1"/>
          <w:color w:val="000000"/>
          <w:sz w:val="26"/>
          <w:szCs w:val="26"/>
          <w:rtl w:val="0"/>
        </w:rPr>
        <w:t xml:space="preserve">Casos de éxito y mejores prácticas</w:t>
      </w:r>
    </w:p>
    <w:p w:rsidR="00000000" w:rsidDel="00000000" w:rsidP="00000000" w:rsidRDefault="00000000" w:rsidRPr="00000000" w14:paraId="0000000E">
      <w:pPr>
        <w:numPr>
          <w:ilvl w:val="0"/>
          <w:numId w:val="5"/>
        </w:numPr>
        <w:spacing w:after="0" w:afterAutospacing="0" w:before="480" w:lineRule="auto"/>
        <w:ind w:left="720" w:hanging="360"/>
      </w:pPr>
      <w:r w:rsidDel="00000000" w:rsidR="00000000" w:rsidRPr="00000000">
        <w:rPr>
          <w:rtl w:val="0"/>
        </w:rPr>
        <w:t xml:space="preserve">Sovrin: red global de identidad autosoberana basada en blockchain.</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uPort: proyecto para identidades digitales en Ethereum.</w:t>
        <w:br w:type="textWrapping"/>
      </w:r>
    </w:p>
    <w:p w:rsidR="00000000" w:rsidDel="00000000" w:rsidP="00000000" w:rsidRDefault="00000000" w:rsidRPr="00000000" w14:paraId="00000010">
      <w:pPr>
        <w:numPr>
          <w:ilvl w:val="0"/>
          <w:numId w:val="5"/>
        </w:numPr>
        <w:spacing w:after="480" w:before="0" w:beforeAutospacing="0" w:lineRule="auto"/>
        <w:ind w:left="720" w:hanging="360"/>
      </w:pPr>
      <w:r w:rsidDel="00000000" w:rsidR="00000000" w:rsidRPr="00000000">
        <w:rPr>
          <w:rtl w:val="0"/>
        </w:rPr>
        <w:t xml:space="preserve">Estonia: pionera en implementar soluciones digitales, incluyendo blockchain en sus sistemas de identidad.</w:t>
        <w:br w:type="textWrapping"/>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esc3gbf6ajj4" w:id="4"/>
      <w:bookmarkEnd w:id="4"/>
      <w:r w:rsidDel="00000000" w:rsidR="00000000" w:rsidRPr="00000000">
        <w:rPr>
          <w:b w:val="1"/>
          <w:sz w:val="34"/>
          <w:szCs w:val="34"/>
          <w:rtl w:val="0"/>
        </w:rPr>
        <w:t xml:space="preserve">Impacto en la Operatividad, Costes e Innovación</w:t>
      </w:r>
    </w:p>
    <w:p w:rsidR="00000000" w:rsidDel="00000000" w:rsidP="00000000" w:rsidRDefault="00000000" w:rsidRPr="00000000" w14:paraId="00000012">
      <w:pPr>
        <w:numPr>
          <w:ilvl w:val="0"/>
          <w:numId w:val="1"/>
        </w:numPr>
        <w:spacing w:after="0" w:afterAutospacing="0" w:before="480" w:lineRule="auto"/>
        <w:ind w:left="720" w:hanging="360"/>
      </w:pPr>
      <w:r w:rsidDel="00000000" w:rsidR="00000000" w:rsidRPr="00000000">
        <w:rPr>
          <w:rtl w:val="0"/>
        </w:rPr>
        <w:t xml:space="preserve">Operatividad: mejora la interoperabilidad entre plataformas y servicios al ofrecer una identidad digital única y verificable globalmente.</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Reducción de costes: elimina la necesidad de intermediarios en verificaciones de identidad, ahorrando recursos en procesos administrativos.</w:t>
        <w:br w:type="textWrapping"/>
      </w:r>
    </w:p>
    <w:p w:rsidR="00000000" w:rsidDel="00000000" w:rsidP="00000000" w:rsidRDefault="00000000" w:rsidRPr="00000000" w14:paraId="00000014">
      <w:pPr>
        <w:numPr>
          <w:ilvl w:val="0"/>
          <w:numId w:val="1"/>
        </w:numPr>
        <w:spacing w:after="480" w:before="0" w:beforeAutospacing="0" w:lineRule="auto"/>
        <w:ind w:left="720" w:hanging="360"/>
      </w:pPr>
      <w:r w:rsidDel="00000000" w:rsidR="00000000" w:rsidRPr="00000000">
        <w:rPr>
          <w:rtl w:val="0"/>
        </w:rPr>
        <w:t xml:space="preserve">Innovación: abre la puerta a nuevas aplicaciones, como pasaportes digitales, certificaciones educativas inmutables o identidades para el Internet de las Cosas (IoT).</w:t>
        <w:br w:type="textWrapping"/>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7td3lslbatda" w:id="5"/>
      <w:bookmarkEnd w:id="5"/>
      <w:r w:rsidDel="00000000" w:rsidR="00000000" w:rsidRPr="00000000">
        <w:rPr>
          <w:b w:val="1"/>
          <w:sz w:val="34"/>
          <w:szCs w:val="34"/>
          <w:rtl w:val="0"/>
        </w:rPr>
        <w:t xml:space="preserve">Desafíos y Limitaciones</w:t>
      </w:r>
    </w:p>
    <w:p w:rsidR="00000000" w:rsidDel="00000000" w:rsidP="00000000" w:rsidRDefault="00000000" w:rsidRPr="00000000" w14:paraId="00000016">
      <w:pPr>
        <w:numPr>
          <w:ilvl w:val="0"/>
          <w:numId w:val="3"/>
        </w:numPr>
        <w:spacing w:after="0" w:afterAutospacing="0" w:before="480" w:lineRule="auto"/>
        <w:ind w:left="720" w:hanging="360"/>
      </w:pPr>
      <w:r w:rsidDel="00000000" w:rsidR="00000000" w:rsidRPr="00000000">
        <w:rPr>
          <w:rtl w:val="0"/>
        </w:rPr>
        <w:t xml:space="preserve">Complejidad técnica: integrar blockchain en sistemas existentes requiere conocimiento especializado.</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Barreras legales: la falta de marcos regulatorios claros limita la adopción masiva.</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Resistencia al cambio: gobiernos e instituciones pueden mostrar reticencia a perder control sobre los sistemas de identidad centralizados.</w:t>
        <w:br w:type="textWrapping"/>
      </w:r>
    </w:p>
    <w:p w:rsidR="00000000" w:rsidDel="00000000" w:rsidP="00000000" w:rsidRDefault="00000000" w:rsidRPr="00000000" w14:paraId="00000019">
      <w:pPr>
        <w:numPr>
          <w:ilvl w:val="0"/>
          <w:numId w:val="3"/>
        </w:numPr>
        <w:spacing w:after="480" w:before="0" w:beforeAutospacing="0" w:lineRule="auto"/>
        <w:ind w:left="720" w:hanging="360"/>
      </w:pPr>
      <w:r w:rsidDel="00000000" w:rsidR="00000000" w:rsidRPr="00000000">
        <w:rPr>
          <w:rtl w:val="0"/>
        </w:rPr>
        <w:t xml:space="preserve">Escalabilidad: algunos blockchains tienen limitaciones de rendimiento que pueden afectar a grandes sistemas de identidad.</w:t>
        <w:br w:type="textWrapping"/>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b2l9ec4divnt" w:id="6"/>
      <w:bookmarkEnd w:id="6"/>
      <w:r w:rsidDel="00000000" w:rsidR="00000000" w:rsidRPr="00000000">
        <w:rPr>
          <w:b w:val="1"/>
          <w:sz w:val="34"/>
          <w:szCs w:val="34"/>
          <w:rtl w:val="0"/>
        </w:rPr>
        <w:t xml:space="preserve">Soluciones y Buenas Prácticas</w:t>
      </w:r>
    </w:p>
    <w:p w:rsidR="00000000" w:rsidDel="00000000" w:rsidP="00000000" w:rsidRDefault="00000000" w:rsidRPr="00000000" w14:paraId="0000001B">
      <w:pPr>
        <w:numPr>
          <w:ilvl w:val="0"/>
          <w:numId w:val="6"/>
        </w:numPr>
        <w:spacing w:after="0" w:afterAutospacing="0" w:before="480" w:lineRule="auto"/>
        <w:ind w:left="720" w:hanging="360"/>
      </w:pPr>
      <w:r w:rsidDel="00000000" w:rsidR="00000000" w:rsidRPr="00000000">
        <w:rPr>
          <w:rtl w:val="0"/>
        </w:rPr>
        <w:t xml:space="preserve">Colaboración público-privada para el desarrollo de marcos legales adecuados.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Estandarización tecnológica para garantizar interoperabilidad entre sistemas.</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Educación y formación en instituciones y gobiernos para reducir la resistencia al cambio.</w:t>
        <w:br w:type="textWrapping"/>
      </w:r>
    </w:p>
    <w:p w:rsidR="00000000" w:rsidDel="00000000" w:rsidP="00000000" w:rsidRDefault="00000000" w:rsidRPr="00000000" w14:paraId="0000001E">
      <w:pPr>
        <w:numPr>
          <w:ilvl w:val="0"/>
          <w:numId w:val="6"/>
        </w:numPr>
        <w:spacing w:after="480" w:before="0" w:beforeAutospacing="0" w:lineRule="auto"/>
        <w:ind w:left="720" w:hanging="360"/>
      </w:pPr>
      <w:r w:rsidDel="00000000" w:rsidR="00000000" w:rsidRPr="00000000">
        <w:rPr>
          <w:rtl w:val="0"/>
        </w:rPr>
        <w:t xml:space="preserve">Pruebas piloto en ámbitos limitados (educación, salud, acceso a servicios) antes de escalar a nivel nacional o global.</w:t>
        <w:br w:type="textWrapping"/>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c12f083szfv" w:id="7"/>
      <w:bookmarkEnd w:id="7"/>
      <w:r w:rsidDel="00000000" w:rsidR="00000000" w:rsidRPr="00000000">
        <w:rPr>
          <w:b w:val="1"/>
          <w:sz w:val="34"/>
          <w:szCs w:val="34"/>
          <w:rtl w:val="0"/>
        </w:rPr>
        <w:t xml:space="preserve">Plan de Implementación</w:t>
      </w:r>
    </w:p>
    <w:p w:rsidR="00000000" w:rsidDel="00000000" w:rsidP="00000000" w:rsidRDefault="00000000" w:rsidRPr="00000000" w14:paraId="00000020">
      <w:pPr>
        <w:numPr>
          <w:ilvl w:val="0"/>
          <w:numId w:val="2"/>
        </w:numPr>
        <w:spacing w:after="0" w:afterAutospacing="0" w:before="480" w:lineRule="auto"/>
        <w:ind w:left="720" w:hanging="360"/>
      </w:pPr>
      <w:r w:rsidDel="00000000" w:rsidR="00000000" w:rsidRPr="00000000">
        <w:rPr>
          <w:rtl w:val="0"/>
        </w:rPr>
        <w:t xml:space="preserve">Introducción gradual: comenzar con proyectos piloto en sectores específicos.</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Definición de estándares: acordar protocolos comunes de interoperabilidad.</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Revisión legal y regulatoria: adaptar las leyes de protección de datos y privacidad.</w:t>
        <w:br w:type="textWrapping"/>
      </w:r>
    </w:p>
    <w:p w:rsidR="00000000" w:rsidDel="00000000" w:rsidP="00000000" w:rsidRDefault="00000000" w:rsidRPr="00000000" w14:paraId="00000023">
      <w:pPr>
        <w:numPr>
          <w:ilvl w:val="0"/>
          <w:numId w:val="2"/>
        </w:numPr>
        <w:spacing w:after="480" w:before="0" w:beforeAutospacing="0" w:lineRule="auto"/>
        <w:ind w:left="720" w:hanging="360"/>
      </w:pPr>
      <w:r w:rsidDel="00000000" w:rsidR="00000000" w:rsidRPr="00000000">
        <w:rPr>
          <w:rtl w:val="0"/>
        </w:rPr>
        <w:t xml:space="preserve">Escalado progresivo: extender la identidad digital basada en blockchain a más servicios conforme se validen los resultados.</w:t>
        <w:br w:type="textWrapping"/>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