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90" w:before="0" w:line="210"/>
            </w:pPr>
            <w:r>
              <w:rPr>
                <w:color w:val="607089"/>
                <w:sz w:val="15"/>
                <w:szCs w:val="15"/>
              </w:rPr>
              <w:t xml:space="preserve">AI Application Developer · Backend Engineer</w:t>
            </w:r>
          </w:p>
          <w:p>
            <w:pPr>
              <w:spacing w:after="0" w:before="75" w:line="210"/>
            </w:pPr>
            <w:hyperlink w:history="1" r:id="rId78zehyaydu1jdj4dbcvby">
              <w:r>
                <w:rPr>
                  <w:color w:val="315CBB"/>
                  <w:sz w:val="15"/>
                  <w:szCs w:val="15"/>
                </w:rPr>
                <w:t xml:space="preserve">kkuldangi2@gmail.com</w:t>
              </w:r>
            </w:hyperlink>
            <w:r>
              <w:rPr>
                <w:color w:val="203047"/>
                <w:sz w:val="15"/>
                <w:szCs w:val="15"/>
              </w:rPr>
              <w:t xml:space="preserve">   </w:t>
            </w:r>
            <w:hyperlink w:history="1" r:id="rIdzvyk-8amys_crp4pklhx3">
              <w:r>
                <w:rPr>
                  <w:color w:val="315CBB"/>
                  <w:sz w:val="15"/>
                  <w:szCs w:val="15"/>
                </w:rPr>
                <w:t xml:space="preserve">GitHub ↗</w:t>
              </w:r>
            </w:hyperlink>
            <w:r>
              <w:rPr>
                <w:color w:val="203047"/>
                <w:sz w:val="15"/>
                <w:szCs w:val="15"/>
              </w:rPr>
              <w:t xml:space="preserve">   </w:t>
            </w:r>
            <w:hyperlink w:history="1" r:id="rIdjsqff9gp93gtrqli9yvvm">
              <w:r>
                <w:rPr>
                  <w:color w:val="315CBB"/>
                  <w:sz w:val="15"/>
                  <w:szCs w:val="15"/>
                </w:rPr>
                <w:t xml:space="preserve">Blog ↗</w:t>
              </w:r>
            </w:hyperlink>
            <w:r>
              <w:rPr>
                <w:color w:val="203047"/>
                <w:sz w:val="15"/>
                <w:szCs w:val="15"/>
              </w:rPr>
              <w:t xml:space="preserve">   </w:t>
            </w:r>
            <w:hyperlink w:history="1" r:id="rIdtt0kxfd7z6chqamdx7kx7">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pPr>
      <w:r>
        <w:rPr>
          <w:b/>
          <w:bCs/>
          <w:color w:val="203047"/>
          <w:sz w:val="15"/>
          <w:szCs w:val="15"/>
        </w:rPr>
        <w:t xml:space="preserve">RAG evidence selection: coverage 66.25% → 91.25%, false evidence 20 → 0</w:t>
      </w:r>
    </w:p>
    <w:p>
      <w:pPr>
        <w:pStyle w:val="ListParagraph"/>
        <w:numPr>
          <w:ilvl w:val="0"/>
          <w:numId w:val="1"/>
        </w:numPr>
        <w:spacing w:after="75" w:before="0" w:line="210"/>
      </w:pPr>
      <w:r>
        <w:rPr>
          <w:b/>
          <w:bCs/>
          <w:color w:val="203047"/>
          <w:sz w:val="15"/>
          <w:szCs w:val="15"/>
        </w:rPr>
        <w:t xml:space="preserve">Agent execution environment: user-defined skills behind approval, edit quality 94/114 → 104/114</w:t>
      </w:r>
    </w:p>
    <w:p>
      <w:pPr>
        <w:pStyle w:val="ListParagraph"/>
        <w:numPr>
          <w:ilvl w:val="0"/>
          <w:numId w:val="1"/>
        </w:numPr>
        <w:spacing w:after="75" w:before="0" w:line="210"/>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223"/>
        <w:gridCol w:w="3095"/>
      </w:tblGrid>
      <w:tr>
        <w:trPr>
          <w:cantSplit/>
        </w:trPr>
        <w:tc>
          <w:tcPr>
            <w:tcW w:type="dxa" w:w="7223"/>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3095"/>
            <w:tcMar>
              <w:top w:type="dxa" w:w="204"/>
              <w:left w:type="dxa" w:w="0"/>
              <w:bottom w:type="dxa" w:w="44"/>
              <w:right w:type="dxa" w:w="0"/>
            </w:tcMar>
          </w:tcPr>
          <w:p>
            <w:pPr>
              <w:keepNext/>
              <w:spacing w:after="75" w:before="0" w:line="196"/>
              <w:jc w:val="right"/>
            </w:pPr>
            <w:r>
              <w:rPr>
                <w:color w:val="607089"/>
                <w:sz w:val="14"/>
                <w:szCs w:val="14"/>
              </w:rPr>
              <w:t xml:space="preserve">2026.04 — Present</w:t>
            </w:r>
          </w:p>
        </w:tc>
      </w:tr>
    </w:tbl>
    <w:p>
      <w:pPr>
        <w:spacing w:after="75"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75"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75" w:before="0" w:line="210"/>
      </w:pPr>
      <w:hyperlink w:history="1" r:id="rIdhyko_kxiqzzswoel_9hkp">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75" w:before="0" w:line="196"/>
      </w:pPr>
      <w:r>
        <w:rPr>
          <w:color w:val="607089"/>
          <w:sz w:val="14"/>
          <w:szCs w:val="14"/>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75" w:before="0" w:line="210"/>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after routing tests, then controlled candidates and return limits after a full-corpus trial. Tuned to 300 candidates and up to 4 parallel batches.</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w:t>
      </w:r>
    </w:p>
    <w:p>
      <w:pPr>
        <w:keepNext/>
        <w:spacing w:after="45" w:before="105" w:line="238"/>
      </w:pPr>
      <w:r>
        <w:rPr>
          <w:b/>
          <w:bCs/>
          <w:color w:val="315CBB"/>
          <w:sz w:val="17"/>
          <w:szCs w:val="17"/>
        </w:rPr>
        <w:t xml:space="preserve">Agent execution environment - skills, approval, routing and conversation context</w:t>
      </w:r>
    </w:p>
    <w:p>
      <w:pPr>
        <w:spacing w:after="75" w:before="0" w:line="196"/>
      </w:pPr>
      <w:r>
        <w:rPr>
          <w:color w:val="607089"/>
          <w:sz w:val="14"/>
          <w:szCs w:val="14"/>
        </w:rPr>
        <w:t xml:space="preserve">Built reusable Skills with user approval before changes. Applied Jev to route requests to questions, edits and other tasks: correct decisions rose from 77/98 to 81/98, and median decision time fell from 8.967s to 0.658s. I also set the scope of the conversation context and edit input the model receives.</w:t>
      </w:r>
    </w:p>
    <w:p>
      <w:pPr>
        <w:pStyle w:val="ListParagraph"/>
        <w:numPr>
          <w:ilvl w:val="0"/>
          <w:numId w:val="1"/>
        </w:numPr>
        <w:spacing w:after="75" w:before="0" w:line="210"/>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Built drafting, review and publishing of natural-language instructions, with checks against bypassing permissions or approval.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a model that picks only from a fixed set of options, to select task types and additional conditions for questions, edits, document creation and folder organization.</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75"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75" w:before="0" w:line="196"/>
      </w:pPr>
      <w:r>
        <w:rPr>
          <w:color w:val="607089"/>
          <w:sz w:val="14"/>
          <w:szCs w:val="14"/>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75" w:before="0" w:line="210"/>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75" w:before="0" w:line="196"/>
      </w:pPr>
      <w:r>
        <w:rPr>
          <w:color w:val="607089"/>
          <w:sz w:val="14"/>
          <w:szCs w:val="14"/>
        </w:rPr>
        <w:t xml:space="preserve">Proposed the initial MSA design, then jointly finalized service boundaries, data ownership and communication with teammates and mentors.</w:t>
      </w:r>
    </w:p>
    <w:p>
      <w:pPr>
        <w:spacing w:after="75" w:before="0" w:line="196"/>
      </w:pPr>
      <w:r>
        <w:rPr>
          <w:color w:val="607089"/>
          <w:sz w:val="14"/>
          <w:szCs w:val="14"/>
        </w:rPr>
        <w:t xml:space="preserve">Internal evaluations. RAG timing compares Jev before/after tuning. Parallel document timing covers analysis only, excluding storage and post-processing.</w:t>
      </w:r>
    </w:p>
    <w:p>
      <w:pPr>
        <w:spacing w:after="75" w:before="0" w:line="196"/>
      </w:pPr>
      <w:r>
        <w:rPr>
          <w:color w:val="607089"/>
          <w:sz w:val="14"/>
          <w:szCs w:val="14"/>
        </w:rPr>
        <w:t xml:space="preserve">See the detailed portfolio for the problem-solving process and experimental results.</w:t>
      </w:r>
    </w:p>
    <w:p>
      <w:pPr>
        <w:spacing w:after="0" w:before="75" w:line="210"/>
      </w:pPr>
      <w:hyperlink w:history="1" r:id="rIdk8bzhqpdqrtpwtrkzg3hm">
        <w:r>
          <w:rPr>
            <w:color w:val="315CBB"/>
            <w:sz w:val="15"/>
            <w:szCs w:val="15"/>
          </w:rPr>
          <w:t xml:space="preserve">RAG evidence selection ↗</w:t>
        </w:r>
      </w:hyperlink>
      <w:r>
        <w:rPr>
          <w:color w:val="203047"/>
          <w:sz w:val="15"/>
          <w:szCs w:val="15"/>
        </w:rPr>
        <w:t xml:space="preserve">   </w:t>
      </w:r>
      <w:hyperlink w:history="1" r:id="rIddkgaqz1qtutwei0jqe-bf">
        <w:r>
          <w:rPr>
            <w:color w:val="315CBB"/>
            <w:sz w:val="15"/>
            <w:szCs w:val="15"/>
          </w:rPr>
          <w:t xml:space="preserve">Agent execution environment ↗</w:t>
        </w:r>
      </w:hyperlink>
      <w:r>
        <w:rPr>
          <w:color w:val="203047"/>
          <w:sz w:val="15"/>
          <w:szCs w:val="15"/>
        </w:rPr>
        <w:t xml:space="preserve">   </w:t>
      </w:r>
      <w:hyperlink w:history="1" r:id="rIdaes0ieshznkkud2sqbc9j">
        <w:r>
          <w:rPr>
            <w:color w:val="315CBB"/>
            <w:sz w:val="15"/>
            <w:szCs w:val="15"/>
          </w:rPr>
          <w:t xml:space="preserve">PDF conversion ↗</w:t>
        </w:r>
      </w:hyperlink>
      <w:r>
        <w:rPr>
          <w:color w:val="203047"/>
          <w:sz w:val="15"/>
          <w:szCs w:val="15"/>
        </w:rPr>
        <w:t xml:space="preserve">   </w:t>
      </w:r>
      <w:hyperlink w:history="1" r:id="rId-fm8aynxbfo2nadpewsor">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223"/>
        <w:gridCol w:w="3095"/>
      </w:tblGrid>
      <w:tr>
        <w:trPr>
          <w:cantSplit/>
        </w:trPr>
        <w:tc>
          <w:tcPr>
            <w:tcW w:type="dxa" w:w="7223"/>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3095"/>
            <w:tcMar>
              <w:top w:type="dxa" w:w="204"/>
              <w:left w:type="dxa" w:w="0"/>
              <w:bottom w:type="dxa" w:w="44"/>
              <w:right w:type="dxa" w:w="0"/>
            </w:tcMar>
          </w:tcPr>
          <w:p>
            <w:pPr>
              <w:keepNext/>
              <w:spacing w:after="75" w:before="0" w:line="196"/>
              <w:jc w:val="right"/>
            </w:pPr>
            <w:r>
              <w:rPr>
                <w:color w:val="607089"/>
                <w:sz w:val="14"/>
                <w:szCs w:val="14"/>
              </w:rPr>
              <w:t xml:space="preserve">2025.03 — 2025.12</w:t>
            </w:r>
          </w:p>
        </w:tc>
      </w:tr>
    </w:tbl>
    <w:p>
      <w:pPr>
        <w:spacing w:after="75" w:before="0" w:line="196"/>
      </w:pPr>
      <w:r>
        <w:rPr>
          <w:color w:val="607089"/>
          <w:sz w:val="14"/>
          <w:szCs w:val="14"/>
        </w:rPr>
        <w:t xml:space="preserve">Personalized AI medication service · Pusan National University capstone</w:t>
      </w:r>
      <w:r>
        <w:br/>
      </w:r>
      <w:r>
        <w:rPr>
          <w:color w:val="607089"/>
          <w:sz w:val="14"/>
          <w:szCs w:val="14"/>
        </w:rPr>
        <w:t xml:space="preserve">Team project (3 + designer) / Core backend · data preparation</w:t>
      </w:r>
    </w:p>
    <w:p>
      <w:pPr>
        <w:spacing w:after="75"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75" w:before="0" w:line="210"/>
      </w:pPr>
      <w:hyperlink w:history="1" r:id="rIdbwkj120b-kypvqosj694r">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75" w:before="0" w:line="196"/>
      </w:pPr>
      <w:r>
        <w:rPr>
          <w:color w:val="607089"/>
          <w:sz w:val="14"/>
          <w:szCs w:val="14"/>
        </w:rPr>
        <w:t xml:space="preserve">Rewrote about 44,000 drug records in plain language. Deduplication reduced input from 1GB to 326MB; after filling missing information, conversion cost $11.18 in actual API spending versus about $200 estimated for the original text.</w:t>
      </w:r>
    </w:p>
    <w:p>
      <w:pPr>
        <w:pStyle w:val="ListParagraph"/>
        <w:numPr>
          <w:ilvl w:val="0"/>
          <w:numId w:val="1"/>
        </w:numPr>
        <w:spacing w:after="75" w:before="0" w:line="210"/>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Removed exact duplicates, then semantically equivalent sentences. Filled the missing 5% with ingredient-specific precautions, converted via GPT Batch API and mapped results back to each drug.</w:t>
      </w:r>
      <w:r>
        <w:br/>
      </w:r>
      <w:r>
        <w:rPr>
          <w:b/>
          <w:bCs/>
          <w:color w:val="1E8449"/>
          <w:sz w:val="15"/>
          <w:szCs w:val="15"/>
        </w:rPr>
        <w:t xml:space="preserve">Result:</w:t>
      </w:r>
      <w:r>
        <w:rPr>
          <w:color w:val="203047"/>
          <w:sz w:val="15"/>
          <w:szCs w:val="15"/>
        </w:rPr>
        <w:t xml:space="preserve"> Conversion input shrank from 1GB to 326MB. Actual API spending was $11.18 versus about $200 estimated for all original text.</w:t>
      </w:r>
    </w:p>
    <w:p>
      <w:pPr>
        <w:spacing w:after="75" w:before="0" w:line="196"/>
        <w:ind w:left="720"/>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75"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75"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pPr>
      <w:r>
        <w:rPr>
          <w:color w:val="203047"/>
          <w:sz w:val="15"/>
          <w:szCs w:val="15"/>
        </w:rPr>
        <w:t xml:space="preserve">Designed the drug database on Java and Spring Boot with search, autocomplete and DUR risk display.</w:t>
      </w:r>
    </w:p>
    <w:p>
      <w:pPr>
        <w:pStyle w:val="ListParagraph"/>
        <w:numPr>
          <w:ilvl w:val="0"/>
          <w:numId w:val="1"/>
        </w:numPr>
        <w:spacing w:after="75" w:before="0" w:line="210"/>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75" w:before="0" w:line="196"/>
      </w:pPr>
      <w:r>
        <w:rPr>
          <w:color w:val="607089"/>
          <w:sz w:val="14"/>
          <w:szCs w:val="14"/>
        </w:rPr>
        <w:t xml:space="preserve">We ran the booth as Pusan National University’s representative exhibition team, and I fed the feedback we collected into the next slice of work. A request from the first exhibition became a feature within the data we already had.</w:t>
      </w:r>
    </w:p>
    <w:p>
      <w:pPr>
        <w:pStyle w:val="ListParagraph"/>
        <w:numPr>
          <w:ilvl w:val="0"/>
          <w:numId w:val="1"/>
        </w:numPr>
        <w:spacing w:after="75" w:before="0" w:line="210"/>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75" w:before="0" w:line="196"/>
      </w:pPr>
      <w:r>
        <w:rPr>
          <w:color w:val="607089"/>
          <w:sz w:val="14"/>
          <w:szCs w:val="14"/>
        </w:rPr>
        <w:t xml:space="preserve">See the detailed portfolio for the problem-solving process and experimental results.</w:t>
      </w:r>
    </w:p>
    <w:p>
      <w:pPr>
        <w:spacing w:after="0" w:before="75" w:line="210"/>
      </w:pPr>
      <w:hyperlink w:history="1" r:id="rIdyog5fwfaoq9cat-edbdbo">
        <w:r>
          <w:rPr>
            <w:color w:val="315CBB"/>
            <w:sz w:val="15"/>
            <w:szCs w:val="15"/>
          </w:rPr>
          <w:t xml:space="preserve">Data pipeline case study ↗</w:t>
        </w:r>
      </w:hyperlink>
      <w:r>
        <w:rPr>
          <w:color w:val="203047"/>
          <w:sz w:val="15"/>
          <w:szCs w:val="15"/>
        </w:rPr>
        <w:t xml:space="preserve">   </w:t>
      </w:r>
      <w:hyperlink w:history="1" r:id="rIdzxn22ieds1nskdckayakr">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80"/>
        <w:gridCol w:w="7739"/>
      </w:tblGrid>
      <w:tr>
        <w:trPr>
          <w:cantSplit/>
        </w:trPr>
        <w:tc>
          <w:tcPr>
            <w:tcW w:type="dxa" w:w="2580"/>
            <w:tcMar>
              <w:top w:type="dxa" w:w="44"/>
              <w:left w:type="dxa" w:w="0"/>
              <w:bottom w:type="dxa" w:w="44"/>
              <w:right w:type="dxa" w:w="87"/>
            </w:tcMar>
          </w:tcPr>
          <w:p>
            <w:pPr>
              <w:spacing w:after="75" w:before="0" w:line="210"/>
            </w:pPr>
            <w:r>
              <w:rPr>
                <w:b/>
                <w:bCs/>
                <w:color w:val="203047"/>
                <w:sz w:val="15"/>
                <w:szCs w:val="15"/>
              </w:rPr>
              <w:t xml:space="preserve">AI &amp; Search</w:t>
            </w:r>
          </w:p>
        </w:tc>
        <w:tc>
          <w:tcPr>
            <w:tcW w:type="dxa" w:w="7739"/>
            <w:tcMar>
              <w:top w:type="dxa" w:w="44"/>
              <w:left w:type="dxa" w:w="0"/>
              <w:bottom w:type="dxa" w:w="44"/>
              <w:right w:type="dxa" w:w="0"/>
            </w:tcMar>
          </w:tcPr>
          <w:p>
            <w:pPr>
              <w:spacing w:after="75"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80"/>
        <w:gridCol w:w="7739"/>
      </w:tblGrid>
      <w:tr>
        <w:trPr>
          <w:cantSplit/>
        </w:trPr>
        <w:tc>
          <w:tcPr>
            <w:tcW w:type="dxa" w:w="2580"/>
            <w:tcMar>
              <w:top w:type="dxa" w:w="44"/>
              <w:left w:type="dxa" w:w="0"/>
              <w:bottom w:type="dxa" w:w="44"/>
              <w:right w:type="dxa" w:w="87"/>
            </w:tcMar>
          </w:tcPr>
          <w:p>
            <w:pPr>
              <w:spacing w:after="75" w:before="0" w:line="210"/>
            </w:pPr>
            <w:r>
              <w:rPr>
                <w:b/>
                <w:bCs/>
                <w:color w:val="203047"/>
                <w:sz w:val="15"/>
                <w:szCs w:val="15"/>
              </w:rPr>
              <w:t xml:space="preserve">Backend</w:t>
            </w:r>
          </w:p>
        </w:tc>
        <w:tc>
          <w:tcPr>
            <w:tcW w:type="dxa" w:w="7739"/>
            <w:tcMar>
              <w:top w:type="dxa" w:w="44"/>
              <w:left w:type="dxa" w:w="0"/>
              <w:bottom w:type="dxa" w:w="44"/>
              <w:right w:type="dxa" w:w="0"/>
            </w:tcMar>
          </w:tcPr>
          <w:p>
            <w:pPr>
              <w:spacing w:after="75"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80"/>
        <w:gridCol w:w="7739"/>
      </w:tblGrid>
      <w:tr>
        <w:trPr>
          <w:cantSplit/>
        </w:trPr>
        <w:tc>
          <w:tcPr>
            <w:tcW w:type="dxa" w:w="2580"/>
            <w:tcMar>
              <w:top w:type="dxa" w:w="44"/>
              <w:left w:type="dxa" w:w="0"/>
              <w:bottom w:type="dxa" w:w="44"/>
              <w:right w:type="dxa" w:w="87"/>
            </w:tcMar>
          </w:tcPr>
          <w:p>
            <w:pPr>
              <w:spacing w:after="75" w:before="0" w:line="210"/>
            </w:pPr>
            <w:r>
              <w:rPr>
                <w:b/>
                <w:bCs/>
                <w:color w:val="203047"/>
                <w:sz w:val="15"/>
                <w:szCs w:val="15"/>
              </w:rPr>
              <w:t xml:space="preserve">Data &amp; Infra</w:t>
            </w:r>
          </w:p>
        </w:tc>
        <w:tc>
          <w:tcPr>
            <w:tcW w:type="dxa" w:w="7739"/>
            <w:tcMar>
              <w:top w:type="dxa" w:w="44"/>
              <w:left w:type="dxa" w:w="0"/>
              <w:bottom w:type="dxa" w:w="44"/>
              <w:right w:type="dxa" w:w="0"/>
            </w:tcMar>
          </w:tcPr>
          <w:p>
            <w:pPr>
              <w:spacing w:after="75"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80"/>
        <w:gridCol w:w="7739"/>
      </w:tblGrid>
      <w:tr>
        <w:trPr>
          <w:cantSplit/>
        </w:trPr>
        <w:tc>
          <w:tcPr>
            <w:tcW w:type="dxa" w:w="2580"/>
            <w:tcMar>
              <w:top w:type="dxa" w:w="44"/>
              <w:left w:type="dxa" w:w="0"/>
              <w:bottom w:type="dxa" w:w="44"/>
              <w:right w:type="dxa" w:w="87"/>
            </w:tcMar>
          </w:tcPr>
          <w:p>
            <w:pPr>
              <w:spacing w:after="75" w:before="0" w:line="210"/>
            </w:pPr>
            <w:r>
              <w:rPr>
                <w:color w:val="203047"/>
                <w:sz w:val="15"/>
                <w:szCs w:val="15"/>
              </w:rPr>
              <w:t xml:space="preserve">2026.06 — 2026.06</w:t>
            </w:r>
          </w:p>
        </w:tc>
        <w:tc>
          <w:tcPr>
            <w:tcW w:type="dxa" w:w="7739"/>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75" w:before="0" w:line="210"/>
            </w:pPr>
            <w:r>
              <w:rPr>
                <w:color w:val="203047"/>
                <w:sz w:val="15"/>
                <w:szCs w:val="15"/>
              </w:rPr>
              <w:t xml:space="preserve">Investigated bugs, submitted fixes and addressed CI in a Rust HWP/HWPX project. Fixed textFlow attributes of images, tables and shapes being reset after saving.</w:t>
            </w:r>
          </w:p>
          <w:p>
            <w:pPr>
              <w:spacing w:after="0" w:before="75" w:line="210"/>
            </w:pPr>
            <w:hyperlink w:history="1" r:id="rIdjqnaxtp2ybzcraatbkd-5">
              <w:r>
                <w:rPr>
                  <w:color w:val="315CBB"/>
                  <w:sz w:val="15"/>
                  <w:szCs w:val="15"/>
                </w:rPr>
                <w:t xml:space="preserve">GitHub repository ↗</w:t>
              </w:r>
            </w:hyperlink>
            <w:r>
              <w:rPr>
                <w:color w:val="203047"/>
                <w:sz w:val="15"/>
                <w:szCs w:val="15"/>
              </w:rPr>
              <w:t xml:space="preserve">   </w:t>
            </w:r>
            <w:hyperlink w:history="1" r:id="rIdjsbcrvyo5fqreigezdkfs">
              <w:r>
                <w:rPr>
                  <w:color w:val="315CBB"/>
                  <w:sz w:val="15"/>
                  <w:szCs w:val="15"/>
                </w:rPr>
                <w:t xml:space="preserve">PR #1213 · Merged ↗</w:t>
              </w:r>
            </w:hyperlink>
            <w:r>
              <w:rPr>
                <w:color w:val="203047"/>
                <w:sz w:val="15"/>
                <w:szCs w:val="15"/>
              </w:rPr>
              <w:t xml:space="preserve">   </w:t>
            </w:r>
            <w:hyperlink w:history="1" r:id="rIdlnj-rwjq47mjgsqknbmdd">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80"/>
        <w:gridCol w:w="1135"/>
        <w:gridCol w:w="6604"/>
      </w:tblGrid>
      <w:tr>
        <w:trPr>
          <w:cantSplit/>
        </w:trPr>
        <w:tc>
          <w:tcPr>
            <w:tcW w:type="dxa" w:w="2580"/>
            <w:tcMar>
              <w:top w:type="dxa" w:w="44"/>
              <w:left w:type="dxa" w:w="0"/>
              <w:bottom w:type="dxa" w:w="44"/>
              <w:right w:type="dxa" w:w="87"/>
            </w:tcMar>
          </w:tcPr>
          <w:p>
            <w:pPr>
              <w:spacing w:after="75" w:before="0" w:line="210"/>
            </w:pPr>
            <w:r>
              <w:rPr>
                <w:color w:val="203047"/>
                <w:sz w:val="15"/>
                <w:szCs w:val="15"/>
              </w:rPr>
              <w:t xml:space="preserve">2025.03 — 2026.01</w:t>
            </w:r>
          </w:p>
        </w:tc>
        <w:tc>
          <w:tcPr>
            <w:tcW w:type="dxa" w:w="1135"/>
            <w:tcMar>
              <w:top w:type="dxa" w:w="44"/>
              <w:left w:type="dxa" w:w="0"/>
              <w:bottom w:type="dxa" w:w="44"/>
              <w:right w:type="dxa" w:w="0"/>
            </w:tcMar>
          </w:tcPr>
          <w:p>
            <w:pPr>
              <w:spacing w:after="75"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6604"/>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75"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75"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80"/>
        <w:gridCol w:w="1135"/>
        <w:gridCol w:w="6604"/>
      </w:tblGrid>
      <w:tr>
        <w:trPr>
          <w:cantSplit/>
        </w:trPr>
        <w:tc>
          <w:tcPr>
            <w:tcW w:type="dxa" w:w="2580"/>
            <w:tcMar>
              <w:top w:type="dxa" w:w="44"/>
              <w:left w:type="dxa" w:w="0"/>
              <w:bottom w:type="dxa" w:w="44"/>
              <w:right w:type="dxa" w:w="87"/>
            </w:tcMar>
          </w:tcPr>
          <w:p>
            <w:pPr>
              <w:spacing w:after="75" w:before="0" w:line="210"/>
            </w:pPr>
            <w:r>
              <w:rPr>
                <w:color w:val="203047"/>
                <w:sz w:val="15"/>
                <w:szCs w:val="15"/>
              </w:rPr>
              <w:t xml:space="preserve">2025.11 / 2025.07</w:t>
            </w:r>
          </w:p>
        </w:tc>
        <w:tc>
          <w:tcPr>
            <w:tcW w:type="dxa" w:w="1135"/>
            <w:tcMar>
              <w:top w:type="dxa" w:w="44"/>
              <w:left w:type="dxa" w:w="0"/>
              <w:bottom w:type="dxa" w:w="44"/>
              <w:right w:type="dxa" w:w="0"/>
            </w:tcMar>
          </w:tcPr>
          <w:p>
            <w:pPr>
              <w:spacing w:after="75"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6604"/>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75" w:before="0" w:line="210"/>
            </w:pPr>
            <w:r>
              <w:rPr>
                <w:color w:val="203047"/>
                <w:sz w:val="15"/>
                <w:szCs w:val="15"/>
              </w:rPr>
              <w:t xml:space="preserve">Represented Pusan National University at the Pilltip booth, demonstrating the service and answering technical questions.</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80"/>
        <w:gridCol w:w="1135"/>
        <w:gridCol w:w="6604"/>
      </w:tblGrid>
      <w:tr>
        <w:trPr>
          <w:cantSplit/>
        </w:trPr>
        <w:tc>
          <w:tcPr>
            <w:tcW w:type="dxa" w:w="2580"/>
            <w:tcMar>
              <w:top w:type="dxa" w:w="44"/>
              <w:left w:type="dxa" w:w="0"/>
              <w:bottom w:type="dxa" w:w="44"/>
              <w:right w:type="dxa" w:w="87"/>
            </w:tcMar>
          </w:tcPr>
          <w:p>
            <w:pPr>
              <w:spacing w:after="75" w:before="0" w:line="210"/>
            </w:pPr>
            <w:r>
              <w:rPr>
                <w:color w:val="203047"/>
                <w:sz w:val="15"/>
                <w:szCs w:val="15"/>
              </w:rPr>
              <w:t xml:space="preserve">2022.02 — 2025.07</w:t>
            </w:r>
          </w:p>
        </w:tc>
        <w:tc>
          <w:tcPr>
            <w:tcW w:type="dxa" w:w="1135"/>
            <w:tcMar>
              <w:top w:type="dxa" w:w="44"/>
              <w:left w:type="dxa" w:w="0"/>
              <w:bottom w:type="dxa" w:w="44"/>
              <w:right w:type="dxa" w:w="0"/>
            </w:tcMar>
          </w:tcPr>
          <w:p>
            <w:pPr>
              <w:spacing w:after="75"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6604"/>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75"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75" w:before="0" w:line="210"/>
            </w:pPr>
            <w:hyperlink w:history="1" r:id="rIdhkb8ar0gobu7teqtof1ck">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80"/>
        <w:gridCol w:w="7739"/>
      </w:tblGrid>
      <w:tr>
        <w:trPr>
          <w:cantSplit/>
        </w:trPr>
        <w:tc>
          <w:tcPr>
            <w:tcW w:type="dxa" w:w="2580"/>
            <w:tcMar>
              <w:top w:type="dxa" w:w="44"/>
              <w:left w:type="dxa" w:w="0"/>
              <w:bottom w:type="dxa" w:w="44"/>
              <w:right w:type="dxa" w:w="87"/>
            </w:tcMar>
          </w:tcPr>
          <w:p>
            <w:pPr>
              <w:spacing w:after="75" w:before="0" w:line="210"/>
            </w:pPr>
            <w:r>
              <w:rPr>
                <w:color w:val="203047"/>
                <w:sz w:val="15"/>
                <w:szCs w:val="15"/>
              </w:rPr>
              <w:t xml:space="preserve">2022.02 — 2026.02 (Transfer)</w:t>
            </w:r>
          </w:p>
        </w:tc>
        <w:tc>
          <w:tcPr>
            <w:tcW w:type="dxa" w:w="7739"/>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75"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80"/>
        <w:gridCol w:w="7739"/>
      </w:tblGrid>
      <w:tr>
        <w:trPr>
          <w:cantSplit/>
        </w:trPr>
        <w:tc>
          <w:tcPr>
            <w:tcW w:type="dxa" w:w="2580"/>
            <w:tcMar>
              <w:top w:type="dxa" w:w="44"/>
              <w:left w:type="dxa" w:w="0"/>
              <w:bottom w:type="dxa" w:w="44"/>
              <w:right w:type="dxa" w:w="87"/>
            </w:tcMar>
          </w:tcPr>
          <w:p>
            <w:pPr>
              <w:spacing w:after="75" w:before="0" w:line="210"/>
            </w:pPr>
            <w:r>
              <w:rPr>
                <w:color w:val="203047"/>
                <w:sz w:val="15"/>
                <w:szCs w:val="15"/>
              </w:rPr>
              <w:t xml:space="preserve">2019.03 — 2022.02 (Withdrew)</w:t>
            </w:r>
          </w:p>
        </w:tc>
        <w:tc>
          <w:tcPr>
            <w:tcW w:type="dxa" w:w="7739"/>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75"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80"/>
        <w:gridCol w:w="7739"/>
      </w:tblGrid>
      <w:tr>
        <w:trPr>
          <w:cantSplit/>
        </w:trPr>
        <w:tc>
          <w:tcPr>
            <w:tcW w:type="dxa" w:w="2580"/>
            <w:tcMar>
              <w:top w:type="dxa" w:w="44"/>
              <w:left w:type="dxa" w:w="0"/>
              <w:bottom w:type="dxa" w:w="44"/>
              <w:right w:type="dxa" w:w="87"/>
            </w:tcMar>
          </w:tcPr>
          <w:p>
            <w:pPr>
              <w:spacing w:after="75" w:before="0" w:line="210"/>
            </w:pPr>
            <w:r>
              <w:rPr>
                <w:color w:val="203047"/>
                <w:sz w:val="15"/>
                <w:szCs w:val="15"/>
              </w:rPr>
              <w:t xml:space="preserve">2025.09</w:t>
            </w:r>
          </w:p>
        </w:tc>
        <w:tc>
          <w:tcPr>
            <w:tcW w:type="dxa" w:w="7739"/>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75"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80"/>
        <w:gridCol w:w="1135"/>
        <w:gridCol w:w="6604"/>
      </w:tblGrid>
      <w:tr>
        <w:trPr>
          <w:cantSplit/>
        </w:trPr>
        <w:tc>
          <w:tcPr>
            <w:tcW w:type="dxa" w:w="2580"/>
            <w:tcMar>
              <w:top w:type="dxa" w:w="44"/>
              <w:left w:type="dxa" w:w="0"/>
              <w:bottom w:type="dxa" w:w="44"/>
              <w:right w:type="dxa" w:w="87"/>
            </w:tcMar>
          </w:tcPr>
          <w:p>
            <w:pPr>
              <w:spacing w:after="75" w:before="0" w:line="210"/>
            </w:pPr>
            <w:r>
              <w:rPr>
                <w:color w:val="203047"/>
                <w:sz w:val="15"/>
                <w:szCs w:val="15"/>
              </w:rPr>
              <w:t xml:space="preserve">2025.10</w:t>
            </w:r>
          </w:p>
        </w:tc>
        <w:tc>
          <w:tcPr>
            <w:tcW w:type="dxa" w:w="1135"/>
            <w:tcMar>
              <w:top w:type="dxa" w:w="44"/>
              <w:left w:type="dxa" w:w="0"/>
              <w:bottom w:type="dxa" w:w="44"/>
              <w:right w:type="dxa" w:w="0"/>
            </w:tcMar>
          </w:tcPr>
          <w:p>
            <w:pPr>
              <w:spacing w:after="75"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6604"/>
            <w:tcMar>
              <w:top w:type="dxa" w:w="44"/>
              <w:left w:type="dxa" w:w="0"/>
              <w:bottom w:type="dxa" w:w="44"/>
              <w:right w:type="dxa" w:w="0"/>
            </w:tcMar>
          </w:tcPr>
          <w:p>
            <w:pPr>
              <w:spacing w:after="75"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80"/>
        <w:gridCol w:w="1135"/>
        <w:gridCol w:w="6604"/>
      </w:tblGrid>
      <w:tr>
        <w:trPr>
          <w:cantSplit/>
        </w:trPr>
        <w:tc>
          <w:tcPr>
            <w:tcW w:type="dxa" w:w="2580"/>
            <w:tcMar>
              <w:top w:type="dxa" w:w="44"/>
              <w:left w:type="dxa" w:w="0"/>
              <w:bottom w:type="dxa" w:w="44"/>
              <w:right w:type="dxa" w:w="87"/>
            </w:tcMar>
          </w:tcPr>
          <w:p>
            <w:pPr>
              <w:spacing w:after="75" w:before="0" w:line="210"/>
            </w:pPr>
            <w:r>
              <w:rPr>
                <w:color w:val="203047"/>
                <w:sz w:val="15"/>
                <w:szCs w:val="15"/>
              </w:rPr>
              <w:t xml:space="preserve">2025.09</w:t>
            </w:r>
          </w:p>
        </w:tc>
        <w:tc>
          <w:tcPr>
            <w:tcW w:type="dxa" w:w="1135"/>
            <w:tcMar>
              <w:top w:type="dxa" w:w="44"/>
              <w:left w:type="dxa" w:w="0"/>
              <w:bottom w:type="dxa" w:w="44"/>
              <w:right w:type="dxa" w:w="0"/>
            </w:tcMar>
          </w:tcPr>
          <w:p>
            <w:pPr>
              <w:spacing w:after="75"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6604"/>
            <w:tcMar>
              <w:top w:type="dxa" w:w="44"/>
              <w:left w:type="dxa" w:w="0"/>
              <w:bottom w:type="dxa" w:w="44"/>
              <w:right w:type="dxa" w:w="0"/>
            </w:tcMar>
          </w:tcPr>
          <w:p>
            <w:pPr>
              <w:spacing w:after="75"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80"/>
        <w:gridCol w:w="1135"/>
        <w:gridCol w:w="6604"/>
      </w:tblGrid>
      <w:tr>
        <w:trPr>
          <w:cantSplit/>
        </w:trPr>
        <w:tc>
          <w:tcPr>
            <w:tcW w:type="dxa" w:w="2580"/>
            <w:tcMar>
              <w:top w:type="dxa" w:w="44"/>
              <w:left w:type="dxa" w:w="0"/>
              <w:bottom w:type="dxa" w:w="44"/>
              <w:right w:type="dxa" w:w="87"/>
            </w:tcMar>
          </w:tcPr>
          <w:p>
            <w:pPr>
              <w:spacing w:after="75" w:before="0" w:line="210"/>
            </w:pPr>
            <w:r>
              <w:rPr>
                <w:color w:val="203047"/>
                <w:sz w:val="15"/>
                <w:szCs w:val="15"/>
              </w:rPr>
              <w:t xml:space="preserve">2025.09</w:t>
            </w:r>
          </w:p>
        </w:tc>
        <w:tc>
          <w:tcPr>
            <w:tcW w:type="dxa" w:w="1135"/>
            <w:tcMar>
              <w:top w:type="dxa" w:w="44"/>
              <w:left w:type="dxa" w:w="0"/>
              <w:bottom w:type="dxa" w:w="44"/>
              <w:right w:type="dxa" w:w="0"/>
            </w:tcMar>
          </w:tcPr>
          <w:p>
            <w:pPr>
              <w:spacing w:after="75"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6604"/>
            <w:tcMar>
              <w:top w:type="dxa" w:w="44"/>
              <w:left w:type="dxa" w:w="0"/>
              <w:bottom w:type="dxa" w:w="44"/>
              <w:right w:type="dxa" w:w="0"/>
            </w:tcMar>
          </w:tcPr>
          <w:p>
            <w:pPr>
              <w:spacing w:after="75"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80"/>
        <w:gridCol w:w="1135"/>
        <w:gridCol w:w="6604"/>
      </w:tblGrid>
      <w:tr>
        <w:trPr>
          <w:cantSplit/>
        </w:trPr>
        <w:tc>
          <w:tcPr>
            <w:tcW w:type="dxa" w:w="2580"/>
            <w:tcMar>
              <w:top w:type="dxa" w:w="44"/>
              <w:left w:type="dxa" w:w="0"/>
              <w:bottom w:type="dxa" w:w="44"/>
              <w:right w:type="dxa" w:w="87"/>
            </w:tcMar>
          </w:tcPr>
          <w:p>
            <w:pPr>
              <w:spacing w:after="75" w:before="0" w:line="210"/>
            </w:pPr>
            <w:r>
              <w:rPr>
                <w:color w:val="203047"/>
                <w:sz w:val="15"/>
                <w:szCs w:val="15"/>
              </w:rPr>
              <w:t xml:space="preserve">2025.08</w:t>
            </w:r>
          </w:p>
        </w:tc>
        <w:tc>
          <w:tcPr>
            <w:tcW w:type="dxa" w:w="1135"/>
            <w:tcMar>
              <w:top w:type="dxa" w:w="44"/>
              <w:left w:type="dxa" w:w="0"/>
              <w:bottom w:type="dxa" w:w="44"/>
              <w:right w:type="dxa" w:w="0"/>
            </w:tcMar>
          </w:tcPr>
          <w:p>
            <w:pPr>
              <w:spacing w:after="75"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6604"/>
            <w:tcMar>
              <w:top w:type="dxa" w:w="44"/>
              <w:left w:type="dxa" w:w="0"/>
              <w:bottom w:type="dxa" w:w="44"/>
              <w:right w:type="dxa" w:w="0"/>
            </w:tcMar>
          </w:tcPr>
          <w:p>
            <w:pPr>
              <w:spacing w:after="75"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75"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8zehyaydu1jdj4dbcvby" Type="http://schemas.openxmlformats.org/officeDocument/2006/relationships/hyperlink" Target="mailto:kkuldangi2@gmail.com" TargetMode="External"/><Relationship Id="rIdzvyk-8amys_crp4pklhx3" Type="http://schemas.openxmlformats.org/officeDocument/2006/relationships/hyperlink" Target="https://github.com/Martinel2" TargetMode="External"/><Relationship Id="rIdjsqff9gp93gtrqli9yvvm" Type="http://schemas.openxmlformats.org/officeDocument/2006/relationships/hyperlink" Target="https://velog.io/@kkuldangi3/posts" TargetMode="External"/><Relationship Id="rIdtt0kxfd7z6chqamdx7kx7" Type="http://schemas.openxmlformats.org/officeDocument/2006/relationships/hyperlink" Target="https://www.linkedin.com/in/%EC%9E%AC%ED%98%95-%EA%B9%80-b75920345/" TargetMode="External"/><Relationship Id="rIdhyko_kxiqzzswoel_9hkp" Type="http://schemas.openxmlformats.org/officeDocument/2006/relationships/hyperlink" Target="https://github.com/FruitionKR/Fruition-ai" TargetMode="External"/><Relationship Id="rIdk8bzhqpdqrtpwtrkzg3hm" Type="http://schemas.openxmlformats.org/officeDocument/2006/relationships/hyperlink" Target="https://martinel2.github.io/en/portfolio.html#fruition-jev-evidence" TargetMode="External"/><Relationship Id="rIddkgaqz1qtutwei0jqe-bf" Type="http://schemas.openxmlformats.org/officeDocument/2006/relationships/hyperlink" Target="https://martinel2.github.io/en/portfolio.html#fruition-agent" TargetMode="External"/><Relationship Id="rIdaes0ieshznkkud2sqbc9j" Type="http://schemas.openxmlformats.org/officeDocument/2006/relationships/hyperlink" Target="https://martinel2.github.io/en/portfolio.html#fruition-document" TargetMode="External"/><Relationship Id="rId-fm8aynxbfo2nadpewsor" Type="http://schemas.openxmlformats.org/officeDocument/2006/relationships/hyperlink" Target="https://martinel2.github.io/en/portfolio.html#fruition-ingest" TargetMode="External"/><Relationship Id="rIdbwkj120b-kypvqosj694r" Type="http://schemas.openxmlformats.org/officeDocument/2006/relationships/hyperlink" Target="https://github.com/PillTipKR/Pilltip" TargetMode="External"/><Relationship Id="rIdyog5fwfaoq9cat-edbdbo" Type="http://schemas.openxmlformats.org/officeDocument/2006/relationships/hyperlink" Target="https://martinel2.github.io/en/portfolio.html#pilltip-data" TargetMode="External"/><Relationship Id="rIdzxn22ieds1nskdckayakr" Type="http://schemas.openxmlformats.org/officeDocument/2006/relationships/hyperlink" Target="https://martinel2.github.io/en/portfolio.html#pilltip-personalization" TargetMode="External"/><Relationship Id="rIdjqnaxtp2ybzcraatbkd-5" Type="http://schemas.openxmlformats.org/officeDocument/2006/relationships/hyperlink" Target="https://github.com/edwardkim/rhwp" TargetMode="External"/><Relationship Id="rIdjsbcrvyo5fqreigezdkfs" Type="http://schemas.openxmlformats.org/officeDocument/2006/relationships/hyperlink" Target="https://github.com/edwardkim/rhwp/pull/1213" TargetMode="External"/><Relationship Id="rIdlnj-rwjq47mjgsqknbmdd" Type="http://schemas.openxmlformats.org/officeDocument/2006/relationships/hyperlink" Target="https://github.com/edwardkim/rhwp/pull/1351" TargetMode="External"/><Relationship Id="rIdhkb8ar0gobu7teqtof1ck"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2026-09-28T02:44:23.535Z</dcterms:created>
  <dcterms:modified xsi:type="dcterms:W3CDTF">2026-09-28T02:44:23.535Z</dcterms:modified>
</cp:coreProperties>
</file>

<file path=docProps/custom.xml><?xml version="1.0" encoding="utf-8"?>
<Properties xmlns="http://schemas.openxmlformats.org/officeDocument/2006/custom-properties" xmlns:vt="http://schemas.openxmlformats.org/officeDocument/2006/docPropsVTypes"/>
</file>