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D565D" w14:textId="77777777" w:rsidR="00ED41D7" w:rsidRPr="00ED41D7" w:rsidRDefault="00ED41D7" w:rsidP="00ED41D7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ED41D7">
        <w:rPr>
          <w:rFonts w:ascii="Arial" w:hAnsi="Arial" w:cs="Arial"/>
          <w:b/>
          <w:bCs/>
          <w:sz w:val="22"/>
          <w:szCs w:val="22"/>
        </w:rPr>
        <w:t>Insights</w:t>
      </w:r>
      <w:proofErr w:type="spellEnd"/>
      <w:r w:rsidRPr="00ED41D7">
        <w:rPr>
          <w:rFonts w:ascii="Arial" w:hAnsi="Arial" w:cs="Arial"/>
          <w:b/>
          <w:bCs/>
          <w:sz w:val="22"/>
          <w:szCs w:val="22"/>
        </w:rPr>
        <w:t xml:space="preserve"> y Recomendaciones</w:t>
      </w:r>
    </w:p>
    <w:p w14:paraId="238725BF" w14:textId="77777777" w:rsidR="00ED41D7" w:rsidRPr="00ED41D7" w:rsidRDefault="00ED41D7" w:rsidP="00ED41D7">
      <w:pPr>
        <w:rPr>
          <w:rFonts w:ascii="Arial" w:hAnsi="Arial" w:cs="Arial"/>
          <w:b/>
          <w:bCs/>
          <w:sz w:val="22"/>
          <w:szCs w:val="22"/>
        </w:rPr>
      </w:pPr>
      <w:proofErr w:type="spellStart"/>
      <w:r w:rsidRPr="00ED41D7">
        <w:rPr>
          <w:rFonts w:ascii="Arial" w:hAnsi="Arial" w:cs="Arial"/>
          <w:b/>
          <w:bCs/>
          <w:sz w:val="22"/>
          <w:szCs w:val="22"/>
        </w:rPr>
        <w:t>Insights</w:t>
      </w:r>
      <w:proofErr w:type="spellEnd"/>
      <w:r w:rsidRPr="00ED41D7">
        <w:rPr>
          <w:rFonts w:ascii="Arial" w:hAnsi="Arial" w:cs="Arial"/>
          <w:b/>
          <w:bCs/>
          <w:sz w:val="22"/>
          <w:szCs w:val="22"/>
        </w:rPr>
        <w:t xml:space="preserve"> clave</w:t>
      </w:r>
    </w:p>
    <w:p w14:paraId="12BFE2E3" w14:textId="77777777" w:rsidR="00ED41D7" w:rsidRPr="00ED41D7" w:rsidRDefault="00ED41D7" w:rsidP="00ED41D7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La frecuencia de compra es el principal factor que explica el gasto total del cliente. El modelo de regresión lineal mostró que esta variable explica el 88% de la variabilidad del monto total (R² = 0.88), lo que confirma una relación fuerte y significativa.</w:t>
      </w:r>
    </w:p>
    <w:p w14:paraId="666FD16A" w14:textId="77777777" w:rsidR="00ED41D7" w:rsidRPr="00ED41D7" w:rsidRDefault="00ED41D7" w:rsidP="00ED41D7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Existe una alta variabilidad en el gasto entre clientes, evidenciada por un coeficiente de variación del 52%, lo que indica la presencia de distintos segmentos de valor, incluyendo clientes con alto nivel de gasto.</w:t>
      </w:r>
    </w:p>
    <w:p w14:paraId="6AC1BD20" w14:textId="77777777" w:rsidR="00ED41D7" w:rsidRPr="00ED41D7" w:rsidRDefault="00ED41D7" w:rsidP="00ED41D7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El tráfico web está fuertemente relacionado con la frecuencia de compra, lo que indica que el acceso al sitio es un paso clave en la generación de ingresos.</w:t>
      </w:r>
    </w:p>
    <w:p w14:paraId="25816ADD" w14:textId="77777777" w:rsidR="00ED41D7" w:rsidRPr="00ED41D7" w:rsidRDefault="00ED41D7" w:rsidP="00ED41D7">
      <w:pPr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El género del cliente no mostró una influencia significativa en el monto total de compras, lo que sugiere que no es una variable determinante del comportamiento de gasto.</w:t>
      </w:r>
    </w:p>
    <w:p w14:paraId="70ED6BE3" w14:textId="77777777" w:rsidR="00ED41D7" w:rsidRPr="00ED41D7" w:rsidRDefault="00ED41D7" w:rsidP="00ED41D7">
      <w:p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pict w14:anchorId="13C4C745">
          <v:rect id="_x0000_i1057" style="width:0;height:1.5pt" o:hralign="center" o:hrstd="t" o:hr="t" fillcolor="#a0a0a0" stroked="f"/>
        </w:pict>
      </w:r>
    </w:p>
    <w:p w14:paraId="5F50C7DE" w14:textId="77777777" w:rsidR="00ED41D7" w:rsidRPr="00ED41D7" w:rsidRDefault="00ED41D7" w:rsidP="00ED41D7">
      <w:pPr>
        <w:rPr>
          <w:rFonts w:ascii="Arial" w:hAnsi="Arial" w:cs="Arial"/>
          <w:b/>
          <w:bCs/>
          <w:sz w:val="22"/>
          <w:szCs w:val="22"/>
        </w:rPr>
      </w:pPr>
      <w:r w:rsidRPr="00ED41D7">
        <w:rPr>
          <w:rFonts w:ascii="Arial" w:hAnsi="Arial" w:cs="Arial"/>
          <w:b/>
          <w:bCs/>
          <w:sz w:val="22"/>
          <w:szCs w:val="22"/>
        </w:rPr>
        <w:t>Recomendaciones</w:t>
      </w:r>
    </w:p>
    <w:p w14:paraId="391078C6" w14:textId="77777777" w:rsidR="00ED41D7" w:rsidRPr="00ED41D7" w:rsidRDefault="00ED41D7" w:rsidP="00ED41D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Implementar estrategias para aumentar la frecuencia de compra, como programas de fidelización y promociones, dado que esta variable tiene el mayor impacto en el ingreso.</w:t>
      </w:r>
    </w:p>
    <w:p w14:paraId="47F617B3" w14:textId="77777777" w:rsidR="00ED41D7" w:rsidRPr="00ED41D7" w:rsidRDefault="00ED41D7" w:rsidP="00ED41D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Priorizar la retención de clientes de alto valor, ya que generan un mayor aporte económico al negocio.</w:t>
      </w:r>
    </w:p>
    <w:p w14:paraId="46F80AB7" w14:textId="77777777" w:rsidR="00ED41D7" w:rsidRPr="00ED41D7" w:rsidRDefault="00ED41D7" w:rsidP="00ED41D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Optimizar la conversión del tráfico web, mejorando la experiencia del usuario y las estrategias digitales, para aumentar la frecuencia de compra.</w:t>
      </w:r>
    </w:p>
    <w:p w14:paraId="34BFDC68" w14:textId="77777777" w:rsidR="00ED41D7" w:rsidRPr="00ED41D7" w:rsidRDefault="00ED41D7" w:rsidP="00ED41D7">
      <w:pPr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D41D7">
        <w:rPr>
          <w:rFonts w:ascii="Arial" w:hAnsi="Arial" w:cs="Arial"/>
          <w:sz w:val="22"/>
          <w:szCs w:val="22"/>
        </w:rPr>
        <w:t>Enfocar las estrategias de análisis y segmentación en variables de comportamiento, como la frecuencia de compra, en lugar de variables demográficas como el género.</w:t>
      </w:r>
    </w:p>
    <w:p w14:paraId="2542DF68" w14:textId="77777777" w:rsidR="001F409D" w:rsidRDefault="001F409D"/>
    <w:sectPr w:rsidR="001F409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D29B7"/>
    <w:multiLevelType w:val="multilevel"/>
    <w:tmpl w:val="37EA56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020EA"/>
    <w:multiLevelType w:val="multilevel"/>
    <w:tmpl w:val="CFD829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D2293E"/>
    <w:multiLevelType w:val="multilevel"/>
    <w:tmpl w:val="BE4845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B2BEC"/>
    <w:multiLevelType w:val="multilevel"/>
    <w:tmpl w:val="65BEB2E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13F9F"/>
    <w:multiLevelType w:val="multilevel"/>
    <w:tmpl w:val="F10E4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D54C50"/>
    <w:multiLevelType w:val="multilevel"/>
    <w:tmpl w:val="BD26C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D27F4A"/>
    <w:multiLevelType w:val="multilevel"/>
    <w:tmpl w:val="06928BE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5665A6"/>
    <w:multiLevelType w:val="multilevel"/>
    <w:tmpl w:val="ADF2A7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62A0862"/>
    <w:multiLevelType w:val="multilevel"/>
    <w:tmpl w:val="79B23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311D34"/>
    <w:multiLevelType w:val="multilevel"/>
    <w:tmpl w:val="3A32F6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2363595">
    <w:abstractNumId w:val="8"/>
  </w:num>
  <w:num w:numId="2" w16cid:durableId="1150368079">
    <w:abstractNumId w:val="7"/>
  </w:num>
  <w:num w:numId="3" w16cid:durableId="606892841">
    <w:abstractNumId w:val="6"/>
  </w:num>
  <w:num w:numId="4" w16cid:durableId="405306002">
    <w:abstractNumId w:val="3"/>
  </w:num>
  <w:num w:numId="5" w16cid:durableId="2024361154">
    <w:abstractNumId w:val="0"/>
  </w:num>
  <w:num w:numId="6" w16cid:durableId="89661117">
    <w:abstractNumId w:val="1"/>
  </w:num>
  <w:num w:numId="7" w16cid:durableId="2017925625">
    <w:abstractNumId w:val="9"/>
  </w:num>
  <w:num w:numId="8" w16cid:durableId="1712341067">
    <w:abstractNumId w:val="2"/>
  </w:num>
  <w:num w:numId="9" w16cid:durableId="603345712">
    <w:abstractNumId w:val="4"/>
  </w:num>
  <w:num w:numId="10" w16cid:durableId="18480131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D7"/>
    <w:rsid w:val="001F409D"/>
    <w:rsid w:val="007D0CF4"/>
    <w:rsid w:val="00875AAA"/>
    <w:rsid w:val="00ED41D7"/>
    <w:rsid w:val="00F42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3BCB2"/>
  <w15:chartTrackingRefBased/>
  <w15:docId w15:val="{B8ACED49-7293-4E6E-92B5-1E99C2AE1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41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41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41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41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41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41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41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41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41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41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41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41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41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41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41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41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41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41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41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41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41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41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41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41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41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41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41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41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41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2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4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1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1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222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MartinElias</dc:creator>
  <cp:keywords/>
  <dc:description/>
  <cp:lastModifiedBy>MartinElias</cp:lastModifiedBy>
  <cp:revision>1</cp:revision>
  <dcterms:created xsi:type="dcterms:W3CDTF">2026-02-16T21:22:00Z</dcterms:created>
  <dcterms:modified xsi:type="dcterms:W3CDTF">2026-02-16T21:26:00Z</dcterms:modified>
</cp:coreProperties>
</file>