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3132" w14:textId="3ED1D6D0" w:rsidR="004952EF" w:rsidRDefault="00BB360F">
      <w:r>
        <w:t xml:space="preserve">THEME : </w:t>
      </w:r>
      <w:r w:rsidRPr="00BB360F">
        <w:t xml:space="preserve">Trajectoires de patients atteints de purpura thrombotique </w:t>
      </w:r>
      <w:proofErr w:type="spellStart"/>
      <w:r w:rsidRPr="00BB360F">
        <w:t>thrombocytopénique</w:t>
      </w:r>
      <w:proofErr w:type="spellEnd"/>
      <w:r w:rsidRPr="00BB360F">
        <w:t>.</w:t>
      </w:r>
    </w:p>
    <w:p w14:paraId="2881F2C7" w14:textId="5C32AF97" w:rsidR="006E7D5A" w:rsidRDefault="006E7D5A">
      <w:r>
        <w:t>Formation de petit caillot dans les veines</w:t>
      </w:r>
    </w:p>
    <w:p w14:paraId="1F443EE1" w14:textId="6A108539" w:rsidR="006E7D5A" w:rsidRDefault="006E7D5A">
      <w:r>
        <w:t>Questions</w:t>
      </w:r>
    </w:p>
    <w:p w14:paraId="54EB1662" w14:textId="17208FF6" w:rsidR="006E7D5A" w:rsidRDefault="006E7D5A">
      <w:r>
        <w:t xml:space="preserve">Restriction du flux sanguin </w:t>
      </w:r>
    </w:p>
    <w:p w14:paraId="3CBA0FBC" w14:textId="58779C57" w:rsidR="006E7D5A" w:rsidRDefault="006E7D5A">
      <w:r>
        <w:t>Ou d’une pénurie de plaquette sanguine</w:t>
      </w:r>
    </w:p>
    <w:p w14:paraId="74A2EAB1" w14:textId="6734C1C2" w:rsidR="006E7D5A" w:rsidRDefault="006E7D5A">
      <w:r>
        <w:t xml:space="preserve">Le purpura provient du mot français « pourpre : violet </w:t>
      </w:r>
      <w:r w:rsidR="002F0B74">
        <w:t>foncé »</w:t>
      </w:r>
      <w:r>
        <w:t> </w:t>
      </w:r>
    </w:p>
    <w:p w14:paraId="0DC05A17" w14:textId="60C0BBEB" w:rsidR="006E7D5A" w:rsidRDefault="006E7D5A">
      <w:r>
        <w:t xml:space="preserve">Syndrome dermatologique : sortie anormale des globules rouges </w:t>
      </w:r>
      <w:r w:rsidR="002F0B74">
        <w:t xml:space="preserve">des vaisseaux sanguins vers les tissus environnants où ils s’accumulent. </w:t>
      </w:r>
    </w:p>
    <w:p w14:paraId="3BA58E77" w14:textId="0F14FC84" w:rsidR="006E7D5A" w:rsidRDefault="00B45F49">
      <w:r>
        <w:t xml:space="preserve">Les personnes souffrant de cette maladie ne disposent d’une enzyme qui aide à inhiber une protéine de la coagulation sang </w:t>
      </w:r>
    </w:p>
    <w:p w14:paraId="73B82B47" w14:textId="661ACDF0" w:rsidR="00C078BB" w:rsidRDefault="00B45F49">
      <w:r>
        <w:t xml:space="preserve">La formation de caillots sanguins peut être responsable d’une utilisation excessive des plaquettes responsables de la </w:t>
      </w:r>
      <w:r w:rsidR="00C078BB">
        <w:t>coagulation</w:t>
      </w:r>
      <w:r w:rsidR="00254704">
        <w:t xml:space="preserve">, ce qui peut provoquer une hémorragie. </w:t>
      </w:r>
    </w:p>
    <w:p w14:paraId="34A2D428" w14:textId="77777777" w:rsidR="00B56032" w:rsidRDefault="00B56032"/>
    <w:p w14:paraId="7337BBFE" w14:textId="40301834" w:rsidR="00B56032" w:rsidRDefault="00B56032">
      <w:r>
        <w:t>Copie collée</w:t>
      </w:r>
    </w:p>
    <w:p w14:paraId="4FAF584C" w14:textId="3C9CFE53" w:rsidR="00B56032" w:rsidRDefault="00B56032">
      <w:r w:rsidRPr="00B56032">
        <w:t xml:space="preserve">La physiopathologie de la maladie repose sur un déficit fonctionnel sévère en ADAMTS13, la protéase spécifique de clivage du facteur Willebrand. Ce déficit peut être soit acquis (lié essentiellement à la présence d’auto-anticorps anti-ADAMTS13), soit héréditaire (lié à la présence de mutations </w:t>
      </w:r>
      <w:proofErr w:type="spellStart"/>
      <w:r w:rsidRPr="00B56032">
        <w:t>bialléliques</w:t>
      </w:r>
      <w:proofErr w:type="spellEnd"/>
      <w:r w:rsidRPr="00B56032">
        <w:t xml:space="preserve"> du gène </w:t>
      </w:r>
      <w:r w:rsidRPr="00B56032">
        <w:rPr>
          <w:i/>
          <w:iCs/>
        </w:rPr>
        <w:t>ADAMTS13</w:t>
      </w:r>
      <w:r w:rsidRPr="00B56032">
        <w:t>).</w:t>
      </w:r>
      <w:r>
        <w:rPr>
          <w:rStyle w:val="Appelnotedebasdep"/>
        </w:rPr>
        <w:footnoteReference w:id="1"/>
      </w:r>
    </w:p>
    <w:p w14:paraId="08ED4027" w14:textId="6AE0050F" w:rsidR="00B45F49" w:rsidRDefault="00933443">
      <w:proofErr w:type="gramStart"/>
      <w:r w:rsidRPr="00933443">
        <w:t>facteur</w:t>
      </w:r>
      <w:proofErr w:type="gramEnd"/>
      <w:r w:rsidRPr="00933443">
        <w:t xml:space="preserve"> Willebrand (VWF) est une glycoprotéine multimérique synthétisée par les cellules endothéliales et les </w:t>
      </w:r>
      <w:proofErr w:type="spellStart"/>
      <w:r w:rsidRPr="00933443">
        <w:t>mégacaryocyt</w:t>
      </w:r>
      <w:proofErr w:type="spellEnd"/>
      <w:r>
        <w:rPr>
          <w:rStyle w:val="Appelnotedebasdep"/>
        </w:rPr>
        <w:footnoteReference w:id="2"/>
      </w:r>
    </w:p>
    <w:p w14:paraId="056B137E" w14:textId="33D36301" w:rsidR="00933443" w:rsidRDefault="00933443">
      <w:r>
        <w:t>Découverte de la maladie</w:t>
      </w:r>
      <w:r>
        <w:rPr>
          <w:rStyle w:val="Appelnotedebasdep"/>
        </w:rPr>
        <w:footnoteReference w:id="3"/>
      </w:r>
    </w:p>
    <w:p w14:paraId="513B6928" w14:textId="515409A9" w:rsidR="007B3D0D" w:rsidRDefault="007B3D0D">
      <w:proofErr w:type="gramStart"/>
      <w:r>
        <w:t>autre</w:t>
      </w:r>
      <w:proofErr w:type="gramEnd"/>
      <w:r>
        <w:rPr>
          <w:rStyle w:val="Appelnotedebasdep"/>
        </w:rPr>
        <w:footnoteReference w:id="4"/>
      </w:r>
    </w:p>
    <w:sectPr w:rsidR="007B3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F312" w14:textId="77777777" w:rsidR="004C59D4" w:rsidRDefault="004C59D4" w:rsidP="00B56032">
      <w:pPr>
        <w:spacing w:after="0" w:line="240" w:lineRule="auto"/>
      </w:pPr>
      <w:r>
        <w:separator/>
      </w:r>
    </w:p>
  </w:endnote>
  <w:endnote w:type="continuationSeparator" w:id="0">
    <w:p w14:paraId="3DAFD55E" w14:textId="77777777" w:rsidR="004C59D4" w:rsidRDefault="004C59D4" w:rsidP="00B56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7708" w14:textId="77777777" w:rsidR="004C59D4" w:rsidRDefault="004C59D4" w:rsidP="00B56032">
      <w:pPr>
        <w:spacing w:after="0" w:line="240" w:lineRule="auto"/>
      </w:pPr>
      <w:r>
        <w:separator/>
      </w:r>
    </w:p>
  </w:footnote>
  <w:footnote w:type="continuationSeparator" w:id="0">
    <w:p w14:paraId="110FA606" w14:textId="77777777" w:rsidR="004C59D4" w:rsidRDefault="004C59D4" w:rsidP="00B56032">
      <w:pPr>
        <w:spacing w:after="0" w:line="240" w:lineRule="auto"/>
      </w:pPr>
      <w:r>
        <w:continuationSeparator/>
      </w:r>
    </w:p>
  </w:footnote>
  <w:footnote w:id="1">
    <w:p w14:paraId="6DD59130" w14:textId="35C57F9C" w:rsidR="00B56032" w:rsidRDefault="00B56032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 w:rsidRPr="00A8563E">
          <w:rPr>
            <w:rStyle w:val="Lienhypertexte"/>
          </w:rPr>
          <w:t>https://www.sciencedirect.com/science/article/abs/pii/S2213467017300580</w:t>
        </w:r>
      </w:hyperlink>
    </w:p>
    <w:p w14:paraId="32ABB3D3" w14:textId="77777777" w:rsidR="00B56032" w:rsidRDefault="00B56032">
      <w:pPr>
        <w:pStyle w:val="Notedebasdepage"/>
      </w:pPr>
    </w:p>
  </w:footnote>
  <w:footnote w:id="2">
    <w:p w14:paraId="2F2F0052" w14:textId="054CD597" w:rsidR="00933443" w:rsidRDefault="0093344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2" w:history="1">
        <w:r w:rsidRPr="00A8563E">
          <w:rPr>
            <w:rStyle w:val="Lienhypertexte"/>
          </w:rPr>
          <w:t>https://stm.cairn.info/revue-hematologie-2021-4-page-188?tab=texte-integral</w:t>
        </w:r>
      </w:hyperlink>
    </w:p>
    <w:p w14:paraId="612B9305" w14:textId="77777777" w:rsidR="00933443" w:rsidRDefault="00933443">
      <w:pPr>
        <w:pStyle w:val="Notedebasdepage"/>
      </w:pPr>
    </w:p>
  </w:footnote>
  <w:footnote w:id="3">
    <w:p w14:paraId="4F89D9C1" w14:textId="26A72B54" w:rsidR="00933443" w:rsidRDefault="0093344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3" w:history="1">
        <w:r w:rsidRPr="00A8563E">
          <w:rPr>
            <w:rStyle w:val="Lienhypertexte"/>
          </w:rPr>
          <w:t>https://www.sciencedirect.com/science/article/abs/pii/S024886630000223X</w:t>
        </w:r>
      </w:hyperlink>
    </w:p>
    <w:p w14:paraId="267A09E5" w14:textId="77777777" w:rsidR="00933443" w:rsidRDefault="00933443">
      <w:pPr>
        <w:pStyle w:val="Notedebasdepage"/>
      </w:pPr>
    </w:p>
  </w:footnote>
  <w:footnote w:id="4">
    <w:p w14:paraId="20038784" w14:textId="399C4A20" w:rsidR="007B3D0D" w:rsidRDefault="007B3D0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4" w:history="1">
        <w:r w:rsidRPr="00A8563E">
          <w:rPr>
            <w:rStyle w:val="Lienhypertexte"/>
          </w:rPr>
          <w:t>https://www.sciencedirect.com/science/article/abs/pii/S1624069308000546</w:t>
        </w:r>
      </w:hyperlink>
    </w:p>
    <w:p w14:paraId="09DCE67E" w14:textId="77777777" w:rsidR="007B3D0D" w:rsidRDefault="007B3D0D">
      <w:pPr>
        <w:pStyle w:val="Notedebasdepage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0F"/>
    <w:rsid w:val="00254704"/>
    <w:rsid w:val="002F0B74"/>
    <w:rsid w:val="00331B82"/>
    <w:rsid w:val="004952EF"/>
    <w:rsid w:val="004C59D4"/>
    <w:rsid w:val="005B2446"/>
    <w:rsid w:val="006E7D5A"/>
    <w:rsid w:val="007B3D0D"/>
    <w:rsid w:val="007F59E7"/>
    <w:rsid w:val="008222BF"/>
    <w:rsid w:val="00933443"/>
    <w:rsid w:val="00B41BEE"/>
    <w:rsid w:val="00B45F49"/>
    <w:rsid w:val="00B56032"/>
    <w:rsid w:val="00BB360F"/>
    <w:rsid w:val="00C078BB"/>
    <w:rsid w:val="00CC4BEA"/>
    <w:rsid w:val="00DB25E0"/>
    <w:rsid w:val="00F4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27FC"/>
  <w15:chartTrackingRefBased/>
  <w15:docId w15:val="{A94DF49E-80FB-44FC-959E-4E9A1C2F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B82"/>
    <w:rPr>
      <w:rFonts w:ascii="Times New Roman" w:hAnsi="Times New Roman"/>
      <w:kern w:val="0"/>
      <w:sz w:val="24"/>
      <w14:ligatures w14:val="non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7F59E7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F59E7"/>
    <w:rPr>
      <w:rFonts w:ascii="Times New Roman" w:eastAsiaTheme="majorEastAsia" w:hAnsi="Times New Roman" w:cstheme="majorBidi"/>
      <w:b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5603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56032"/>
    <w:rPr>
      <w:rFonts w:ascii="Times New Roman" w:hAnsi="Times New Roman"/>
      <w:kern w:val="0"/>
      <w:sz w:val="20"/>
      <w:szCs w:val="20"/>
      <w14:ligatures w14:val="none"/>
    </w:rPr>
  </w:style>
  <w:style w:type="character" w:styleId="Appelnotedebasdep">
    <w:name w:val="footnote reference"/>
    <w:basedOn w:val="Policepardfaut"/>
    <w:uiPriority w:val="99"/>
    <w:semiHidden/>
    <w:unhideWhenUsed/>
    <w:rsid w:val="00B56032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B5603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6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ciencedirect.com/science/article/abs/pii/S024886630000223X" TargetMode="External"/><Relationship Id="rId2" Type="http://schemas.openxmlformats.org/officeDocument/2006/relationships/hyperlink" Target="https://stm.cairn.info/revue-hematologie-2021-4-page-188?tab=texte-integral" TargetMode="External"/><Relationship Id="rId1" Type="http://schemas.openxmlformats.org/officeDocument/2006/relationships/hyperlink" Target="https://www.sciencedirect.com/science/article/abs/pii/S2213467017300580" TargetMode="External"/><Relationship Id="rId4" Type="http://schemas.openxmlformats.org/officeDocument/2006/relationships/hyperlink" Target="https://www.sciencedirect.com/science/article/abs/pii/S162406930800054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3431C-1B28-43E3-BB57-F90B67A6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AHOUETOGNON</dc:creator>
  <cp:keywords/>
  <dc:description/>
  <cp:lastModifiedBy>Martin AHOUETOGNON</cp:lastModifiedBy>
  <cp:revision>2</cp:revision>
  <dcterms:created xsi:type="dcterms:W3CDTF">2025-01-07T15:24:00Z</dcterms:created>
  <dcterms:modified xsi:type="dcterms:W3CDTF">2025-01-07T15:24:00Z</dcterms:modified>
</cp:coreProperties>
</file>