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33132" w14:textId="3ED1D6D0" w:rsidR="004952EF" w:rsidRPr="00F87516" w:rsidRDefault="00BB360F" w:rsidP="00AD752E">
      <w:pPr>
        <w:spacing w:line="360" w:lineRule="auto"/>
        <w:jc w:val="both"/>
        <w:rPr>
          <w:rFonts w:cs="Times New Roman"/>
        </w:rPr>
      </w:pPr>
      <w:r w:rsidRPr="00F87516">
        <w:rPr>
          <w:rFonts w:cs="Times New Roman"/>
        </w:rPr>
        <w:t xml:space="preserve">THEME : </w:t>
      </w:r>
      <w:r w:rsidRPr="00F87516">
        <w:rPr>
          <w:rFonts w:cs="Times New Roman"/>
        </w:rPr>
        <w:t xml:space="preserve">Trajectoires de patients atteints de purpura thrombotique </w:t>
      </w:r>
      <w:proofErr w:type="spellStart"/>
      <w:r w:rsidRPr="00F87516">
        <w:rPr>
          <w:rFonts w:cs="Times New Roman"/>
        </w:rPr>
        <w:t>thrombocytopénique</w:t>
      </w:r>
      <w:proofErr w:type="spellEnd"/>
      <w:r w:rsidRPr="00F87516">
        <w:rPr>
          <w:rFonts w:cs="Times New Roman"/>
        </w:rPr>
        <w:t>.</w:t>
      </w:r>
    </w:p>
    <w:p w14:paraId="2881F2C7" w14:textId="5C32AF97" w:rsidR="006E7D5A" w:rsidRPr="00F87516" w:rsidRDefault="006E7D5A" w:rsidP="00AD752E">
      <w:pPr>
        <w:spacing w:line="360" w:lineRule="auto"/>
        <w:jc w:val="both"/>
        <w:rPr>
          <w:rFonts w:cs="Times New Roman"/>
        </w:rPr>
      </w:pPr>
      <w:r w:rsidRPr="00F87516">
        <w:rPr>
          <w:rFonts w:cs="Times New Roman"/>
        </w:rPr>
        <w:t>Formation de petit caillot dans les veines</w:t>
      </w:r>
    </w:p>
    <w:p w14:paraId="1F443EE1" w14:textId="6A108539" w:rsidR="006E7D5A" w:rsidRPr="00F87516" w:rsidRDefault="006E7D5A" w:rsidP="00AD752E">
      <w:pPr>
        <w:spacing w:line="360" w:lineRule="auto"/>
        <w:jc w:val="both"/>
        <w:rPr>
          <w:rFonts w:cs="Times New Roman"/>
        </w:rPr>
      </w:pPr>
      <w:r w:rsidRPr="00F87516">
        <w:rPr>
          <w:rFonts w:cs="Times New Roman"/>
        </w:rPr>
        <w:t>Questions</w:t>
      </w:r>
    </w:p>
    <w:p w14:paraId="54EB1662" w14:textId="17208FF6" w:rsidR="006E7D5A" w:rsidRPr="00F87516" w:rsidRDefault="006E7D5A" w:rsidP="00AD752E">
      <w:pPr>
        <w:spacing w:line="360" w:lineRule="auto"/>
        <w:jc w:val="both"/>
        <w:rPr>
          <w:rFonts w:cs="Times New Roman"/>
        </w:rPr>
      </w:pPr>
      <w:r w:rsidRPr="00F87516">
        <w:rPr>
          <w:rFonts w:cs="Times New Roman"/>
        </w:rPr>
        <w:t xml:space="preserve">Restriction du flux sanguin </w:t>
      </w:r>
    </w:p>
    <w:p w14:paraId="3CBA0FBC" w14:textId="58779C57" w:rsidR="006E7D5A" w:rsidRPr="00F87516" w:rsidRDefault="006E7D5A" w:rsidP="00AD752E">
      <w:pPr>
        <w:spacing w:line="360" w:lineRule="auto"/>
        <w:jc w:val="both"/>
        <w:rPr>
          <w:rFonts w:cs="Times New Roman"/>
        </w:rPr>
      </w:pPr>
      <w:r w:rsidRPr="00F87516">
        <w:rPr>
          <w:rFonts w:cs="Times New Roman"/>
        </w:rPr>
        <w:t>Ou d’une pénurie de plaquette sanguine</w:t>
      </w:r>
    </w:p>
    <w:p w14:paraId="74A2EAB1" w14:textId="6734C1C2" w:rsidR="006E7D5A" w:rsidRPr="00F87516" w:rsidRDefault="006E7D5A" w:rsidP="00AD752E">
      <w:pPr>
        <w:spacing w:line="360" w:lineRule="auto"/>
        <w:jc w:val="both"/>
        <w:rPr>
          <w:rFonts w:cs="Times New Roman"/>
        </w:rPr>
      </w:pPr>
      <w:r w:rsidRPr="00F87516">
        <w:rPr>
          <w:rFonts w:cs="Times New Roman"/>
        </w:rPr>
        <w:t xml:space="preserve">Le purpura provient du mot français « pourpre : violet </w:t>
      </w:r>
      <w:r w:rsidR="002F0B74" w:rsidRPr="00F87516">
        <w:rPr>
          <w:rFonts w:cs="Times New Roman"/>
        </w:rPr>
        <w:t>foncé »</w:t>
      </w:r>
      <w:r w:rsidRPr="00F87516">
        <w:rPr>
          <w:rFonts w:cs="Times New Roman"/>
        </w:rPr>
        <w:t> </w:t>
      </w:r>
    </w:p>
    <w:p w14:paraId="0DC05A17" w14:textId="60C0BBEB" w:rsidR="006E7D5A" w:rsidRPr="00F87516" w:rsidRDefault="006E7D5A" w:rsidP="00AD752E">
      <w:pPr>
        <w:spacing w:line="360" w:lineRule="auto"/>
        <w:jc w:val="both"/>
        <w:rPr>
          <w:rFonts w:cs="Times New Roman"/>
        </w:rPr>
      </w:pPr>
      <w:r w:rsidRPr="00F87516">
        <w:rPr>
          <w:rFonts w:cs="Times New Roman"/>
        </w:rPr>
        <w:t xml:space="preserve">Syndrome dermatologique : sortie anormale des globules rouges </w:t>
      </w:r>
      <w:r w:rsidR="002F0B74" w:rsidRPr="00F87516">
        <w:rPr>
          <w:rFonts w:cs="Times New Roman"/>
        </w:rPr>
        <w:t xml:space="preserve">des vaisseaux sanguins vers les tissus environnants où ils s’accumulent. </w:t>
      </w:r>
    </w:p>
    <w:p w14:paraId="3BA58E77" w14:textId="0F14FC84" w:rsidR="006E7D5A" w:rsidRPr="00F87516" w:rsidRDefault="00B45F49" w:rsidP="00AD752E">
      <w:pPr>
        <w:spacing w:line="360" w:lineRule="auto"/>
        <w:jc w:val="both"/>
        <w:rPr>
          <w:rFonts w:cs="Times New Roman"/>
        </w:rPr>
      </w:pPr>
      <w:r w:rsidRPr="00F87516">
        <w:rPr>
          <w:rFonts w:cs="Times New Roman"/>
        </w:rPr>
        <w:t xml:space="preserve">Les personnes souffrant de cette maladie ne disposent d’une enzyme qui aide à inhiber une protéine de la coagulation sang </w:t>
      </w:r>
    </w:p>
    <w:p w14:paraId="34A2D428" w14:textId="30E51441" w:rsidR="00B56032" w:rsidRPr="00F87516" w:rsidRDefault="00B45F49" w:rsidP="00AD752E">
      <w:pPr>
        <w:spacing w:line="360" w:lineRule="auto"/>
        <w:jc w:val="both"/>
        <w:rPr>
          <w:rFonts w:cs="Times New Roman"/>
        </w:rPr>
      </w:pPr>
      <w:r w:rsidRPr="00F87516">
        <w:rPr>
          <w:rFonts w:cs="Times New Roman"/>
        </w:rPr>
        <w:t xml:space="preserve">La formation de caillots sanguins peut être responsable d’une utilisation excessive des plaquettes responsables de la </w:t>
      </w:r>
      <w:r w:rsidR="00C078BB" w:rsidRPr="00F87516">
        <w:rPr>
          <w:rFonts w:cs="Times New Roman"/>
        </w:rPr>
        <w:t>coagulation</w:t>
      </w:r>
      <w:r w:rsidR="00254704" w:rsidRPr="00F87516">
        <w:rPr>
          <w:rFonts w:cs="Times New Roman"/>
        </w:rPr>
        <w:t xml:space="preserve">, ce qui peut provoquer une hémorragie. </w:t>
      </w:r>
    </w:p>
    <w:p w14:paraId="7337BBFE" w14:textId="40301834" w:rsidR="00B56032" w:rsidRPr="00F87516" w:rsidRDefault="00B56032" w:rsidP="00AD752E">
      <w:pPr>
        <w:spacing w:line="360" w:lineRule="auto"/>
        <w:jc w:val="both"/>
        <w:rPr>
          <w:rFonts w:cs="Times New Roman"/>
        </w:rPr>
      </w:pPr>
      <w:r w:rsidRPr="00F87516">
        <w:rPr>
          <w:rFonts w:cs="Times New Roman"/>
        </w:rPr>
        <w:t>Copie collée</w:t>
      </w:r>
    </w:p>
    <w:p w14:paraId="4FAF584C" w14:textId="3C9CFE53" w:rsidR="00B56032" w:rsidRPr="00F87516" w:rsidRDefault="00B56032" w:rsidP="00AD752E">
      <w:pPr>
        <w:spacing w:line="360" w:lineRule="auto"/>
        <w:jc w:val="both"/>
        <w:rPr>
          <w:rFonts w:cs="Times New Roman"/>
        </w:rPr>
      </w:pPr>
      <w:r w:rsidRPr="00F87516">
        <w:rPr>
          <w:rFonts w:cs="Times New Roman"/>
        </w:rPr>
        <w:t xml:space="preserve">La physiopathologie de la maladie repose sur un déficit fonctionnel sévère en ADAMTS13, la protéase spécifique de clivage du facteur Willebrand. Ce déficit peut être soit acquis (lié essentiellement à la présence d’auto-anticorps anti-ADAMTS13), soit héréditaire (lié à la présence de mutations </w:t>
      </w:r>
      <w:proofErr w:type="spellStart"/>
      <w:r w:rsidRPr="00F87516">
        <w:rPr>
          <w:rFonts w:cs="Times New Roman"/>
        </w:rPr>
        <w:t>bialléliques</w:t>
      </w:r>
      <w:proofErr w:type="spellEnd"/>
      <w:r w:rsidRPr="00F87516">
        <w:rPr>
          <w:rFonts w:cs="Times New Roman"/>
        </w:rPr>
        <w:t xml:space="preserve"> du gène </w:t>
      </w:r>
      <w:r w:rsidRPr="00F87516">
        <w:rPr>
          <w:rFonts w:cs="Times New Roman"/>
          <w:i/>
          <w:iCs/>
        </w:rPr>
        <w:t>ADAMTS13</w:t>
      </w:r>
      <w:r w:rsidRPr="00F87516">
        <w:rPr>
          <w:rFonts w:cs="Times New Roman"/>
        </w:rPr>
        <w:t>).</w:t>
      </w:r>
      <w:r w:rsidRPr="00F87516">
        <w:rPr>
          <w:rStyle w:val="Appelnotedebasdep"/>
          <w:rFonts w:cs="Times New Roman"/>
        </w:rPr>
        <w:footnoteReference w:id="1"/>
      </w:r>
    </w:p>
    <w:p w14:paraId="513B6928" w14:textId="130398C1" w:rsidR="007B3D0D" w:rsidRDefault="00B82B5E" w:rsidP="00AD752E">
      <w:pPr>
        <w:spacing w:line="360" w:lineRule="auto"/>
        <w:jc w:val="both"/>
        <w:rPr>
          <w:rFonts w:cs="Times New Roman"/>
        </w:rPr>
      </w:pPr>
      <w:r>
        <w:rPr>
          <w:rFonts w:cs="Times New Roman"/>
        </w:rPr>
        <w:t>F</w:t>
      </w:r>
      <w:r w:rsidR="00933443" w:rsidRPr="00F87516">
        <w:rPr>
          <w:rFonts w:cs="Times New Roman"/>
        </w:rPr>
        <w:t>acteur Willebrand (VWF) est une glycoprotéine multimérique synthétisée par les cellules endothéliales et les mégacaryocyt</w:t>
      </w:r>
      <w:r w:rsidR="00F87516" w:rsidRPr="00F87516">
        <w:rPr>
          <w:rFonts w:cs="Times New Roman"/>
        </w:rPr>
        <w:t>e</w:t>
      </w:r>
      <w:r w:rsidR="00933443" w:rsidRPr="00F87516">
        <w:rPr>
          <w:rStyle w:val="Appelnotedebasdep"/>
          <w:rFonts w:cs="Times New Roman"/>
        </w:rPr>
        <w:footnoteReference w:id="2"/>
      </w:r>
      <w:r w:rsidR="00F87516" w:rsidRPr="00F87516">
        <w:rPr>
          <w:rFonts w:cs="Times New Roman"/>
        </w:rPr>
        <w:t xml:space="preserve">. </w:t>
      </w:r>
      <w:r w:rsidR="00933443" w:rsidRPr="00F87516">
        <w:rPr>
          <w:rFonts w:cs="Times New Roman"/>
        </w:rPr>
        <w:t>Découverte de la maladie</w:t>
      </w:r>
      <w:r w:rsidR="00933443" w:rsidRPr="00F87516">
        <w:rPr>
          <w:rStyle w:val="Appelnotedebasdep"/>
          <w:rFonts w:cs="Times New Roman"/>
        </w:rPr>
        <w:footnoteReference w:id="3"/>
      </w:r>
      <w:r w:rsidR="005F24F7">
        <w:rPr>
          <w:rFonts w:cs="Times New Roman"/>
        </w:rPr>
        <w:t xml:space="preserve"> </w:t>
      </w:r>
      <w:r w:rsidR="007B3D0D" w:rsidRPr="00F87516">
        <w:rPr>
          <w:rFonts w:cs="Times New Roman"/>
        </w:rPr>
        <w:t>autre</w:t>
      </w:r>
      <w:r w:rsidR="007B3D0D" w:rsidRPr="00F87516">
        <w:rPr>
          <w:rStyle w:val="Appelnotedebasdep"/>
          <w:rFonts w:cs="Times New Roman"/>
        </w:rPr>
        <w:footnoteReference w:id="4"/>
      </w:r>
      <w:r w:rsidR="005F24F7">
        <w:rPr>
          <w:rFonts w:cs="Times New Roman"/>
        </w:rPr>
        <w:t xml:space="preserve">. </w:t>
      </w:r>
    </w:p>
    <w:p w14:paraId="6CE14542" w14:textId="77777777" w:rsidR="005F24F7" w:rsidRDefault="005F24F7" w:rsidP="00AD752E">
      <w:pPr>
        <w:spacing w:line="360" w:lineRule="auto"/>
        <w:jc w:val="both"/>
        <w:rPr>
          <w:rFonts w:cs="Times New Roman"/>
        </w:rPr>
      </w:pPr>
    </w:p>
    <w:p w14:paraId="512EF427" w14:textId="77777777" w:rsidR="00315014" w:rsidRDefault="00315014" w:rsidP="00AD752E">
      <w:pPr>
        <w:spacing w:line="360" w:lineRule="auto"/>
        <w:jc w:val="both"/>
        <w:rPr>
          <w:rFonts w:cs="Times New Roman"/>
        </w:rPr>
      </w:pPr>
    </w:p>
    <w:p w14:paraId="2B597B7F" w14:textId="77777777" w:rsidR="00315014" w:rsidRDefault="00315014" w:rsidP="00AD752E">
      <w:pPr>
        <w:spacing w:line="360" w:lineRule="auto"/>
        <w:jc w:val="both"/>
        <w:rPr>
          <w:rFonts w:cs="Times New Roman"/>
        </w:rPr>
      </w:pPr>
    </w:p>
    <w:p w14:paraId="487CC26E" w14:textId="77777777" w:rsidR="00315014" w:rsidRDefault="00315014" w:rsidP="00AD752E">
      <w:pPr>
        <w:spacing w:line="360" w:lineRule="auto"/>
        <w:jc w:val="both"/>
        <w:rPr>
          <w:rFonts w:cs="Times New Roman"/>
        </w:rPr>
      </w:pPr>
    </w:p>
    <w:p w14:paraId="155FFD76" w14:textId="6D8C33E9" w:rsidR="00315014" w:rsidRDefault="00315014" w:rsidP="00AD752E">
      <w:pPr>
        <w:spacing w:line="360" w:lineRule="auto"/>
        <w:jc w:val="both"/>
        <w:rPr>
          <w:rFonts w:cs="Times New Roman"/>
        </w:rPr>
      </w:pPr>
      <w:r>
        <w:rPr>
          <w:rFonts w:cs="Times New Roman"/>
        </w:rPr>
        <w:lastRenderedPageBreak/>
        <w:t>Article 1</w:t>
      </w:r>
    </w:p>
    <w:p w14:paraId="0CD93B5F" w14:textId="10AE9DA6" w:rsidR="00F8535E" w:rsidRPr="00F8535E" w:rsidRDefault="00F8535E" w:rsidP="00AD752E">
      <w:pPr>
        <w:spacing w:line="360" w:lineRule="auto"/>
        <w:jc w:val="both"/>
        <w:rPr>
          <w:rFonts w:cs="Times New Roman"/>
          <w:b/>
          <w:bCs/>
        </w:rPr>
      </w:pPr>
      <w:r w:rsidRPr="00F8535E">
        <w:rPr>
          <w:rFonts w:cs="Times New Roman"/>
          <w:b/>
          <w:bCs/>
        </w:rPr>
        <w:t>Définition</w:t>
      </w:r>
    </w:p>
    <w:p w14:paraId="3DCF015B" w14:textId="76A8B3FC" w:rsidR="00D67417" w:rsidRDefault="002140A0" w:rsidP="00AD752E">
      <w:pPr>
        <w:spacing w:line="360" w:lineRule="auto"/>
        <w:jc w:val="both"/>
        <w:rPr>
          <w:rFonts w:cs="Times New Roman"/>
        </w:rPr>
      </w:pPr>
      <w:r>
        <w:rPr>
          <w:rFonts w:cs="Times New Roman"/>
        </w:rPr>
        <w:t xml:space="preserve">Le PTT est une microangiopathie thrombotique rare. La physiopathologie ou le trouble fonctionnel engendré par la maladie est le déficit sévère en ADAMTS13, une protéase du clivage du facteur Willebrand. Le déficit en ladite protéase se manifeste de deux façons, par la présence d’un auto-anticorps appelé anti-ADAMTS13 dans sa forme acquise et par </w:t>
      </w:r>
      <w:r w:rsidR="00D67417">
        <w:rPr>
          <w:rFonts w:cs="Times New Roman"/>
        </w:rPr>
        <w:t>la mutation dans les deux copies du gène ADAMTS13 paternel ou maternel (dans sa forme héréditaire)</w:t>
      </w:r>
      <w:r w:rsidR="00AD752E">
        <w:rPr>
          <w:rFonts w:cs="Times New Roman"/>
        </w:rPr>
        <w:t xml:space="preserve">. Or l’enzyme ADAMTS13 est à l’origine du clivage des multimètres des hauts poids moléculaires du facteur Willebrand. Ainsi, son déficit entraine l’accumulation des hauts poids moléculaires dans la circulation sanguine qui finissent par se lier aux plaquettes. A travers ce processus d’agrégation, des </w:t>
      </w:r>
      <w:proofErr w:type="spellStart"/>
      <w:r w:rsidR="00AD752E">
        <w:rPr>
          <w:rFonts w:cs="Times New Roman"/>
        </w:rPr>
        <w:t>thrombi</w:t>
      </w:r>
      <w:proofErr w:type="spellEnd"/>
      <w:r w:rsidR="00AD752E">
        <w:rPr>
          <w:rFonts w:cs="Times New Roman"/>
        </w:rPr>
        <w:t xml:space="preserve"> se forment et obstruent la circulation sanguine. </w:t>
      </w:r>
      <w:r w:rsidR="006F5CDA">
        <w:rPr>
          <w:rFonts w:cs="Times New Roman"/>
        </w:rPr>
        <w:t>Par ricochet,</w:t>
      </w:r>
      <w:r w:rsidR="006F5CDA" w:rsidRPr="006F5CDA">
        <w:t xml:space="preserve"> </w:t>
      </w:r>
      <w:r w:rsidR="006F5CDA" w:rsidRPr="006F5CDA">
        <w:rPr>
          <w:rFonts w:cs="Times New Roman"/>
        </w:rPr>
        <w:t>le nombre de plaquettes sanguines diminue rapidement en raison de leur utilisation excessive</w:t>
      </w:r>
      <w:r w:rsidR="006F5CDA">
        <w:rPr>
          <w:rFonts w:cs="Times New Roman"/>
        </w:rPr>
        <w:t xml:space="preserve"> </w:t>
      </w:r>
      <w:r w:rsidR="00466F90">
        <w:rPr>
          <w:rFonts w:cs="Times New Roman"/>
        </w:rPr>
        <w:t>et l’</w:t>
      </w:r>
      <w:r w:rsidR="00466F90" w:rsidRPr="00466F90">
        <w:rPr>
          <w:rFonts w:cs="Times New Roman"/>
        </w:rPr>
        <w:t>insuffisance de circulation sanguine affect</w:t>
      </w:r>
      <w:r w:rsidR="00466F90">
        <w:rPr>
          <w:rFonts w:cs="Times New Roman"/>
        </w:rPr>
        <w:t>e</w:t>
      </w:r>
      <w:r w:rsidR="00466F90" w:rsidRPr="00466F90">
        <w:rPr>
          <w:rFonts w:cs="Times New Roman"/>
        </w:rPr>
        <w:t xml:space="preserve"> plusieurs organes simultanément</w:t>
      </w:r>
      <w:r w:rsidR="00466F90">
        <w:rPr>
          <w:rFonts w:cs="Times New Roman"/>
        </w:rPr>
        <w:t xml:space="preserve">. </w:t>
      </w:r>
    </w:p>
    <w:p w14:paraId="746F9F8C" w14:textId="51B78EE1" w:rsidR="00264D69" w:rsidRPr="00F8535E" w:rsidRDefault="00264D69" w:rsidP="00AD752E">
      <w:pPr>
        <w:spacing w:line="360" w:lineRule="auto"/>
        <w:jc w:val="both"/>
        <w:rPr>
          <w:rFonts w:cs="Times New Roman"/>
          <w:b/>
          <w:bCs/>
        </w:rPr>
      </w:pPr>
      <w:r w:rsidRPr="00F8535E">
        <w:rPr>
          <w:rFonts w:cs="Times New Roman"/>
          <w:b/>
          <w:bCs/>
        </w:rPr>
        <w:t>Symptôme</w:t>
      </w:r>
    </w:p>
    <w:p w14:paraId="04F25A25" w14:textId="5CC2F8A1" w:rsidR="00264D69" w:rsidRPr="00F8535E" w:rsidRDefault="00F8535E" w:rsidP="00AD752E">
      <w:pPr>
        <w:spacing w:line="360" w:lineRule="auto"/>
        <w:jc w:val="both"/>
        <w:rPr>
          <w:rFonts w:cs="Times New Roman"/>
          <w:b/>
          <w:bCs/>
        </w:rPr>
      </w:pPr>
      <w:r w:rsidRPr="00F8535E">
        <w:rPr>
          <w:rFonts w:cs="Times New Roman"/>
          <w:b/>
          <w:bCs/>
        </w:rPr>
        <w:t>Diagnostique</w:t>
      </w:r>
    </w:p>
    <w:p w14:paraId="45ADF136" w14:textId="30F9D276" w:rsidR="00F8535E" w:rsidRDefault="00F8535E" w:rsidP="00AD752E">
      <w:pPr>
        <w:spacing w:line="360" w:lineRule="auto"/>
        <w:jc w:val="both"/>
        <w:rPr>
          <w:rFonts w:cs="Times New Roman"/>
        </w:rPr>
      </w:pPr>
      <w:r>
        <w:rPr>
          <w:rFonts w:cs="Times New Roman"/>
        </w:rPr>
        <w:t xml:space="preserve">Chez les enfants, il est difficile de différencier son diagnostic des autres microangiopathies thrombotiques. </w:t>
      </w:r>
    </w:p>
    <w:p w14:paraId="33EFDBF2" w14:textId="04B1A0FC" w:rsidR="00F8535E" w:rsidRDefault="00F8535E" w:rsidP="00AD752E">
      <w:pPr>
        <w:spacing w:line="360" w:lineRule="auto"/>
        <w:jc w:val="both"/>
        <w:rPr>
          <w:rFonts w:cs="Times New Roman"/>
          <w:b/>
          <w:bCs/>
        </w:rPr>
      </w:pPr>
      <w:r w:rsidRPr="00F8535E">
        <w:rPr>
          <w:rFonts w:cs="Times New Roman"/>
          <w:b/>
          <w:bCs/>
        </w:rPr>
        <w:t>Traitement</w:t>
      </w:r>
    </w:p>
    <w:p w14:paraId="227B49A2" w14:textId="07BA2F17" w:rsidR="00F8535E" w:rsidRDefault="00106AFB" w:rsidP="00AD752E">
      <w:pPr>
        <w:spacing w:line="360" w:lineRule="auto"/>
        <w:jc w:val="both"/>
        <w:rPr>
          <w:rFonts w:cs="Times New Roman"/>
        </w:rPr>
      </w:pPr>
      <w:r>
        <w:rPr>
          <w:rFonts w:cs="Times New Roman"/>
        </w:rPr>
        <w:t xml:space="preserve">Pour la phase aigüe, le premier traitement est la </w:t>
      </w:r>
      <w:proofErr w:type="spellStart"/>
      <w:r w:rsidRPr="00106AFB">
        <w:rPr>
          <w:rFonts w:cs="Times New Roman"/>
        </w:rPr>
        <w:t>plasmathérapie</w:t>
      </w:r>
      <w:proofErr w:type="spellEnd"/>
      <w:r>
        <w:rPr>
          <w:rFonts w:cs="Times New Roman"/>
        </w:rPr>
        <w:t xml:space="preserve">. Pour la forme héréditaire, le patient subit une </w:t>
      </w:r>
      <w:proofErr w:type="spellStart"/>
      <w:r w:rsidRPr="00106AFB">
        <w:rPr>
          <w:rFonts w:cs="Times New Roman"/>
        </w:rPr>
        <w:t>plasmathérapie</w:t>
      </w:r>
      <w:proofErr w:type="spellEnd"/>
      <w:r w:rsidRPr="00106AFB">
        <w:rPr>
          <w:rFonts w:cs="Times New Roman"/>
        </w:rPr>
        <w:t xml:space="preserve"> prophylactique</w:t>
      </w:r>
      <w:r w:rsidR="00B7578F">
        <w:rPr>
          <w:rFonts w:cs="Times New Roman"/>
        </w:rPr>
        <w:t xml:space="preserve"> qui consiste à </w:t>
      </w:r>
      <w:r w:rsidR="00B7578F" w:rsidRPr="00B7578F">
        <w:rPr>
          <w:rFonts w:cs="Times New Roman"/>
        </w:rPr>
        <w:t>administrer du plasma à des patients atteints de cette maladie</w:t>
      </w:r>
      <w:r w:rsidR="00B7578F">
        <w:rPr>
          <w:rFonts w:cs="Times New Roman"/>
        </w:rPr>
        <w:t>. Mais, pour la forme auto-immunes, on fait recours à un traitement additionnel qu’est le</w:t>
      </w:r>
      <w:r w:rsidR="00B7578F" w:rsidRPr="00B7578F">
        <w:rPr>
          <w:rFonts w:cs="Times New Roman"/>
        </w:rPr>
        <w:t xml:space="preserve"> rituximab</w:t>
      </w:r>
      <w:r w:rsidR="00B7578F">
        <w:rPr>
          <w:rFonts w:cs="Times New Roman"/>
        </w:rPr>
        <w:t xml:space="preserve">. </w:t>
      </w:r>
    </w:p>
    <w:p w14:paraId="2582021B" w14:textId="5A825F3E" w:rsidR="0062701A" w:rsidRDefault="0062701A" w:rsidP="00AD752E">
      <w:pPr>
        <w:spacing w:line="360" w:lineRule="auto"/>
        <w:jc w:val="both"/>
        <w:rPr>
          <w:rFonts w:cs="Times New Roman"/>
        </w:rPr>
      </w:pPr>
      <w:r>
        <w:rPr>
          <w:rFonts w:cs="Times New Roman"/>
        </w:rPr>
        <w:t xml:space="preserve">Il est donc nécessaire de suivre l’activité d’ADAMTS13 chez les patients atteints du PTT, une rechute biologique fait appel à un traitement préemptif afin de prévenir les rechutes cliniques. </w:t>
      </w:r>
    </w:p>
    <w:p w14:paraId="07C0E7B9" w14:textId="36686208" w:rsidR="009F00EE" w:rsidRDefault="009F00EE" w:rsidP="009F00EE">
      <w:pPr>
        <w:spacing w:line="360" w:lineRule="auto"/>
        <w:jc w:val="both"/>
        <w:rPr>
          <w:rFonts w:cs="Times New Roman"/>
          <w:b/>
          <w:bCs/>
        </w:rPr>
      </w:pPr>
      <w:r w:rsidRPr="009F00EE">
        <w:rPr>
          <w:rFonts w:cs="Times New Roman"/>
          <w:b/>
          <w:bCs/>
        </w:rPr>
        <w:t>Facteur Willebrand</w:t>
      </w:r>
      <w:r w:rsidR="005838A7">
        <w:rPr>
          <w:rFonts w:cs="Times New Roman"/>
          <w:b/>
          <w:bCs/>
        </w:rPr>
        <w:t xml:space="preserve"> (</w:t>
      </w:r>
      <w:r w:rsidR="005838A7" w:rsidRPr="005838A7">
        <w:rPr>
          <w:rFonts w:cs="Times New Roman"/>
          <w:b/>
          <w:bCs/>
        </w:rPr>
        <w:t>VWF</w:t>
      </w:r>
      <w:r w:rsidR="005838A7">
        <w:rPr>
          <w:rFonts w:cs="Times New Roman"/>
          <w:b/>
          <w:bCs/>
        </w:rPr>
        <w:t>)</w:t>
      </w:r>
    </w:p>
    <w:p w14:paraId="69F64F18" w14:textId="5D864058" w:rsidR="005838A7" w:rsidRDefault="005838A7" w:rsidP="009F00EE">
      <w:pPr>
        <w:spacing w:line="360" w:lineRule="auto"/>
        <w:jc w:val="both"/>
        <w:rPr>
          <w:rFonts w:cs="Times New Roman"/>
        </w:rPr>
      </w:pPr>
      <w:r>
        <w:rPr>
          <w:rFonts w:cs="Times New Roman"/>
        </w:rPr>
        <w:t xml:space="preserve">C’est une glycoprotéine secrétée par les cellules endothéliales et les </w:t>
      </w:r>
      <w:proofErr w:type="spellStart"/>
      <w:r>
        <w:rPr>
          <w:rFonts w:cs="Times New Roman"/>
        </w:rPr>
        <w:t>mégacaryotiques</w:t>
      </w:r>
      <w:proofErr w:type="spellEnd"/>
      <w:r>
        <w:rPr>
          <w:rFonts w:cs="Times New Roman"/>
        </w:rPr>
        <w:t xml:space="preserve">, il est indispensable dans la formation des thrombus grâce à l’adhésion des plaquettes au sous-endothélium (en cas de </w:t>
      </w:r>
      <w:r w:rsidRPr="005838A7">
        <w:rPr>
          <w:rFonts w:cs="Times New Roman"/>
        </w:rPr>
        <w:t>lésion vasculaire</w:t>
      </w:r>
      <w:r>
        <w:rPr>
          <w:rFonts w:cs="Times New Roman"/>
        </w:rPr>
        <w:t xml:space="preserve">). </w:t>
      </w:r>
    </w:p>
    <w:p w14:paraId="4A3BC602" w14:textId="1298301A" w:rsidR="00453E85" w:rsidRDefault="00453E85" w:rsidP="009F00EE">
      <w:pPr>
        <w:spacing w:line="360" w:lineRule="auto"/>
        <w:jc w:val="both"/>
        <w:rPr>
          <w:rFonts w:cs="Times New Roman"/>
          <w:b/>
          <w:bCs/>
        </w:rPr>
      </w:pPr>
      <w:r w:rsidRPr="00453E85">
        <w:rPr>
          <w:rFonts w:cs="Times New Roman"/>
          <w:b/>
          <w:bCs/>
        </w:rPr>
        <w:t>Apparition du PTT</w:t>
      </w:r>
    </w:p>
    <w:p w14:paraId="685F7494" w14:textId="251B4157" w:rsidR="00453E85" w:rsidRDefault="00453E85" w:rsidP="009F00EE">
      <w:pPr>
        <w:spacing w:line="360" w:lineRule="auto"/>
        <w:jc w:val="both"/>
        <w:rPr>
          <w:rFonts w:cs="Times New Roman"/>
        </w:rPr>
      </w:pPr>
      <w:r>
        <w:rPr>
          <w:rFonts w:cs="Times New Roman"/>
        </w:rPr>
        <w:lastRenderedPageBreak/>
        <w:t xml:space="preserve">Le premier cas du PTT a été détecté en 1924 par </w:t>
      </w:r>
      <w:proofErr w:type="spellStart"/>
      <w:r>
        <w:rPr>
          <w:rFonts w:cs="Times New Roman"/>
        </w:rPr>
        <w:t>Moschcowitz</w:t>
      </w:r>
      <w:proofErr w:type="spellEnd"/>
      <w:r>
        <w:rPr>
          <w:rFonts w:cs="Times New Roman"/>
        </w:rPr>
        <w:t xml:space="preserve"> chez une fille âgée de 16 ans.</w:t>
      </w:r>
    </w:p>
    <w:p w14:paraId="08250EEC" w14:textId="77777777" w:rsidR="00453E85" w:rsidRPr="00453E85" w:rsidRDefault="00453E85" w:rsidP="009F00EE">
      <w:pPr>
        <w:spacing w:line="360" w:lineRule="auto"/>
        <w:jc w:val="both"/>
        <w:rPr>
          <w:rFonts w:cs="Times New Roman"/>
        </w:rPr>
      </w:pPr>
    </w:p>
    <w:p w14:paraId="6E10679F" w14:textId="77777777" w:rsidR="009F00EE" w:rsidRPr="009F00EE" w:rsidRDefault="009F00EE" w:rsidP="009F00EE">
      <w:pPr>
        <w:spacing w:line="360" w:lineRule="auto"/>
        <w:jc w:val="both"/>
        <w:rPr>
          <w:rFonts w:cs="Times New Roman"/>
          <w:b/>
          <w:bCs/>
        </w:rPr>
      </w:pPr>
    </w:p>
    <w:p w14:paraId="6D98A579" w14:textId="77777777" w:rsidR="0062701A" w:rsidRPr="00106AFB" w:rsidRDefault="0062701A" w:rsidP="00AD752E">
      <w:pPr>
        <w:spacing w:line="360" w:lineRule="auto"/>
        <w:jc w:val="both"/>
        <w:rPr>
          <w:rFonts w:cs="Times New Roman"/>
        </w:rPr>
      </w:pPr>
    </w:p>
    <w:p w14:paraId="2B78A04E" w14:textId="77777777" w:rsidR="00F8535E" w:rsidRDefault="00F8535E" w:rsidP="00AD752E">
      <w:pPr>
        <w:spacing w:line="360" w:lineRule="auto"/>
        <w:jc w:val="both"/>
        <w:rPr>
          <w:rFonts w:cs="Times New Roman"/>
        </w:rPr>
      </w:pPr>
    </w:p>
    <w:p w14:paraId="726872E1" w14:textId="77777777" w:rsidR="00AE33A4" w:rsidRDefault="00AE33A4" w:rsidP="00AD752E">
      <w:pPr>
        <w:spacing w:line="360" w:lineRule="auto"/>
        <w:jc w:val="both"/>
        <w:rPr>
          <w:rFonts w:cs="Times New Roman"/>
        </w:rPr>
      </w:pPr>
    </w:p>
    <w:p w14:paraId="4EA46779" w14:textId="77777777" w:rsidR="00D67417" w:rsidRPr="00F87516" w:rsidRDefault="00D67417" w:rsidP="00AD752E">
      <w:pPr>
        <w:spacing w:line="360" w:lineRule="auto"/>
        <w:jc w:val="both"/>
        <w:rPr>
          <w:rFonts w:cs="Times New Roman"/>
        </w:rPr>
      </w:pPr>
    </w:p>
    <w:sectPr w:rsidR="00D67417" w:rsidRPr="00F875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0DADD" w14:textId="77777777" w:rsidR="00B42A5F" w:rsidRDefault="00B42A5F" w:rsidP="00B56032">
      <w:pPr>
        <w:spacing w:after="0" w:line="240" w:lineRule="auto"/>
      </w:pPr>
      <w:r>
        <w:separator/>
      </w:r>
    </w:p>
  </w:endnote>
  <w:endnote w:type="continuationSeparator" w:id="0">
    <w:p w14:paraId="1034EEEF" w14:textId="77777777" w:rsidR="00B42A5F" w:rsidRDefault="00B42A5F" w:rsidP="00B560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22242" w14:textId="77777777" w:rsidR="00B42A5F" w:rsidRDefault="00B42A5F" w:rsidP="00B56032">
      <w:pPr>
        <w:spacing w:after="0" w:line="240" w:lineRule="auto"/>
      </w:pPr>
      <w:r>
        <w:separator/>
      </w:r>
    </w:p>
  </w:footnote>
  <w:footnote w:type="continuationSeparator" w:id="0">
    <w:p w14:paraId="510F69E8" w14:textId="77777777" w:rsidR="00B42A5F" w:rsidRDefault="00B42A5F" w:rsidP="00B56032">
      <w:pPr>
        <w:spacing w:after="0" w:line="240" w:lineRule="auto"/>
      </w:pPr>
      <w:r>
        <w:continuationSeparator/>
      </w:r>
    </w:p>
  </w:footnote>
  <w:footnote w:id="1">
    <w:p w14:paraId="6DD59130" w14:textId="35C57F9C" w:rsidR="00B56032" w:rsidRDefault="00B56032">
      <w:pPr>
        <w:pStyle w:val="Notedebasdepage"/>
      </w:pPr>
      <w:r>
        <w:rPr>
          <w:rStyle w:val="Appelnotedebasdep"/>
        </w:rPr>
        <w:footnoteRef/>
      </w:r>
      <w:r>
        <w:t xml:space="preserve"> </w:t>
      </w:r>
      <w:hyperlink r:id="rId1" w:history="1">
        <w:r w:rsidRPr="00A8563E">
          <w:rPr>
            <w:rStyle w:val="Lienhypertexte"/>
          </w:rPr>
          <w:t>https://www.sciencedirect.com/science/article/abs/pii/S2213467017300580</w:t>
        </w:r>
      </w:hyperlink>
    </w:p>
    <w:p w14:paraId="32ABB3D3" w14:textId="77777777" w:rsidR="00B56032" w:rsidRDefault="00B56032">
      <w:pPr>
        <w:pStyle w:val="Notedebasdepage"/>
      </w:pPr>
    </w:p>
  </w:footnote>
  <w:footnote w:id="2">
    <w:p w14:paraId="2F2F0052" w14:textId="054CD597" w:rsidR="00933443" w:rsidRDefault="00933443">
      <w:pPr>
        <w:pStyle w:val="Notedebasdepage"/>
      </w:pPr>
      <w:r>
        <w:rPr>
          <w:rStyle w:val="Appelnotedebasdep"/>
        </w:rPr>
        <w:footnoteRef/>
      </w:r>
      <w:r>
        <w:t xml:space="preserve"> </w:t>
      </w:r>
      <w:hyperlink r:id="rId2" w:history="1">
        <w:r w:rsidRPr="00A8563E">
          <w:rPr>
            <w:rStyle w:val="Lienhypertexte"/>
          </w:rPr>
          <w:t>https://stm.cairn.info/revue-hematologie-2021-4-page-188?tab=texte-integral</w:t>
        </w:r>
      </w:hyperlink>
    </w:p>
    <w:p w14:paraId="612B9305" w14:textId="77777777" w:rsidR="00933443" w:rsidRDefault="00933443">
      <w:pPr>
        <w:pStyle w:val="Notedebasdepage"/>
      </w:pPr>
    </w:p>
  </w:footnote>
  <w:footnote w:id="3">
    <w:p w14:paraId="4F89D9C1" w14:textId="26A72B54" w:rsidR="00933443" w:rsidRDefault="00933443">
      <w:pPr>
        <w:pStyle w:val="Notedebasdepage"/>
      </w:pPr>
      <w:r>
        <w:rPr>
          <w:rStyle w:val="Appelnotedebasdep"/>
        </w:rPr>
        <w:footnoteRef/>
      </w:r>
      <w:r>
        <w:t xml:space="preserve"> </w:t>
      </w:r>
      <w:hyperlink r:id="rId3" w:history="1">
        <w:r w:rsidRPr="00A8563E">
          <w:rPr>
            <w:rStyle w:val="Lienhypertexte"/>
          </w:rPr>
          <w:t>https://www.sciencedirect.com/science/article/abs/pii/S024886630000223X</w:t>
        </w:r>
      </w:hyperlink>
    </w:p>
    <w:p w14:paraId="267A09E5" w14:textId="77777777" w:rsidR="00933443" w:rsidRDefault="00933443">
      <w:pPr>
        <w:pStyle w:val="Notedebasdepage"/>
      </w:pPr>
    </w:p>
  </w:footnote>
  <w:footnote w:id="4">
    <w:p w14:paraId="019622C7" w14:textId="77C0E8AF" w:rsidR="00315014" w:rsidRDefault="007B3D0D">
      <w:pPr>
        <w:pStyle w:val="Notedebasdepage"/>
      </w:pPr>
      <w:r>
        <w:rPr>
          <w:rStyle w:val="Appelnotedebasdep"/>
        </w:rPr>
        <w:footnoteRef/>
      </w:r>
      <w:r>
        <w:t xml:space="preserve"> </w:t>
      </w:r>
      <w:hyperlink r:id="rId4" w:history="1">
        <w:r w:rsidRPr="00A8563E">
          <w:rPr>
            <w:rStyle w:val="Lienhypertexte"/>
          </w:rPr>
          <w:t>https://www.sciencedirect.com/science/article/abs/pii/S1624069308000546</w:t>
        </w:r>
      </w:hyperlink>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60F"/>
    <w:rsid w:val="00106AFB"/>
    <w:rsid w:val="002140A0"/>
    <w:rsid w:val="00254704"/>
    <w:rsid w:val="00264D69"/>
    <w:rsid w:val="002F0B74"/>
    <w:rsid w:val="00315014"/>
    <w:rsid w:val="00331B82"/>
    <w:rsid w:val="00453E85"/>
    <w:rsid w:val="00466F90"/>
    <w:rsid w:val="004952EF"/>
    <w:rsid w:val="005838A7"/>
    <w:rsid w:val="005A0FFF"/>
    <w:rsid w:val="005B2446"/>
    <w:rsid w:val="005F24F7"/>
    <w:rsid w:val="0062701A"/>
    <w:rsid w:val="006E7D5A"/>
    <w:rsid w:val="006F5CDA"/>
    <w:rsid w:val="007B3D0D"/>
    <w:rsid w:val="007F59E7"/>
    <w:rsid w:val="008222BF"/>
    <w:rsid w:val="00933443"/>
    <w:rsid w:val="009F00EE"/>
    <w:rsid w:val="00AD752E"/>
    <w:rsid w:val="00AE33A4"/>
    <w:rsid w:val="00B41BEE"/>
    <w:rsid w:val="00B42A5F"/>
    <w:rsid w:val="00B45F49"/>
    <w:rsid w:val="00B56032"/>
    <w:rsid w:val="00B7578F"/>
    <w:rsid w:val="00B82B5E"/>
    <w:rsid w:val="00BB360F"/>
    <w:rsid w:val="00C078BB"/>
    <w:rsid w:val="00CC4BEA"/>
    <w:rsid w:val="00D67417"/>
    <w:rsid w:val="00DB25E0"/>
    <w:rsid w:val="00F4194E"/>
    <w:rsid w:val="00F8535E"/>
    <w:rsid w:val="00F8751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527FC"/>
  <w15:chartTrackingRefBased/>
  <w15:docId w15:val="{A94DF49E-80FB-44FC-959E-4E9A1C2FF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1B82"/>
    <w:rPr>
      <w:rFonts w:ascii="Times New Roman" w:hAnsi="Times New Roman"/>
      <w:kern w:val="0"/>
      <w:sz w:val="24"/>
      <w14:ligatures w14:val="none"/>
    </w:rPr>
  </w:style>
  <w:style w:type="paragraph" w:styleId="Titre3">
    <w:name w:val="heading 3"/>
    <w:basedOn w:val="Normal"/>
    <w:next w:val="Normal"/>
    <w:link w:val="Titre3Car"/>
    <w:autoRedefine/>
    <w:uiPriority w:val="9"/>
    <w:unhideWhenUsed/>
    <w:qFormat/>
    <w:rsid w:val="007F59E7"/>
    <w:pPr>
      <w:keepNext/>
      <w:keepLines/>
      <w:spacing w:before="120" w:after="120"/>
      <w:outlineLvl w:val="2"/>
    </w:pPr>
    <w:rPr>
      <w:rFonts w:eastAsiaTheme="majorEastAsia" w:cstheme="majorBidi"/>
      <w:b/>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basedOn w:val="Policepardfaut"/>
    <w:link w:val="Titre3"/>
    <w:uiPriority w:val="9"/>
    <w:rsid w:val="007F59E7"/>
    <w:rPr>
      <w:rFonts w:ascii="Times New Roman" w:eastAsiaTheme="majorEastAsia" w:hAnsi="Times New Roman" w:cstheme="majorBidi"/>
      <w:b/>
      <w:sz w:val="24"/>
      <w:szCs w:val="24"/>
    </w:rPr>
  </w:style>
  <w:style w:type="paragraph" w:styleId="Notedebasdepage">
    <w:name w:val="footnote text"/>
    <w:basedOn w:val="Normal"/>
    <w:link w:val="NotedebasdepageCar"/>
    <w:uiPriority w:val="99"/>
    <w:semiHidden/>
    <w:unhideWhenUsed/>
    <w:rsid w:val="00B56032"/>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B56032"/>
    <w:rPr>
      <w:rFonts w:ascii="Times New Roman" w:hAnsi="Times New Roman"/>
      <w:kern w:val="0"/>
      <w:sz w:val="20"/>
      <w:szCs w:val="20"/>
      <w14:ligatures w14:val="none"/>
    </w:rPr>
  </w:style>
  <w:style w:type="character" w:styleId="Appelnotedebasdep">
    <w:name w:val="footnote reference"/>
    <w:basedOn w:val="Policepardfaut"/>
    <w:uiPriority w:val="99"/>
    <w:semiHidden/>
    <w:unhideWhenUsed/>
    <w:rsid w:val="00B56032"/>
    <w:rPr>
      <w:vertAlign w:val="superscript"/>
    </w:rPr>
  </w:style>
  <w:style w:type="character" w:styleId="Lienhypertexte">
    <w:name w:val="Hyperlink"/>
    <w:basedOn w:val="Policepardfaut"/>
    <w:uiPriority w:val="99"/>
    <w:unhideWhenUsed/>
    <w:rsid w:val="00B56032"/>
    <w:rPr>
      <w:color w:val="0563C1" w:themeColor="hyperlink"/>
      <w:u w:val="single"/>
    </w:rPr>
  </w:style>
  <w:style w:type="character" w:styleId="Mentionnonrsolue">
    <w:name w:val="Unresolved Mention"/>
    <w:basedOn w:val="Policepardfaut"/>
    <w:uiPriority w:val="99"/>
    <w:semiHidden/>
    <w:unhideWhenUsed/>
    <w:rsid w:val="00B560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244072">
      <w:bodyDiv w:val="1"/>
      <w:marLeft w:val="0"/>
      <w:marRight w:val="0"/>
      <w:marTop w:val="0"/>
      <w:marBottom w:val="0"/>
      <w:divBdr>
        <w:top w:val="none" w:sz="0" w:space="0" w:color="auto"/>
        <w:left w:val="none" w:sz="0" w:space="0" w:color="auto"/>
        <w:bottom w:val="none" w:sz="0" w:space="0" w:color="auto"/>
        <w:right w:val="none" w:sz="0" w:space="0" w:color="auto"/>
      </w:divBdr>
    </w:div>
    <w:div w:id="1897428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www.sciencedirect.com/science/article/abs/pii/S024886630000223X" TargetMode="External"/><Relationship Id="rId2" Type="http://schemas.openxmlformats.org/officeDocument/2006/relationships/hyperlink" Target="https://stm.cairn.info/revue-hematologie-2021-4-page-188?tab=texte-integral" TargetMode="External"/><Relationship Id="rId1" Type="http://schemas.openxmlformats.org/officeDocument/2006/relationships/hyperlink" Target="https://www.sciencedirect.com/science/article/abs/pii/S2213467017300580" TargetMode="External"/><Relationship Id="rId4" Type="http://schemas.openxmlformats.org/officeDocument/2006/relationships/hyperlink" Target="https://www.sciencedirect.com/science/article/abs/pii/S1624069308000546"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3431C-1B28-43E3-BB57-F90B67A6F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596</TotalTime>
  <Pages>3</Pages>
  <Words>499</Words>
  <Characters>2749</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AHOUETOGNON</dc:creator>
  <cp:keywords/>
  <dc:description/>
  <cp:lastModifiedBy>Martin AHOUETOGNON</cp:lastModifiedBy>
  <cp:revision>16</cp:revision>
  <dcterms:created xsi:type="dcterms:W3CDTF">2025-01-07T15:24:00Z</dcterms:created>
  <dcterms:modified xsi:type="dcterms:W3CDTF">2025-01-08T10:15:00Z</dcterms:modified>
</cp:coreProperties>
</file>