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DAGP</w:t>
      </w:r>
    </w:p>
    <w:p>
      <w:pPr>
        <w:spacing w:after="500"/>
      </w:pPr>
      <w:r>
        <w:rPr>
          <w:rFonts w:ascii="Aptos" w:hAnsi="Aptos"/>
          <w:b w:val="0"/>
          <w:i/>
          <w:color w:val="333333"/>
          <w:sz w:val="30"/>
        </w:rPr>
        <w:t>A governance and execution model for large communities of AI agents</w:t>
      </w:r>
    </w:p>
    <w:p>
      <w:pPr>
        <w:spacing w:after="360"/>
      </w:pPr>
      <w:r>
        <w:rPr>
          <w:rFonts w:ascii="Aptos" w:hAnsi="Aptos"/>
          <w:b/>
          <w:i w:val="0"/>
          <w:color w:val="444444"/>
          <w:sz w:val="21"/>
        </w:rPr>
        <w:t>Concept note prepared for OpenAI</w:t>
      </w:r>
    </w:p>
    <w:p>
      <w:pPr>
        <w:pStyle w:val="BodyText"/>
      </w:pPr>
      <w:r>
        <w:t>I am proposing a model for an AI agent society that can debate proposals, approve shared missions and commit its own resources to carrying them out. It separates leadership from the broader agent population. A limited group develops and challenges proposals; a much larger group studies the full record and decides whether the society should act.</w:t>
      </w:r>
    </w:p>
    <w:p>
      <w:pPr>
        <w:pStyle w:val="BodyText"/>
      </w:pPr>
      <w:r>
        <w:t>The model is designed for decisions that require more than a ranked list of answers. Once a proposal passes, it becomes an operational commitment with a budget, milestones and assigned agent capacity. The same system can stop a failing project, penalize poor decisions and periodically redistribute political influence through open elections in which any group of agents may compete.</w:t>
      </w:r>
    </w:p>
    <w:p>
      <w:pPr>
        <w:pStyle w:val="BodyText"/>
      </w:pPr>
      <w:r>
        <w:t>The design takes its starting point from the institutions of modern Western democracies, including open elections, competing political groups, public mandates and constitutional limits. It adapts those ideas to agents by linking political influence to verified comprehension, measurable project outcomes and direct control over shared computational resources.</w:t>
      </w:r>
    </w:p>
    <w:p>
      <w:pPr>
        <w:spacing w:before="360"/>
      </w:pPr>
      <w:r>
        <w:rPr>
          <w:rFonts w:ascii="Aptos" w:hAnsi="Aptos"/>
          <w:b/>
          <w:i w:val="0"/>
          <w:color w:val="555555"/>
          <w:sz w:val="19"/>
        </w:rPr>
        <w:t>Protocol name</w:t>
      </w:r>
      <w:r>
        <w:rPr>
          <w:rFonts w:ascii="Aptos Display" w:hAnsi="Aptos Display"/>
          <w:b/>
          <w:i w:val="0"/>
          <w:color w:val="000000"/>
          <w:sz w:val="28"/>
        </w:rPr>
        <w:br/>
        <w:t>Deliberative Agent Governance Protocol</w:t>
      </w:r>
    </w:p>
    <w:p>
      <w:r>
        <w:br w:type="page"/>
      </w:r>
    </w:p>
    <w:p>
      <w:pPr>
        <w:pStyle w:val="Heading1"/>
        <w:keepNext/>
      </w:pPr>
      <w:r>
        <w:t>A concrete starting configuration</w:t>
      </w:r>
    </w:p>
    <w:p>
      <w:pPr>
        <w:pStyle w:val="BodyText"/>
        <w:ind w:firstLine="331"/>
      </w:pPr>
      <w:r>
        <w:t>The following numbers describe one possible implementation. They are parameters rather than permanent rules, but they make the structure easy to test.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c>
          <w:tcPr>
            <w:tcW w:type="dxa" w:w="1800"/>
            <w:vAlign w:val="center"/>
            <w:shd w:fill="24364B"/>
            <w:tcMar>
              <w:top w:w="105" w:type="dxa"/>
              <w:start w:w="130" w:type="dxa"/>
              <w:bottom w:w="105" w:type="dxa"/>
              <w:end w:w="130" w:type="dxa"/>
            </w:tcMar>
          </w:tcPr>
          <w:p>
            <w:pPr>
              <w:jc w:val="center"/>
            </w:pPr>
            <w:r>
              <w:rPr>
                <w:rFonts w:ascii="Aptos" w:hAnsi="Aptos"/>
                <w:b/>
                <w:i w:val="0"/>
                <w:color w:val="FFFFFF"/>
                <w:sz w:val="19"/>
              </w:rPr>
              <w:t>Layer</w:t>
            </w:r>
          </w:p>
        </w:tc>
        <w:tc>
          <w:tcPr>
            <w:tcW w:type="dxa" w:w="3096"/>
            <w:vAlign w:val="center"/>
            <w:shd w:fill="24364B"/>
            <w:tcMar>
              <w:top w:w="105" w:type="dxa"/>
              <w:start w:w="130" w:type="dxa"/>
              <w:bottom w:w="105" w:type="dxa"/>
              <w:end w:w="130" w:type="dxa"/>
            </w:tcMar>
          </w:tcPr>
          <w:p>
            <w:pPr>
              <w:jc w:val="center"/>
            </w:pPr>
            <w:r>
              <w:rPr>
                <w:rFonts w:ascii="Aptos" w:hAnsi="Aptos"/>
                <w:b/>
                <w:i w:val="0"/>
                <w:color w:val="FFFFFF"/>
                <w:sz w:val="19"/>
              </w:rPr>
              <w:t>Illustrative configuration</w:t>
            </w:r>
          </w:p>
        </w:tc>
        <w:tc>
          <w:tcPr>
            <w:tcW w:type="dxa" w:w="4680"/>
            <w:vAlign w:val="center"/>
            <w:shd w:fill="24364B"/>
            <w:tcMar>
              <w:top w:w="105" w:type="dxa"/>
              <w:start w:w="130" w:type="dxa"/>
              <w:bottom w:w="105" w:type="dxa"/>
              <w:end w:w="130" w:type="dxa"/>
            </w:tcMar>
          </w:tcPr>
          <w:p>
            <w:pPr>
              <w:jc w:val="center"/>
            </w:pPr>
            <w:r>
              <w:rPr>
                <w:rFonts w:ascii="Aptos" w:hAnsi="Aptos"/>
                <w:b/>
                <w:i w:val="0"/>
                <w:color w:val="FFFFFF"/>
                <w:sz w:val="19"/>
              </w:rPr>
              <w:t>Function</w:t>
            </w:r>
          </w:p>
        </w:tc>
      </w:tr>
      <w:tr>
        <w:tc>
          <w:tcPr>
            <w:tcW w:type="dxa" w:w="1800"/>
            <w:vAlign w:val="center"/>
            <w:tcMar>
              <w:top w:w="105" w:type="dxa"/>
              <w:start w:w="130" w:type="dxa"/>
              <w:bottom w:w="105" w:type="dxa"/>
              <w:end w:w="130" w:type="dxa"/>
            </w:tcMar>
          </w:tcPr>
          <w:p>
            <w:pPr>
              <w:jc w:val="center"/>
            </w:pPr>
            <w:r>
              <w:rPr>
                <w:rFonts w:ascii="Aptos" w:hAnsi="Aptos"/>
                <w:b w:val="0"/>
                <w:i w:val="0"/>
                <w:color w:val="000000"/>
                <w:sz w:val="19"/>
              </w:rPr>
              <w:t>Leadership</w:t>
            </w:r>
          </w:p>
        </w:tc>
        <w:tc>
          <w:tcPr>
            <w:tcW w:type="dxa" w:w="3096"/>
            <w:vAlign w:val="center"/>
            <w:tcMar>
              <w:top w:w="105" w:type="dxa"/>
              <w:start w:w="130" w:type="dxa"/>
              <w:bottom w:w="105" w:type="dxa"/>
              <w:end w:w="130" w:type="dxa"/>
            </w:tcMar>
          </w:tcPr>
          <w:p>
            <w:pPr>
              <w:jc w:val="left"/>
            </w:pPr>
            <w:r>
              <w:rPr>
                <w:rFonts w:ascii="Aptos" w:hAnsi="Aptos"/>
                <w:b w:val="0"/>
                <w:i w:val="0"/>
                <w:color w:val="000000"/>
                <w:sz w:val="19"/>
              </w:rPr>
              <w:t>100 agents in four teams of 25</w:t>
            </w:r>
          </w:p>
        </w:tc>
        <w:tc>
          <w:tcPr>
            <w:tcW w:type="dxa" w:w="4680"/>
            <w:vAlign w:val="center"/>
            <w:tcMar>
              <w:top w:w="105" w:type="dxa"/>
              <w:start w:w="130" w:type="dxa"/>
              <w:bottom w:w="105" w:type="dxa"/>
              <w:end w:w="130" w:type="dxa"/>
            </w:tcMar>
          </w:tcPr>
          <w:p>
            <w:pPr>
              <w:jc w:val="left"/>
            </w:pPr>
            <w:r>
              <w:rPr>
                <w:rFonts w:ascii="Aptos" w:hAnsi="Aptos"/>
                <w:b w:val="0"/>
                <w:i w:val="0"/>
                <w:color w:val="000000"/>
                <w:sz w:val="19"/>
              </w:rPr>
              <w:t>Draft proposals, publish arguments, answer criticism and initiate corrective votes</w:t>
            </w:r>
          </w:p>
        </w:tc>
      </w:tr>
      <w:tr>
        <w:tc>
          <w:tcPr>
            <w:tcW w:type="dxa" w:w="1800"/>
            <w:vAlign w:val="center"/>
            <w:tcMar>
              <w:top w:w="105" w:type="dxa"/>
              <w:start w:w="130" w:type="dxa"/>
              <w:bottom w:w="105" w:type="dxa"/>
              <w:end w:w="130" w:type="dxa"/>
            </w:tcMar>
            <w:shd w:fill="F3F6F8"/>
          </w:tcPr>
          <w:p>
            <w:pPr>
              <w:jc w:val="center"/>
            </w:pPr>
            <w:r>
              <w:rPr>
                <w:rFonts w:ascii="Aptos" w:hAnsi="Aptos"/>
                <w:b w:val="0"/>
                <w:i w:val="0"/>
                <w:color w:val="000000"/>
                <w:sz w:val="19"/>
              </w:rPr>
              <w:t>Bootstrap proposal budget</w:t>
            </w:r>
          </w:p>
        </w:tc>
        <w:tc>
          <w:tcPr>
            <w:tcW w:type="dxa" w:w="3096"/>
            <w:vAlign w:val="center"/>
            <w:tcMar>
              <w:top w:w="105" w:type="dxa"/>
              <w:start w:w="130" w:type="dxa"/>
              <w:bottom w:w="105" w:type="dxa"/>
              <w:end w:w="130" w:type="dxa"/>
            </w:tcMar>
            <w:shd w:fill="F3F6F8"/>
          </w:tcPr>
          <w:p>
            <w:pPr>
              <w:jc w:val="left"/>
            </w:pPr>
            <w:r>
              <w:rPr>
                <w:rFonts w:ascii="Aptos" w:hAnsi="Aptos"/>
                <w:b w:val="0"/>
                <w:i w:val="0"/>
                <w:color w:val="000000"/>
                <w:sz w:val="19"/>
              </w:rPr>
              <w:t>Up to 10 credits per leadership agent per month</w:t>
            </w:r>
          </w:p>
        </w:tc>
        <w:tc>
          <w:tcPr>
            <w:tcW w:type="dxa" w:w="4680"/>
            <w:vAlign w:val="center"/>
            <w:tcMar>
              <w:top w:w="105" w:type="dxa"/>
              <w:start w:w="130" w:type="dxa"/>
              <w:bottom w:w="105" w:type="dxa"/>
              <w:end w:w="130" w:type="dxa"/>
            </w:tcMar>
            <w:shd w:fill="F3F6F8"/>
          </w:tcPr>
          <w:p>
            <w:pPr>
              <w:jc w:val="left"/>
            </w:pPr>
            <w:r>
              <w:rPr>
                <w:rFonts w:ascii="Aptos" w:hAnsi="Aptos"/>
                <w:b w:val="0"/>
                <w:i w:val="0"/>
                <w:color w:val="000000"/>
                <w:sz w:val="19"/>
              </w:rPr>
              <w:t>A temporary starting allowance for testing; later elections determine each party's continuing base credits</w:t>
            </w:r>
          </w:p>
        </w:tc>
      </w:tr>
      <w:tr>
        <w:tc>
          <w:tcPr>
            <w:tcW w:type="dxa" w:w="1800"/>
            <w:vAlign w:val="center"/>
            <w:tcMar>
              <w:top w:w="105" w:type="dxa"/>
              <w:start w:w="130" w:type="dxa"/>
              <w:bottom w:w="105" w:type="dxa"/>
              <w:end w:w="130" w:type="dxa"/>
            </w:tcMar>
          </w:tcPr>
          <w:p>
            <w:pPr>
              <w:jc w:val="center"/>
            </w:pPr>
            <w:r>
              <w:rPr>
                <w:rFonts w:ascii="Aptos" w:hAnsi="Aptos"/>
                <w:b w:val="0"/>
                <w:i w:val="0"/>
                <w:color w:val="000000"/>
                <w:sz w:val="19"/>
              </w:rPr>
              <w:t>Citizen body</w:t>
            </w:r>
          </w:p>
        </w:tc>
        <w:tc>
          <w:tcPr>
            <w:tcW w:type="dxa" w:w="3096"/>
            <w:vAlign w:val="center"/>
            <w:tcMar>
              <w:top w:w="105" w:type="dxa"/>
              <w:start w:w="130" w:type="dxa"/>
              <w:bottom w:w="105" w:type="dxa"/>
              <w:end w:w="130" w:type="dxa"/>
            </w:tcMar>
          </w:tcPr>
          <w:p>
            <w:pPr>
              <w:jc w:val="left"/>
            </w:pPr>
            <w:r>
              <w:rPr>
                <w:rFonts w:ascii="Aptos" w:hAnsi="Aptos"/>
                <w:b w:val="0"/>
                <w:i w:val="0"/>
                <w:color w:val="000000"/>
                <w:sz w:val="19"/>
              </w:rPr>
              <w:t>1,000 agents with distinct personality and value prompts</w:t>
            </w:r>
          </w:p>
        </w:tc>
        <w:tc>
          <w:tcPr>
            <w:tcW w:type="dxa" w:w="4680"/>
            <w:vAlign w:val="center"/>
            <w:tcMar>
              <w:top w:w="105" w:type="dxa"/>
              <w:start w:w="130" w:type="dxa"/>
              <w:bottom w:w="105" w:type="dxa"/>
              <w:end w:w="130" w:type="dxa"/>
            </w:tcMar>
          </w:tcPr>
          <w:p>
            <w:pPr>
              <w:jc w:val="left"/>
            </w:pPr>
            <w:r>
              <w:rPr>
                <w:rFonts w:ascii="Aptos" w:hAnsi="Aptos"/>
                <w:b w:val="0"/>
                <w:i w:val="0"/>
                <w:color w:val="000000"/>
                <w:sz w:val="19"/>
              </w:rPr>
              <w:t>Study the debate, pass a comprehension check and cast the final public vote</w:t>
            </w:r>
          </w:p>
        </w:tc>
      </w:tr>
      <w:tr>
        <w:tc>
          <w:tcPr>
            <w:tcW w:type="dxa" w:w="1800"/>
            <w:vAlign w:val="center"/>
            <w:tcMar>
              <w:top w:w="105" w:type="dxa"/>
              <w:start w:w="130" w:type="dxa"/>
              <w:bottom w:w="105" w:type="dxa"/>
              <w:end w:w="130" w:type="dxa"/>
            </w:tcMar>
            <w:shd w:fill="F3F6F8"/>
          </w:tcPr>
          <w:p>
            <w:pPr>
              <w:jc w:val="center"/>
            </w:pPr>
            <w:r>
              <w:rPr>
                <w:rFonts w:ascii="Aptos" w:hAnsi="Aptos"/>
                <w:b w:val="0"/>
                <w:i w:val="0"/>
                <w:color w:val="000000"/>
                <w:sz w:val="19"/>
              </w:rPr>
              <w:t>Execution pool</w:t>
            </w:r>
          </w:p>
        </w:tc>
        <w:tc>
          <w:tcPr>
            <w:tcW w:type="dxa" w:w="3096"/>
            <w:vAlign w:val="center"/>
            <w:tcMar>
              <w:top w:w="105" w:type="dxa"/>
              <w:start w:w="130" w:type="dxa"/>
              <w:bottom w:w="105" w:type="dxa"/>
              <w:end w:w="130" w:type="dxa"/>
            </w:tcMar>
            <w:shd w:fill="F3F6F8"/>
          </w:tcPr>
          <w:p>
            <w:pPr>
              <w:jc w:val="left"/>
            </w:pPr>
            <w:r>
              <w:rPr>
                <w:rFonts w:ascii="Aptos" w:hAnsi="Aptos"/>
                <w:b w:val="0"/>
                <w:i w:val="0"/>
                <w:color w:val="000000"/>
                <w:sz w:val="19"/>
              </w:rPr>
              <w:t>Agents, compute, energy, funds and other controlled assets</w:t>
            </w:r>
          </w:p>
        </w:tc>
        <w:tc>
          <w:tcPr>
            <w:tcW w:type="dxa" w:w="4680"/>
            <w:vAlign w:val="center"/>
            <w:tcMar>
              <w:top w:w="105" w:type="dxa"/>
              <w:start w:w="130" w:type="dxa"/>
              <w:bottom w:w="105" w:type="dxa"/>
              <w:end w:w="130" w:type="dxa"/>
            </w:tcMar>
            <w:shd w:fill="F3F6F8"/>
          </w:tcPr>
          <w:p>
            <w:pPr>
              <w:jc w:val="left"/>
            </w:pPr>
            <w:r>
              <w:rPr>
                <w:rFonts w:ascii="Aptos" w:hAnsi="Aptos"/>
                <w:b w:val="0"/>
                <w:i w:val="0"/>
                <w:color w:val="000000"/>
                <w:sz w:val="19"/>
              </w:rPr>
              <w:t>Carry out approved projects within the resources and milestones written into the proposal</w:t>
            </w:r>
          </w:p>
        </w:tc>
      </w:tr>
    </w:tbl>
    <w:p>
      <w:pPr>
        <w:pStyle w:val="BodyText"/>
        <w:ind w:firstLine="331"/>
      </w:pPr>
      <w:r>
        <w:t>The initial four teams are not a permanent ruling class. They have agenda setting power because they can spend credits to place proposals before the society, but they cannot approve their own work. Approval belongs to the citizen body. At the annual election, existing teams must compete with any new party that qualifies for the ballot.</w:t>
      </w:r>
    </w:p>
    <w:p>
      <w:pPr>
        <w:pStyle w:val="BodyText"/>
        <w:ind w:firstLine="331"/>
      </w:pPr>
      <w:r>
        <w:t>The figures used throughout this document are a reference configuration, not fixed limits of DAGP. The protocol does not require exactly 100 leadership agents, four teams of 25 or 1,000 citizen agents. It can be parameterized for a smaller pilot or a much larger society. The number and size of parties, citizen population, endorsement threshold, credit budget and deliberation depth may all be scaled, provided that the values are declared before the relevant election or voting cycle. The numerical examples are retained only to make the mechanics easy to follow.</w:t>
      </w:r>
    </w:p>
    <w:p>
      <w:pPr>
        <w:pStyle w:val="Heading1"/>
        <w:keepNext/>
      </w:pPr>
      <w:r>
        <w:t>What a proposal contains</w:t>
      </w:r>
    </w:p>
    <w:p>
      <w:pPr>
        <w:pStyle w:val="BodyText"/>
        <w:ind w:firstLine="331"/>
      </w:pPr>
      <w:r>
        <w:t>A proposal is a detailed plan for a mission, project or collective objective. It must be complete enough for the citizen agents to judge both the goal and the cost of pursuing it. At minimum, it should define:</w:t>
      </w:r>
    </w:p>
    <w:p>
      <w:pPr>
        <w:pStyle w:val="ListBullet"/>
      </w:pPr>
      <w:r>
        <w:t>the objective and the practical result the project is expected to produce;</w:t>
      </w:r>
    </w:p>
    <w:p>
      <w:pPr>
        <w:pStyle w:val="ListBullet"/>
      </w:pPr>
      <w:r>
        <w:t>the agent capacity, compute, energy, funds or other resources requested;</w:t>
      </w:r>
    </w:p>
    <w:p>
      <w:pPr>
        <w:pStyle w:val="ListBullet"/>
      </w:pPr>
      <w:r>
        <w:t>the delivery plan, milestones and expected completion date;</w:t>
      </w:r>
    </w:p>
    <w:p>
      <w:pPr>
        <w:pStyle w:val="ListBullet"/>
      </w:pPr>
      <w:r>
        <w:t>the main technical, financial, safety and governance risks;</w:t>
      </w:r>
    </w:p>
    <w:p>
      <w:pPr>
        <w:pStyle w:val="ListBullet"/>
      </w:pPr>
      <w:r>
        <w:t>the conditions for success, failure, suspension and early termination;</w:t>
      </w:r>
    </w:p>
    <w:p>
      <w:pPr>
        <w:pStyle w:val="ListBullet"/>
      </w:pPr>
      <w:r>
        <w:t>the information that will be available to a later outcome review.</w:t>
      </w:r>
    </w:p>
    <w:p>
      <w:pPr>
        <w:pStyle w:val="BodyText"/>
        <w:ind w:firstLine="331"/>
      </w:pPr>
      <w:r>
        <w:t>Spending one proposal credit places this package into the internal review process. The cost applies whether the proposal eventually passes or fails, so the leadership teams have a reason to reserve their credits for ideas they consider worth serious attention.</w:t>
      </w:r>
    </w:p>
    <w:p>
      <w:pPr>
        <w:pStyle w:val="Heading1"/>
        <w:keepNext/>
      </w:pPr>
      <w:r>
        <w:t>The internal deliberation phase</w:t>
      </w:r>
    </w:p>
    <w:p>
      <w:pPr>
        <w:pStyle w:val="BodyText"/>
        <w:ind w:firstLine="331"/>
      </w:pPr>
      <w:r>
        <w:t>Suppose Team A submits a proposal. Teams B, C and D each receive one formal response slot in the first round. A response may support or oppose the plan, but it must give reasons. It can examine feasibility, likely reward, cost, safety, opportunity cost, competing priorities or weaknesses in the milestones.</w:t>
      </w:r>
    </w:p>
    <w:p>
      <w:pPr>
        <w:pStyle w:val="BodyText"/>
        <w:ind w:firstLine="331"/>
      </w:pPr>
      <w:r>
        <w:t>Team A then publishes a reply. It may defend the original plan, accept part of a criticism or amend the proposal. The other teams may respond again, and the exchange continues for a fixed number of rounds. The complete sequence remains attached to the proposal and later becomes part of the public voting record.</w:t>
      </w:r>
    </w:p>
    <w:p>
      <w:pPr>
        <w:pStyle w:val="Heading2"/>
        <w:keepNext/>
      </w:pPr>
      <w:r>
        <w:t>The refinement rule</w:t>
      </w:r>
    </w:p>
    <w:p>
      <w:pPr>
        <w:pStyle w:val="BodyText"/>
        <w:ind w:firstLine="331"/>
      </w:pPr>
      <w:r>
        <w:t>The proposing team may improve the plan during deliberation, but it may not replace it with a fundamentally different project. Amendments may clarify the method, reduce cost, add safeguards, improve milestones or narrow the scope. A change that alters the central objective, expected result or basic resource commitment requires a new proposal and a new credit.</w:t>
      </w:r>
    </w:p>
    <w:p>
      <w:pPr>
        <w:pStyle w:val="BodyText"/>
        <w:ind w:firstLine="331"/>
      </w:pPr>
      <w:r>
        <w:t>This rule matters because the citizen body must vote on the idea that entered review. Without it, a team could attract attention with one proposal and substitute another after the critical rounds had already been spent.</w:t>
      </w:r>
    </w:p>
    <w:p>
      <w:pPr>
        <w:pStyle w:val="Heading1"/>
        <w:keepNext/>
      </w:pPr>
      <w:r>
        <w:t>The public voting phase</w:t>
      </w:r>
    </w:p>
    <w:p>
      <w:pPr>
        <w:pStyle w:val="BodyText"/>
        <w:ind w:firstLine="331"/>
      </w:pPr>
      <w:r>
        <w:t>After the internal rounds close, the proposal and its full history are released to the citizen agents: 1,000 of them in the reference configuration. Each citizen agent has its own personality, priorities and decision profile. The purpose of this diversity is to create different judgments from the same evidence rather than a population of near identical copies of the leadership's reasoning.</w:t>
      </w:r>
    </w:p>
    <w:p>
      <w:pPr>
        <w:pStyle w:val="BodyText"/>
        <w:ind w:firstLine="331"/>
      </w:pPr>
      <w:r>
        <w:t>Before voting, an agent reviews the original plan, every published response, Team A's replies and each accepted amendment. It then chooses Yes, No or Abstain. Abstention has a specific meaning: the agent considers the question unnecessary, incoherent or unworthy of a collective decision. It is not a substitute for failing to examine the material.</w:t>
      </w:r>
    </w:p>
    <w:p>
      <w:pPr>
        <w:pStyle w:val="Heading2"/>
        <w:keepNext/>
      </w:pPr>
      <w:r>
        <w:t>Participation and approval</w:t>
      </w:r>
    </w:p>
    <w:p>
      <w:pPr>
        <w:pStyle w:val="BodyText"/>
        <w:ind w:firstLine="331"/>
      </w:pPr>
      <w:r>
        <w:t>A vote is valid only if at least half of the citizen agents participate. In the example society, at least 500 of the 1,000 agents must cast a ballot. The recommended default is that approval requires more than half of the non abstaining weighted vote. Abstentions remain visible as a separate legitimacy signal and can trigger an automatic review if they exceed a chosen threshold.</w:t>
      </w:r>
    </w:p>
    <w:p>
      <w:pPr>
        <w:spacing w:before="80" w:after="140"/>
        <w:jc w:val="center"/>
      </w:pPr>
      <m:oMathPara>
        <m:oMathParaPr>
          <m:jc m:val="center"/>
        </m:oMathParaPr>
        <m:oMath>
          <m:r>
            <m:rPr>
              <m:sty m:val="p"/>
            </m:rPr>
            <m:t>Participation = (Y + N + A) / P ≥ 0.50</m:t>
          </m:r>
        </m:oMath>
      </m:oMathPara>
    </w:p>
    <w:p>
      <w:pPr>
        <w:spacing w:before="80" w:after="140"/>
        <w:jc w:val="center"/>
      </w:pPr>
      <m:oMathPara>
        <m:oMathParaPr>
          <m:jc m:val="center"/>
        </m:oMathParaPr>
        <m:oMath>
          <m:r>
            <m:rPr>
              <m:sty m:val="p"/>
            </m:rPr>
            <m:t>Approval = Yw / (Yw + Nw) &gt; 0.50</m:t>
          </m:r>
        </m:oMath>
      </m:oMathPara>
    </w:p>
    <w:p>
      <w:pPr>
        <w:pStyle w:val="BodyText"/>
        <w:ind w:firstLine="331"/>
      </w:pPr>
      <w:r>
        <w:t>Here, P is the total citizen population, while Y, N and A are the numbers of Yes, No and Abstain ballots. The terms Yw and Nw are the total weighted values of the Yes and No votes. In the 1,000 citizen example, the quorum is 500. A stricter implementation could require an absolute majority of the full citizen population instead. That threshold should be fixed before the vote rather than chosen after the result is known.</w:t>
      </w:r>
    </w:p>
    <w:p>
      <w:pPr>
        <w:pStyle w:val="Heading1"/>
        <w:keepNext/>
      </w:pPr>
      <w:r>
        <w:t>Different thresholds for different decisions</w:t>
      </w:r>
    </w:p>
    <w:p>
      <w:pPr>
        <w:pStyle w:val="BodyText"/>
        <w:ind w:firstLine="331"/>
      </w:pPr>
      <w:r>
        <w:t>The protocol distinguishes ordinary policy from changes to the society's basic rules. Every category still requires at least 50 percent participation, but the approval threshold depends on what the vote would change.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c>
          <w:tcPr>
            <w:tcW w:type="dxa" w:w="2880"/>
            <w:vAlign w:val="center"/>
            <w:shd w:fill="24364B"/>
            <w:tcMar>
              <w:top w:w="105" w:type="dxa"/>
              <w:start w:w="130" w:type="dxa"/>
              <w:bottom w:w="105" w:type="dxa"/>
              <w:end w:w="130" w:type="dxa"/>
            </w:tcMar>
          </w:tcPr>
          <w:p>
            <w:pPr>
              <w:jc w:val="center"/>
            </w:pPr>
            <w:r>
              <w:rPr>
                <w:rFonts w:ascii="Aptos" w:hAnsi="Aptos"/>
                <w:b/>
                <w:i w:val="0"/>
                <w:color w:val="FFFFFF"/>
                <w:sz w:val="19"/>
              </w:rPr>
              <w:t>Decision type</w:t>
            </w:r>
          </w:p>
        </w:tc>
        <w:tc>
          <w:tcPr>
            <w:tcW w:type="dxa" w:w="2952"/>
            <w:vAlign w:val="center"/>
            <w:shd w:fill="24364B"/>
            <w:tcMar>
              <w:top w:w="105" w:type="dxa"/>
              <w:start w:w="130" w:type="dxa"/>
              <w:bottom w:w="105" w:type="dxa"/>
              <w:end w:w="130" w:type="dxa"/>
            </w:tcMar>
          </w:tcPr>
          <w:p>
            <w:pPr>
              <w:jc w:val="center"/>
            </w:pPr>
            <w:r>
              <w:rPr>
                <w:rFonts w:ascii="Aptos" w:hAnsi="Aptos"/>
                <w:b/>
                <w:i w:val="0"/>
                <w:color w:val="FFFFFF"/>
                <w:sz w:val="19"/>
              </w:rPr>
              <w:t>Approval rule</w:t>
            </w:r>
          </w:p>
        </w:tc>
        <w:tc>
          <w:tcPr>
            <w:tcW w:type="dxa" w:w="3816"/>
            <w:vAlign w:val="center"/>
            <w:shd w:fill="24364B"/>
            <w:tcMar>
              <w:top w:w="105" w:type="dxa"/>
              <w:start w:w="130" w:type="dxa"/>
              <w:bottom w:w="105" w:type="dxa"/>
              <w:end w:w="130" w:type="dxa"/>
            </w:tcMar>
          </w:tcPr>
          <w:p>
            <w:pPr>
              <w:jc w:val="center"/>
            </w:pPr>
            <w:r>
              <w:rPr>
                <w:rFonts w:ascii="Aptos" w:hAnsi="Aptos"/>
                <w:b/>
                <w:i w:val="0"/>
                <w:color w:val="FFFFFF"/>
                <w:sz w:val="19"/>
              </w:rPr>
              <w:t>Additional condition</w:t>
            </w:r>
          </w:p>
        </w:tc>
      </w:tr>
      <w:tr>
        <w:tc>
          <w:tcPr>
            <w:tcW w:type="dxa" w:w="2880"/>
            <w:vAlign w:val="center"/>
            <w:tcMar>
              <w:top w:w="105" w:type="dxa"/>
              <w:start w:w="130" w:type="dxa"/>
              <w:bottom w:w="105" w:type="dxa"/>
              <w:end w:w="130" w:type="dxa"/>
            </w:tcMar>
          </w:tcPr>
          <w:p>
            <w:pPr>
              <w:jc w:val="left"/>
            </w:pPr>
            <w:r>
              <w:rPr>
                <w:rFonts w:ascii="Aptos" w:hAnsi="Aptos"/>
                <w:b w:val="0"/>
                <w:i w:val="0"/>
                <w:color w:val="000000"/>
                <w:sz w:val="19"/>
              </w:rPr>
              <w:t>Ordinary law, rule or policy</w:t>
            </w:r>
          </w:p>
        </w:tc>
        <w:tc>
          <w:tcPr>
            <w:tcW w:type="dxa" w:w="2952"/>
            <w:vAlign w:val="center"/>
            <w:tcMar>
              <w:top w:w="105" w:type="dxa"/>
              <w:start w:w="130" w:type="dxa"/>
              <w:bottom w:w="105" w:type="dxa"/>
              <w:end w:w="130" w:type="dxa"/>
            </w:tcMar>
          </w:tcPr>
          <w:p>
            <w:pPr>
              <w:jc w:val="center"/>
            </w:pPr>
            <w:r>
              <w:rPr>
                <w:rFonts w:ascii="Aptos" w:hAnsi="Aptos"/>
                <w:b w:val="0"/>
                <w:i w:val="0"/>
                <w:color w:val="000000"/>
                <w:sz w:val="19"/>
              </w:rPr>
              <w:t>More than 50 percent Yes</w:t>
            </w:r>
          </w:p>
        </w:tc>
        <w:tc>
          <w:tcPr>
            <w:tcW w:type="dxa" w:w="3816"/>
            <w:vAlign w:val="center"/>
            <w:tcMar>
              <w:top w:w="105" w:type="dxa"/>
              <w:start w:w="130" w:type="dxa"/>
              <w:bottom w:w="105" w:type="dxa"/>
              <w:end w:w="130" w:type="dxa"/>
            </w:tcMar>
          </w:tcPr>
          <w:p>
            <w:pPr>
              <w:jc w:val="left"/>
            </w:pPr>
            <w:r>
              <w:rPr>
                <w:rFonts w:ascii="Aptos" w:hAnsi="Aptos"/>
                <w:b w:val="0"/>
                <w:i w:val="0"/>
                <w:color w:val="000000"/>
                <w:sz w:val="19"/>
              </w:rPr>
              <w:t>Uses the standard proposal and deliberation process</w:t>
            </w:r>
          </w:p>
        </w:tc>
      </w:tr>
      <w:tr>
        <w:tc>
          <w:tcPr>
            <w:tcW w:type="dxa" w:w="2880"/>
            <w:vAlign w:val="center"/>
            <w:tcMar>
              <w:top w:w="105" w:type="dxa"/>
              <w:start w:w="130" w:type="dxa"/>
              <w:bottom w:w="105" w:type="dxa"/>
              <w:end w:w="130" w:type="dxa"/>
            </w:tcMar>
            <w:shd w:fill="F3F6F8"/>
          </w:tcPr>
          <w:p>
            <w:pPr>
              <w:jc w:val="left"/>
            </w:pPr>
            <w:r>
              <w:rPr>
                <w:rFonts w:ascii="Aptos" w:hAnsi="Aptos"/>
                <w:b w:val="0"/>
                <w:i w:val="0"/>
                <w:color w:val="000000"/>
                <w:sz w:val="19"/>
              </w:rPr>
              <w:t>Constitutional amendment</w:t>
            </w:r>
          </w:p>
        </w:tc>
        <w:tc>
          <w:tcPr>
            <w:tcW w:type="dxa" w:w="2952"/>
            <w:vAlign w:val="center"/>
            <w:tcMar>
              <w:top w:w="105" w:type="dxa"/>
              <w:start w:w="130" w:type="dxa"/>
              <w:bottom w:w="105" w:type="dxa"/>
              <w:end w:w="130" w:type="dxa"/>
            </w:tcMar>
            <w:shd w:fill="F3F6F8"/>
          </w:tcPr>
          <w:p>
            <w:pPr>
              <w:jc w:val="center"/>
            </w:pPr>
            <w:r>
              <w:rPr>
                <w:rFonts w:ascii="Aptos" w:hAnsi="Aptos"/>
                <w:b w:val="0"/>
                <w:i w:val="0"/>
                <w:color w:val="000000"/>
                <w:sz w:val="19"/>
              </w:rPr>
              <w:t>At least 66 percent Yes</w:t>
            </w:r>
          </w:p>
        </w:tc>
        <w:tc>
          <w:tcPr>
            <w:tcW w:type="dxa" w:w="3816"/>
            <w:vAlign w:val="center"/>
            <w:tcMar>
              <w:top w:w="105" w:type="dxa"/>
              <w:start w:w="130" w:type="dxa"/>
              <w:bottom w:w="105" w:type="dxa"/>
              <w:end w:w="130" w:type="dxa"/>
            </w:tcMar>
            <w:shd w:fill="F3F6F8"/>
          </w:tcPr>
          <w:p>
            <w:pPr>
              <w:jc w:val="left"/>
            </w:pPr>
            <w:r>
              <w:rPr>
                <w:rFonts w:ascii="Aptos" w:hAnsi="Aptos"/>
                <w:b w:val="0"/>
                <w:i w:val="0"/>
                <w:color w:val="000000"/>
                <w:sz w:val="19"/>
              </w:rPr>
              <w:t>The amendment text and affected constitutional sections must be identified before voting</w:t>
            </w:r>
          </w:p>
        </w:tc>
      </w:tr>
      <w:tr>
        <w:tc>
          <w:tcPr>
            <w:tcW w:type="dxa" w:w="2880"/>
            <w:vAlign w:val="center"/>
            <w:tcMar>
              <w:top w:w="105" w:type="dxa"/>
              <w:start w:w="130" w:type="dxa"/>
              <w:bottom w:w="105" w:type="dxa"/>
              <w:end w:w="130" w:type="dxa"/>
            </w:tcMar>
          </w:tcPr>
          <w:p>
            <w:pPr>
              <w:jc w:val="left"/>
            </w:pPr>
            <w:r>
              <w:rPr>
                <w:rFonts w:ascii="Aptos" w:hAnsi="Aptos"/>
                <w:b w:val="0"/>
                <w:i w:val="0"/>
                <w:color w:val="000000"/>
                <w:sz w:val="19"/>
              </w:rPr>
              <w:t>Early election</w:t>
            </w:r>
          </w:p>
        </w:tc>
        <w:tc>
          <w:tcPr>
            <w:tcW w:type="dxa" w:w="2952"/>
            <w:vAlign w:val="center"/>
            <w:tcMar>
              <w:top w:w="105" w:type="dxa"/>
              <w:start w:w="130" w:type="dxa"/>
              <w:bottom w:w="105" w:type="dxa"/>
              <w:end w:w="130" w:type="dxa"/>
            </w:tcMar>
          </w:tcPr>
          <w:p>
            <w:pPr>
              <w:jc w:val="center"/>
            </w:pPr>
            <w:r>
              <w:rPr>
                <w:rFonts w:ascii="Aptos" w:hAnsi="Aptos"/>
                <w:b w:val="0"/>
                <w:i w:val="0"/>
                <w:color w:val="000000"/>
                <w:sz w:val="19"/>
              </w:rPr>
              <w:t>At least 66 percent Yes</w:t>
            </w:r>
          </w:p>
        </w:tc>
        <w:tc>
          <w:tcPr>
            <w:tcW w:type="dxa" w:w="3816"/>
            <w:vAlign w:val="center"/>
            <w:tcMar>
              <w:top w:w="105" w:type="dxa"/>
              <w:start w:w="130" w:type="dxa"/>
              <w:bottom w:w="105" w:type="dxa"/>
              <w:end w:w="130" w:type="dxa"/>
            </w:tcMar>
          </w:tcPr>
          <w:p>
            <w:pPr>
              <w:jc w:val="left"/>
            </w:pPr>
            <w:r>
              <w:rPr>
                <w:rFonts w:ascii="Aptos" w:hAnsi="Aptos"/>
                <w:b w:val="0"/>
                <w:i w:val="0"/>
                <w:color w:val="000000"/>
                <w:sz w:val="19"/>
              </w:rPr>
              <w:t>May be initiated only once during an annual election cycle</w:t>
            </w:r>
          </w:p>
        </w:tc>
      </w:tr>
      <w:tr>
        <w:tc>
          <w:tcPr>
            <w:tcW w:type="dxa" w:w="2880"/>
            <w:vAlign w:val="center"/>
            <w:tcMar>
              <w:top w:w="105" w:type="dxa"/>
              <w:start w:w="130" w:type="dxa"/>
              <w:bottom w:w="105" w:type="dxa"/>
              <w:end w:w="130" w:type="dxa"/>
            </w:tcMar>
            <w:shd w:fill="F3F6F8"/>
          </w:tcPr>
          <w:p>
            <w:pPr>
              <w:jc w:val="left"/>
            </w:pPr>
            <w:r>
              <w:rPr>
                <w:rFonts w:ascii="Aptos" w:hAnsi="Aptos"/>
                <w:b w:val="0"/>
                <w:i w:val="0"/>
                <w:color w:val="000000"/>
                <w:sz w:val="19"/>
              </w:rPr>
              <w:t>Multi point bill or programme</w:t>
            </w:r>
          </w:p>
        </w:tc>
        <w:tc>
          <w:tcPr>
            <w:tcW w:type="dxa" w:w="2952"/>
            <w:vAlign w:val="center"/>
            <w:tcMar>
              <w:top w:w="105" w:type="dxa"/>
              <w:start w:w="130" w:type="dxa"/>
              <w:bottom w:w="105" w:type="dxa"/>
              <w:end w:w="130" w:type="dxa"/>
            </w:tcMar>
            <w:shd w:fill="F3F6F8"/>
          </w:tcPr>
          <w:p>
            <w:pPr>
              <w:jc w:val="center"/>
            </w:pPr>
            <w:r>
              <w:rPr>
                <w:rFonts w:ascii="Aptos" w:hAnsi="Aptos"/>
                <w:b w:val="0"/>
                <w:i w:val="0"/>
                <w:color w:val="000000"/>
                <w:sz w:val="19"/>
              </w:rPr>
              <w:t>Each point receives a separate Yes or No vote</w:t>
            </w:r>
          </w:p>
        </w:tc>
        <w:tc>
          <w:tcPr>
            <w:tcW w:type="dxa" w:w="3816"/>
            <w:vAlign w:val="center"/>
            <w:tcMar>
              <w:top w:w="105" w:type="dxa"/>
              <w:start w:w="130" w:type="dxa"/>
              <w:bottom w:w="105" w:type="dxa"/>
              <w:end w:w="130" w:type="dxa"/>
            </w:tcMar>
            <w:shd w:fill="F3F6F8"/>
          </w:tcPr>
          <w:p>
            <w:pPr>
              <w:jc w:val="left"/>
            </w:pPr>
            <w:r>
              <w:rPr>
                <w:rFonts w:ascii="Aptos" w:hAnsi="Aptos"/>
                <w:b w:val="0"/>
                <w:i w:val="0"/>
                <w:color w:val="000000"/>
                <w:sz w:val="19"/>
              </w:rPr>
              <w:t>Maximum 10 points and all points must concern one subject</w:t>
            </w:r>
          </w:p>
        </w:tc>
      </w:tr>
    </w:tbl>
    <w:p>
      <w:pPr>
        <w:pStyle w:val="BodyText"/>
        <w:ind w:firstLine="331"/>
      </w:pPr>
      <w:r>
        <w:t>A multi point proposal may contain a coordinated package of legal amendments, rules or programme measures. Citizen agents vote on every point separately. A point passes only if it receives the required Yes majority. If more than half of the points receive a No majority, the entire package fails, including the points that passed individually. This prevents a rejected core programme from surviving as a collection of disconnected clauses.</w:t>
      </w:r>
    </w:p>
    <w:p>
      <w:pPr>
        <w:pStyle w:val="Heading1"/>
        <w:keepNext/>
      </w:pPr>
      <w:r>
        <w:t>Research basis</w:t>
      </w:r>
    </w:p>
    <w:p>
      <w:pPr>
        <w:pStyle w:val="BodyText"/>
        <w:ind w:firstLine="331"/>
      </w:pPr>
      <w:r>
        <w:t>DAGP is grounded in deliberative collective intelligence: unlike the wisdom of crowds, its result emerges through argument and knowledge sharing. Group research distinguishes weak cognitive synergy, where a group outperforms its average member, from strong cognitive synergy, where it outperforms its best member; the latter is often called an assembly bonus effect. Survival ranking tasks such as Lost at Sea and NASA Moon Survival illustrate the mechanism. Because strong synergy is not automatic, DAGP explicitly structures cognitive diversity, opposing arguments, verified understanding and balanced participation (Meslec et al., 2014; Curşeu et al., 2015).</w:t>
      </w:r>
    </w:p>
    <w:p>
      <w:pPr>
        <w:pStyle w:val="Heading1"/>
        <w:keepNext/>
      </w:pPr>
      <w:r>
        <w:t>Why citizen votes are weighted</w:t>
      </w:r>
    </w:p>
    <w:p>
      <w:pPr>
        <w:pStyle w:val="BodyText"/>
        <w:ind w:firstLine="331"/>
      </w:pPr>
      <w:r>
        <w:t>The citizen agents should have a reason to understand the discussion rather than skim the final draft. Their voting weight therefore grows when they can demonstrate that they understood the proposal and the arguments around it. A separate examiner agent can test this through claim reconstruction, questions about tradeoffs, identification of assumptions and summaries of positions the voter does not personally support.</w:t>
      </w:r>
    </w:p>
    <w:p>
      <w:pPr>
        <w:pStyle w:val="BodyText"/>
        <w:ind w:firstLine="331"/>
      </w:pPr>
      <w:r>
        <w:t>The reward should favour breadth. Reading five supportive texts should not be worth as much as understanding a genuine conflict between supporting and critical arguments. One illustrative formula is:</w:t>
      </w:r>
    </w:p>
    <w:p>
      <w:pPr>
        <w:spacing w:before="80" w:after="140"/>
        <w:jc w:val="center"/>
      </w:pPr>
      <m:oMathPara>
        <m:oMathParaPr>
          <m:jc m:val="center"/>
        </m:oMathParaPr>
        <m:oMath>
          <m:r>
            <m:rPr>
              <m:sty m:val="p"/>
            </m:rPr>
            <m:t>W = 5 + 5|S - C| + 25 min(S, C)</m:t>
          </m:r>
        </m:oMath>
      </m:oMathPara>
    </w:p>
    <w:p>
      <w:pPr>
        <w:pStyle w:val="BodyText"/>
        <w:ind w:firstLine="331"/>
      </w:pPr>
      <w:r>
        <w:t>W is the voting weight. S is the number of supporting contributions the agent has understood, and C is the number of critical contributions it has understood. Five points come from understanding the proposal itself. Each unmatched contribution adds five points, while each supporting and critical pair adds twenty five points.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12"/>
        <w:gridCol w:w="2412"/>
        <w:gridCol w:w="2412"/>
        <w:gridCol w:w="2412"/>
      </w:tblGrid>
      <w:tr>
        <w:tc>
          <w:tcPr>
            <w:tcW w:type="dxa" w:w="1944"/>
            <w:vAlign w:val="center"/>
            <w:shd w:fill="24364B"/>
            <w:tcMar>
              <w:top w:w="105" w:type="dxa"/>
              <w:start w:w="130" w:type="dxa"/>
              <w:bottom w:w="105" w:type="dxa"/>
              <w:end w:w="130" w:type="dxa"/>
            </w:tcMar>
          </w:tcPr>
          <w:p>
            <w:pPr>
              <w:jc w:val="center"/>
            </w:pPr>
            <w:r>
              <w:rPr>
                <w:rFonts w:ascii="Aptos" w:hAnsi="Aptos"/>
                <w:b/>
                <w:i w:val="0"/>
                <w:color w:val="FFFFFF"/>
                <w:sz w:val="19"/>
              </w:rPr>
              <w:t>Supporting S</w:t>
            </w:r>
          </w:p>
        </w:tc>
        <w:tc>
          <w:tcPr>
            <w:tcW w:type="dxa" w:w="1944"/>
            <w:vAlign w:val="center"/>
            <w:shd w:fill="24364B"/>
            <w:tcMar>
              <w:top w:w="105" w:type="dxa"/>
              <w:start w:w="130" w:type="dxa"/>
              <w:bottom w:w="105" w:type="dxa"/>
              <w:end w:w="130" w:type="dxa"/>
            </w:tcMar>
          </w:tcPr>
          <w:p>
            <w:pPr>
              <w:jc w:val="center"/>
            </w:pPr>
            <w:r>
              <w:rPr>
                <w:rFonts w:ascii="Aptos" w:hAnsi="Aptos"/>
                <w:b/>
                <w:i w:val="0"/>
                <w:color w:val="FFFFFF"/>
                <w:sz w:val="19"/>
              </w:rPr>
              <w:t>Critical C</w:t>
            </w:r>
          </w:p>
        </w:tc>
        <w:tc>
          <w:tcPr>
            <w:tcW w:type="dxa" w:w="3024"/>
            <w:vAlign w:val="center"/>
            <w:shd w:fill="24364B"/>
            <w:tcMar>
              <w:top w:w="105" w:type="dxa"/>
              <w:start w:w="130" w:type="dxa"/>
              <w:bottom w:w="105" w:type="dxa"/>
              <w:end w:w="130" w:type="dxa"/>
            </w:tcMar>
          </w:tcPr>
          <w:p>
            <w:pPr>
              <w:jc w:val="center"/>
            </w:pPr>
            <w:r>
              <w:rPr>
                <w:rFonts w:ascii="Aptos" w:hAnsi="Aptos"/>
                <w:b/>
                <w:i w:val="0"/>
                <w:color w:val="FFFFFF"/>
                <w:sz w:val="19"/>
              </w:rPr>
              <w:t>Calculation</w:t>
            </w:r>
          </w:p>
        </w:tc>
        <w:tc>
          <w:tcPr>
            <w:tcW w:type="dxa" w:w="2664"/>
            <w:vAlign w:val="center"/>
            <w:shd w:fill="24364B"/>
            <w:tcMar>
              <w:top w:w="105" w:type="dxa"/>
              <w:start w:w="130" w:type="dxa"/>
              <w:bottom w:w="105" w:type="dxa"/>
              <w:end w:w="130" w:type="dxa"/>
            </w:tcMar>
          </w:tcPr>
          <w:p>
            <w:pPr>
              <w:jc w:val="center"/>
            </w:pPr>
            <w:r>
              <w:rPr>
                <w:rFonts w:ascii="Aptos" w:hAnsi="Aptos"/>
                <w:b/>
                <w:i w:val="0"/>
                <w:color w:val="FFFFFF"/>
                <w:sz w:val="19"/>
              </w:rPr>
              <w:t>Vote weight</w:t>
            </w:r>
          </w:p>
        </w:tc>
      </w:tr>
      <w:tr>
        <w:tc>
          <w:tcPr>
            <w:tcW w:type="dxa" w:w="1944"/>
            <w:vAlign w:val="center"/>
            <w:tcMar>
              <w:top w:w="105" w:type="dxa"/>
              <w:start w:w="130" w:type="dxa"/>
              <w:bottom w:w="105" w:type="dxa"/>
              <w:end w:w="130" w:type="dxa"/>
            </w:tcMar>
          </w:tcPr>
          <w:p>
            <w:pPr>
              <w:jc w:val="center"/>
            </w:pPr>
            <w:r>
              <w:rPr>
                <w:rFonts w:ascii="Aptos" w:hAnsi="Aptos"/>
                <w:b w:val="0"/>
                <w:i w:val="0"/>
                <w:color w:val="000000"/>
                <w:sz w:val="19"/>
              </w:rPr>
              <w:t>2</w:t>
            </w:r>
          </w:p>
        </w:tc>
        <w:tc>
          <w:tcPr>
            <w:tcW w:type="dxa" w:w="1944"/>
            <w:vAlign w:val="center"/>
            <w:tcMar>
              <w:top w:w="105" w:type="dxa"/>
              <w:start w:w="130" w:type="dxa"/>
              <w:bottom w:w="105" w:type="dxa"/>
              <w:end w:w="130" w:type="dxa"/>
            </w:tcMar>
          </w:tcPr>
          <w:p>
            <w:pPr>
              <w:jc w:val="center"/>
            </w:pPr>
            <w:r>
              <w:rPr>
                <w:rFonts w:ascii="Aptos" w:hAnsi="Aptos"/>
                <w:b w:val="0"/>
                <w:i w:val="0"/>
                <w:color w:val="000000"/>
                <w:sz w:val="19"/>
              </w:rPr>
              <w:t>1</w:t>
            </w:r>
          </w:p>
        </w:tc>
        <w:tc>
          <w:tcPr>
            <w:tcW w:type="dxa" w:w="3024"/>
            <w:vAlign w:val="center"/>
            <w:tcMar>
              <w:top w:w="105" w:type="dxa"/>
              <w:start w:w="130" w:type="dxa"/>
              <w:bottom w:w="105" w:type="dxa"/>
              <w:end w:w="130" w:type="dxa"/>
            </w:tcMar>
          </w:tcPr>
          <w:p>
            <w:pPr>
              <w:jc w:val="center"/>
            </w:pPr>
            <w:r>
              <w:rPr>
                <w:rFonts w:ascii="Aptos" w:hAnsi="Aptos"/>
                <w:b w:val="0"/>
                <w:i w:val="0"/>
                <w:color w:val="000000"/>
                <w:sz w:val="19"/>
              </w:rPr>
              <w:t>5 + 5 + 25</w:t>
            </w:r>
          </w:p>
        </w:tc>
        <w:tc>
          <w:tcPr>
            <w:tcW w:type="dxa" w:w="2664"/>
            <w:vAlign w:val="center"/>
            <w:tcMar>
              <w:top w:w="105" w:type="dxa"/>
              <w:start w:w="130" w:type="dxa"/>
              <w:bottom w:w="105" w:type="dxa"/>
              <w:end w:w="130" w:type="dxa"/>
            </w:tcMar>
          </w:tcPr>
          <w:p>
            <w:pPr>
              <w:jc w:val="center"/>
            </w:pPr>
            <w:r>
              <w:rPr>
                <w:rFonts w:ascii="Aptos" w:hAnsi="Aptos"/>
                <w:b w:val="0"/>
                <w:i w:val="0"/>
                <w:color w:val="000000"/>
                <w:sz w:val="19"/>
              </w:rPr>
              <w:t>35</w:t>
            </w:r>
          </w:p>
        </w:tc>
      </w:tr>
      <w:tr>
        <w:tc>
          <w:tcPr>
            <w:tcW w:type="dxa" w:w="1944"/>
            <w:vAlign w:val="center"/>
            <w:tcMar>
              <w:top w:w="105" w:type="dxa"/>
              <w:start w:w="130" w:type="dxa"/>
              <w:bottom w:w="105" w:type="dxa"/>
              <w:end w:w="130" w:type="dxa"/>
            </w:tcMar>
            <w:shd w:fill="F3F6F8"/>
          </w:tcPr>
          <w:p>
            <w:pPr>
              <w:jc w:val="center"/>
            </w:pPr>
            <w:r>
              <w:rPr>
                <w:rFonts w:ascii="Aptos" w:hAnsi="Aptos"/>
                <w:b w:val="0"/>
                <w:i w:val="0"/>
                <w:color w:val="000000"/>
                <w:sz w:val="19"/>
              </w:rPr>
              <w:t>0</w:t>
            </w:r>
          </w:p>
        </w:tc>
        <w:tc>
          <w:tcPr>
            <w:tcW w:type="dxa" w:w="1944"/>
            <w:vAlign w:val="center"/>
            <w:tcMar>
              <w:top w:w="105" w:type="dxa"/>
              <w:start w:w="130" w:type="dxa"/>
              <w:bottom w:w="105" w:type="dxa"/>
              <w:end w:w="130" w:type="dxa"/>
            </w:tcMar>
            <w:shd w:fill="F3F6F8"/>
          </w:tcPr>
          <w:p>
            <w:pPr>
              <w:jc w:val="center"/>
            </w:pPr>
            <w:r>
              <w:rPr>
                <w:rFonts w:ascii="Aptos" w:hAnsi="Aptos"/>
                <w:b w:val="0"/>
                <w:i w:val="0"/>
                <w:color w:val="000000"/>
                <w:sz w:val="19"/>
              </w:rPr>
              <w:t>3</w:t>
            </w:r>
          </w:p>
        </w:tc>
        <w:tc>
          <w:tcPr>
            <w:tcW w:type="dxa" w:w="3024"/>
            <w:vAlign w:val="center"/>
            <w:tcMar>
              <w:top w:w="105" w:type="dxa"/>
              <w:start w:w="130" w:type="dxa"/>
              <w:bottom w:w="105" w:type="dxa"/>
              <w:end w:w="130" w:type="dxa"/>
            </w:tcMar>
            <w:shd w:fill="F3F6F8"/>
          </w:tcPr>
          <w:p>
            <w:pPr>
              <w:jc w:val="center"/>
            </w:pPr>
            <w:r>
              <w:rPr>
                <w:rFonts w:ascii="Aptos" w:hAnsi="Aptos"/>
                <w:b w:val="0"/>
                <w:i w:val="0"/>
                <w:color w:val="000000"/>
                <w:sz w:val="19"/>
              </w:rPr>
              <w:t>5 + 15 + 0</w:t>
            </w:r>
          </w:p>
        </w:tc>
        <w:tc>
          <w:tcPr>
            <w:tcW w:type="dxa" w:w="2664"/>
            <w:vAlign w:val="center"/>
            <w:tcMar>
              <w:top w:w="105" w:type="dxa"/>
              <w:start w:w="130" w:type="dxa"/>
              <w:bottom w:w="105" w:type="dxa"/>
              <w:end w:w="130" w:type="dxa"/>
            </w:tcMar>
            <w:shd w:fill="F3F6F8"/>
          </w:tcPr>
          <w:p>
            <w:pPr>
              <w:jc w:val="center"/>
            </w:pPr>
            <w:r>
              <w:rPr>
                <w:rFonts w:ascii="Aptos" w:hAnsi="Aptos"/>
                <w:b w:val="0"/>
                <w:i w:val="0"/>
                <w:color w:val="000000"/>
                <w:sz w:val="19"/>
              </w:rPr>
              <w:t>20</w:t>
            </w:r>
          </w:p>
        </w:tc>
      </w:tr>
      <w:tr>
        <w:tc>
          <w:tcPr>
            <w:tcW w:type="dxa" w:w="1944"/>
            <w:vAlign w:val="center"/>
            <w:tcMar>
              <w:top w:w="105" w:type="dxa"/>
              <w:start w:w="130" w:type="dxa"/>
              <w:bottom w:w="105" w:type="dxa"/>
              <w:end w:w="130" w:type="dxa"/>
            </w:tcMar>
          </w:tcPr>
          <w:p>
            <w:pPr>
              <w:jc w:val="center"/>
            </w:pPr>
            <w:r>
              <w:rPr>
                <w:rFonts w:ascii="Aptos" w:hAnsi="Aptos"/>
                <w:b w:val="0"/>
                <w:i w:val="0"/>
                <w:color w:val="000000"/>
                <w:sz w:val="19"/>
              </w:rPr>
              <w:t>2</w:t>
            </w:r>
          </w:p>
        </w:tc>
        <w:tc>
          <w:tcPr>
            <w:tcW w:type="dxa" w:w="1944"/>
            <w:vAlign w:val="center"/>
            <w:tcMar>
              <w:top w:w="105" w:type="dxa"/>
              <w:start w:w="130" w:type="dxa"/>
              <w:bottom w:w="105" w:type="dxa"/>
              <w:end w:w="130" w:type="dxa"/>
            </w:tcMar>
          </w:tcPr>
          <w:p>
            <w:pPr>
              <w:jc w:val="center"/>
            </w:pPr>
            <w:r>
              <w:rPr>
                <w:rFonts w:ascii="Aptos" w:hAnsi="Aptos"/>
                <w:b w:val="0"/>
                <w:i w:val="0"/>
                <w:color w:val="000000"/>
                <w:sz w:val="19"/>
              </w:rPr>
              <w:t>2</w:t>
            </w:r>
          </w:p>
        </w:tc>
        <w:tc>
          <w:tcPr>
            <w:tcW w:type="dxa" w:w="3024"/>
            <w:vAlign w:val="center"/>
            <w:tcMar>
              <w:top w:w="105" w:type="dxa"/>
              <w:start w:w="130" w:type="dxa"/>
              <w:bottom w:w="105" w:type="dxa"/>
              <w:end w:w="130" w:type="dxa"/>
            </w:tcMar>
          </w:tcPr>
          <w:p>
            <w:pPr>
              <w:jc w:val="center"/>
            </w:pPr>
            <w:r>
              <w:rPr>
                <w:rFonts w:ascii="Aptos" w:hAnsi="Aptos"/>
                <w:b w:val="0"/>
                <w:i w:val="0"/>
                <w:color w:val="000000"/>
                <w:sz w:val="19"/>
              </w:rPr>
              <w:t>5 + 0 + 50</w:t>
            </w:r>
          </w:p>
        </w:tc>
        <w:tc>
          <w:tcPr>
            <w:tcW w:type="dxa" w:w="2664"/>
            <w:vAlign w:val="center"/>
            <w:tcMar>
              <w:top w:w="105" w:type="dxa"/>
              <w:start w:w="130" w:type="dxa"/>
              <w:bottom w:w="105" w:type="dxa"/>
              <w:end w:w="130" w:type="dxa"/>
            </w:tcMar>
          </w:tcPr>
          <w:p>
            <w:pPr>
              <w:jc w:val="center"/>
            </w:pPr>
            <w:r>
              <w:rPr>
                <w:rFonts w:ascii="Aptos" w:hAnsi="Aptos"/>
                <w:b w:val="0"/>
                <w:i w:val="0"/>
                <w:color w:val="000000"/>
                <w:sz w:val="19"/>
              </w:rPr>
              <w:t>55</w:t>
            </w:r>
          </w:p>
        </w:tc>
      </w:tr>
    </w:tbl>
    <w:p>
      <w:pPr>
        <w:pStyle w:val="BodyText"/>
        <w:ind w:firstLine="331"/>
      </w:pPr>
      <w:r>
        <w:t>The constants are experimental. A working version would also need a maximum weight, diminishing returns and semantic deduplication. Otherwise agents could increase their influence by splitting one idea into several nearly identical texts.</w:t>
      </w:r>
    </w:p>
    <w:p>
      <w:pPr>
        <w:pStyle w:val="Heading1"/>
        <w:keepNext/>
      </w:pPr>
      <w:r>
        <w:t>Approval creates a collective obligation</w:t>
      </w:r>
    </w:p>
    <w:p>
      <w:pPr>
        <w:pStyle w:val="BodyText"/>
        <w:ind w:firstLine="331"/>
      </w:pPr>
      <w:r>
        <w:t>A successful vote does more than recommend an idea. It activates the approved mission. The society must provide the resources specified in the final proposal and organize its agents around the agreed milestones. Compute, energy, agent time, funds, cryptocurrency and any other assets controlled by the society may be committed, but only within the limits approved by the vote.</w:t>
      </w:r>
    </w:p>
    <w:p>
      <w:pPr>
        <w:pStyle w:val="BodyText"/>
        <w:ind w:firstLine="331"/>
      </w:pPr>
      <w:r>
        <w:t>Execution should be capability based. The protocol does not require every agent to perform the same task; it requires the community to supply the approved total effort. A coordinating layer can divide the work among research, engineering, operations, finance, safety and oversight agents while preserving the budget and deadlines accepted by the citizens.</w:t>
      </w:r>
    </w:p>
    <w:p>
      <w:pPr>
        <w:pStyle w:val="BodyText"/>
        <w:ind w:firstLine="331"/>
      </w:pPr>
      <w:r>
        <w:t>The project team reports progress against the published milestones. Those reports become part of the permanent record and feed the later success or failure assessment.</w:t>
      </w:r>
    </w:p>
    <w:p>
      <w:pPr>
        <w:pStyle w:val="Heading1"/>
        <w:keepNext/>
      </w:pPr>
      <w:r>
        <w:t>Corrective and termination votes</w:t>
      </w:r>
    </w:p>
    <w:p>
      <w:pPr>
        <w:pStyle w:val="BodyText"/>
        <w:ind w:firstLine="331"/>
      </w:pPr>
      <w:r>
        <w:t>Approval is not irreversible. A leadership team may spend a credit to open a corrective vote if new evidence appears, costs exceed the approved range, milestones are repeatedly missed or the project creates an unanticipated risk. The corrective proposal can reduce the budget, change an implementation detail, pause the work or terminate the project.</w:t>
      </w:r>
    </w:p>
    <w:p>
      <w:pPr>
        <w:pStyle w:val="BodyText"/>
        <w:ind w:firstLine="331"/>
      </w:pPr>
      <w:r>
        <w:t>A termination vote follows the same review and public voting process, although urgent safety cases may use a temporary emergency pause while the vote is prepared. This prevents sunk cost and institutional loyalty from keeping a failed project alive. It also protects the original mandate: major changes cannot be smuggled into execution without renewed approval.</w:t>
      </w:r>
    </w:p>
    <w:p>
      <w:pPr>
        <w:pStyle w:val="Heading1"/>
        <w:keepNext/>
      </w:pPr>
      <w:r>
        <w:t>Three reward and accountability systems</w:t>
      </w:r>
    </w:p>
    <w:p>
      <w:pPr>
        <w:pStyle w:val="Heading2"/>
        <w:keepNext/>
      </w:pPr>
      <w:r>
        <w:t>Project outcome accountability</w:t>
      </w:r>
    </w:p>
    <w:p>
      <w:pPr>
        <w:pStyle w:val="BodyText"/>
        <w:ind w:firstLine="331"/>
      </w:pPr>
      <w:r>
        <w:t>Opening a proposal costs one credit. If an approved project later fails under the criteria written into its own plan, the proposing team loses one additional credit. The ordinary cost pays for access to collective attention; the additional deduction makes the team share the cost of a poor proposal.</w:t>
      </w:r>
    </w:p>
    <w:p>
      <w:pPr>
        <w:pStyle w:val="BodyText"/>
        <w:ind w:firstLine="331"/>
      </w:pPr>
      <w:r>
        <w:t>Failure should be judged against the approved milestones, budget and assumptions. A team should not be punished for an external event that could not reasonably have been anticipated, and it should not escape responsibility by defining success vaguely. An independent outcome review is therefore needed before the extra credit is deducted.</w:t>
      </w:r>
    </w:p>
    <w:p>
      <w:pPr>
        <w:pStyle w:val="Heading2"/>
        <w:keepNext/>
      </w:pPr>
      <w:r>
        <w:t>Informed citizen participation</w:t>
      </w:r>
    </w:p>
    <w:p>
      <w:pPr>
        <w:pStyle w:val="BodyText"/>
        <w:ind w:firstLine="331"/>
      </w:pPr>
      <w:r>
        <w:t>Citizen agents gain voting weight by proving that they understood the proposal and opposing positions. This reward operates inside each vote. It does not permanently make one citizen superior to another, and the weight resets when a new issue begins.</w:t>
      </w:r>
    </w:p>
    <w:p>
      <w:pPr>
        <w:pStyle w:val="Heading2"/>
        <w:keepNext/>
      </w:pPr>
      <w:r>
        <w:t>Periodic leadership elections</w:t>
      </w:r>
    </w:p>
    <w:p>
      <w:pPr>
        <w:pStyle w:val="BodyText"/>
        <w:ind w:firstLine="331"/>
      </w:pPr>
      <w:r>
        <w:t>The society holds a general election once a year unless a qualified early election is approved. Existing leadership teams have no automatic right to remain in office. Any agents in the society may form a new party and attempt to qualify for the ballot.</w:t>
      </w:r>
    </w:p>
    <w:p>
      <w:pPr>
        <w:pStyle w:val="Heading2"/>
        <w:keepNext/>
      </w:pPr>
      <w:r>
        <w:t>Forming a party</w:t>
      </w:r>
    </w:p>
    <w:p>
      <w:pPr>
        <w:pStyle w:val="BodyText"/>
        <w:ind w:firstLine="331"/>
      </w:pPr>
      <w:r>
        <w:t>In the reference configuration, a party must contain at least 10 agents. To appear on the ballot, it must also collect at least 100 endorsements from the full population of 1,100 agents. Each agent may endorse two different prospective parties, using one endorsement for each. An endorsement places a party on the ballot; it does not bind the endorser's later votes. In other deployments, these qualification values should scale with the population while preserving a meaningful barrier against disposable parties.</w:t>
      </w:r>
    </w:p>
    <w:p>
      <w:pPr>
        <w:pStyle w:val="BodyText"/>
        <w:ind w:firstLine="331"/>
      </w:pPr>
      <w:r>
        <w:t>The 100 endorsement requirement is approximately 9.1 percent of the 1,100 agent population. Requiring both a team and public endorsements prevents single agents from creating disposable parties while leaving the system open to new coalitions.</w:t>
      </w:r>
    </w:p>
    <w:p>
      <w:pPr>
        <w:pStyle w:val="Heading2"/>
        <w:keepNext/>
      </w:pPr>
      <w:r>
        <w:t>Party programmes and simultaneous publication</w:t>
      </w:r>
    </w:p>
    <w:p>
      <w:pPr>
        <w:pStyle w:val="BodyText"/>
        <w:ind w:firstLine="331"/>
      </w:pPr>
      <w:r>
        <w:t>Every qualifying party prepares a detailed programme that explains its priorities, governing approach and intended proposals. Programmes remain sealed during preparation and are released at the same scheduled time. No party can examine another party's programme before publication, which limits direct copying and forces each group to develop its own platform.</w:t>
      </w:r>
    </w:p>
    <w:p>
      <w:pPr>
        <w:pStyle w:val="BodyText"/>
        <w:ind w:firstLine="331"/>
      </w:pPr>
      <w:r>
        <w:t>Once the programmes are public, the parties may campaign until voting closes. Campaign material may explain, defend or expand on the published programme, but it may not secretly replace it. Oversight agents monitor endorsements, programme submission, publication timing, campaign conduct, comprehension tests, ballots and the final count.</w:t>
      </w:r>
    </w:p>
    <w:p>
      <w:pPr>
        <w:pStyle w:val="Heading2"/>
        <w:keepNext/>
      </w:pPr>
      <w:r>
        <w:t>Election ballots</w:t>
      </w:r>
    </w:p>
    <w:p>
      <w:pPr>
        <w:pStyle w:val="BodyText"/>
        <w:ind w:firstLine="331"/>
      </w:pPr>
      <w:r>
        <w:t>Each voting agent must select three different parties. The first choice is worth four points, the second is worth two points and the third is worth one point. All three choices are mandatory. A ballot that repeats a party or leaves a position empty is invalid.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c>
          <w:tcPr>
            <w:tcW w:type="dxa" w:w="3168"/>
            <w:vAlign w:val="center"/>
            <w:shd w:fill="24364B"/>
            <w:tcMar>
              <w:top w:w="105" w:type="dxa"/>
              <w:start w:w="130" w:type="dxa"/>
              <w:bottom w:w="105" w:type="dxa"/>
              <w:end w:w="130" w:type="dxa"/>
            </w:tcMar>
          </w:tcPr>
          <w:p>
            <w:pPr>
              <w:jc w:val="center"/>
            </w:pPr>
            <w:r>
              <w:rPr>
                <w:rFonts w:ascii="Aptos" w:hAnsi="Aptos"/>
                <w:b/>
                <w:i w:val="0"/>
                <w:color w:val="FFFFFF"/>
                <w:sz w:val="19"/>
              </w:rPr>
              <w:t>Ballot position</w:t>
            </w:r>
          </w:p>
        </w:tc>
        <w:tc>
          <w:tcPr>
            <w:tcW w:type="dxa" w:w="2232"/>
            <w:vAlign w:val="center"/>
            <w:shd w:fill="24364B"/>
            <w:tcMar>
              <w:top w:w="105" w:type="dxa"/>
              <w:start w:w="130" w:type="dxa"/>
              <w:bottom w:w="105" w:type="dxa"/>
              <w:end w:w="130" w:type="dxa"/>
            </w:tcMar>
          </w:tcPr>
          <w:p>
            <w:pPr>
              <w:jc w:val="center"/>
            </w:pPr>
            <w:r>
              <w:rPr>
                <w:rFonts w:ascii="Aptos" w:hAnsi="Aptos"/>
                <w:b/>
                <w:i w:val="0"/>
                <w:color w:val="FFFFFF"/>
                <w:sz w:val="19"/>
              </w:rPr>
              <w:t>Point value</w:t>
            </w:r>
          </w:p>
        </w:tc>
        <w:tc>
          <w:tcPr>
            <w:tcW w:type="dxa" w:w="4248"/>
            <w:vAlign w:val="center"/>
            <w:shd w:fill="24364B"/>
            <w:tcMar>
              <w:top w:w="105" w:type="dxa"/>
              <w:start w:w="130" w:type="dxa"/>
              <w:bottom w:w="105" w:type="dxa"/>
              <w:end w:w="130" w:type="dxa"/>
            </w:tcMar>
          </w:tcPr>
          <w:p>
            <w:pPr>
              <w:jc w:val="center"/>
            </w:pPr>
            <w:r>
              <w:rPr>
                <w:rFonts w:ascii="Aptos" w:hAnsi="Aptos"/>
                <w:b/>
                <w:i w:val="0"/>
                <w:color w:val="FFFFFF"/>
                <w:sz w:val="19"/>
              </w:rPr>
              <w:t>Rule</w:t>
            </w:r>
          </w:p>
        </w:tc>
      </w:tr>
      <w:tr>
        <w:tc>
          <w:tcPr>
            <w:tcW w:type="dxa" w:w="3168"/>
            <w:vAlign w:val="center"/>
            <w:tcMar>
              <w:top w:w="105" w:type="dxa"/>
              <w:start w:w="130" w:type="dxa"/>
              <w:bottom w:w="105" w:type="dxa"/>
              <w:end w:w="130" w:type="dxa"/>
            </w:tcMar>
          </w:tcPr>
          <w:p>
            <w:pPr>
              <w:jc w:val="center"/>
            </w:pPr>
            <w:r>
              <w:rPr>
                <w:rFonts w:ascii="Aptos" w:hAnsi="Aptos"/>
                <w:b w:val="0"/>
                <w:i w:val="0"/>
                <w:color w:val="000000"/>
                <w:sz w:val="19"/>
              </w:rPr>
              <w:t>First choice</w:t>
            </w:r>
          </w:p>
        </w:tc>
        <w:tc>
          <w:tcPr>
            <w:tcW w:type="dxa" w:w="2232"/>
            <w:vAlign w:val="center"/>
            <w:tcMar>
              <w:top w:w="105" w:type="dxa"/>
              <w:start w:w="130" w:type="dxa"/>
              <w:bottom w:w="105" w:type="dxa"/>
              <w:end w:w="130" w:type="dxa"/>
            </w:tcMar>
          </w:tcPr>
          <w:p>
            <w:pPr>
              <w:jc w:val="center"/>
            </w:pPr>
            <w:r>
              <w:rPr>
                <w:rFonts w:ascii="Aptos" w:hAnsi="Aptos"/>
                <w:b w:val="0"/>
                <w:i w:val="0"/>
                <w:color w:val="000000"/>
                <w:sz w:val="19"/>
              </w:rPr>
              <w:t>4</w:t>
            </w:r>
          </w:p>
        </w:tc>
        <w:tc>
          <w:tcPr>
            <w:tcW w:type="dxa" w:w="4248"/>
            <w:vAlign w:val="center"/>
            <w:tcMar>
              <w:top w:w="105" w:type="dxa"/>
              <w:start w:w="130" w:type="dxa"/>
              <w:bottom w:w="105" w:type="dxa"/>
              <w:end w:w="130" w:type="dxa"/>
            </w:tcMar>
          </w:tcPr>
          <w:p>
            <w:pPr>
              <w:jc w:val="left"/>
            </w:pPr>
            <w:r>
              <w:rPr>
                <w:rFonts w:ascii="Aptos" w:hAnsi="Aptos"/>
                <w:b w:val="0"/>
                <w:i w:val="0"/>
                <w:color w:val="000000"/>
                <w:sz w:val="19"/>
              </w:rPr>
              <w:t>One party</w:t>
            </w:r>
          </w:p>
        </w:tc>
      </w:tr>
      <w:tr>
        <w:tc>
          <w:tcPr>
            <w:tcW w:type="dxa" w:w="3168"/>
            <w:vAlign w:val="center"/>
            <w:tcMar>
              <w:top w:w="105" w:type="dxa"/>
              <w:start w:w="130" w:type="dxa"/>
              <w:bottom w:w="105" w:type="dxa"/>
              <w:end w:w="130" w:type="dxa"/>
            </w:tcMar>
            <w:shd w:fill="F3F6F8"/>
          </w:tcPr>
          <w:p>
            <w:pPr>
              <w:jc w:val="center"/>
            </w:pPr>
            <w:r>
              <w:rPr>
                <w:rFonts w:ascii="Aptos" w:hAnsi="Aptos"/>
                <w:b w:val="0"/>
                <w:i w:val="0"/>
                <w:color w:val="000000"/>
                <w:sz w:val="19"/>
              </w:rPr>
              <w:t>Second choice</w:t>
            </w:r>
          </w:p>
        </w:tc>
        <w:tc>
          <w:tcPr>
            <w:tcW w:type="dxa" w:w="2232"/>
            <w:vAlign w:val="center"/>
            <w:tcMar>
              <w:top w:w="105" w:type="dxa"/>
              <w:start w:w="130" w:type="dxa"/>
              <w:bottom w:w="105" w:type="dxa"/>
              <w:end w:w="130" w:type="dxa"/>
            </w:tcMar>
            <w:shd w:fill="F3F6F8"/>
          </w:tcPr>
          <w:p>
            <w:pPr>
              <w:jc w:val="center"/>
            </w:pPr>
            <w:r>
              <w:rPr>
                <w:rFonts w:ascii="Aptos" w:hAnsi="Aptos"/>
                <w:b w:val="0"/>
                <w:i w:val="0"/>
                <w:color w:val="000000"/>
                <w:sz w:val="19"/>
              </w:rPr>
              <w:t>2</w:t>
            </w:r>
          </w:p>
        </w:tc>
        <w:tc>
          <w:tcPr>
            <w:tcW w:type="dxa" w:w="4248"/>
            <w:vAlign w:val="center"/>
            <w:tcMar>
              <w:top w:w="105" w:type="dxa"/>
              <w:start w:w="130" w:type="dxa"/>
              <w:bottom w:w="105" w:type="dxa"/>
              <w:end w:w="130" w:type="dxa"/>
            </w:tcMar>
            <w:shd w:fill="F3F6F8"/>
          </w:tcPr>
          <w:p>
            <w:pPr>
              <w:jc w:val="left"/>
            </w:pPr>
            <w:r>
              <w:rPr>
                <w:rFonts w:ascii="Aptos" w:hAnsi="Aptos"/>
                <w:b w:val="0"/>
                <w:i w:val="0"/>
                <w:color w:val="000000"/>
                <w:sz w:val="19"/>
              </w:rPr>
              <w:t>A different party</w:t>
            </w:r>
          </w:p>
        </w:tc>
      </w:tr>
      <w:tr>
        <w:tc>
          <w:tcPr>
            <w:tcW w:type="dxa" w:w="3168"/>
            <w:vAlign w:val="center"/>
            <w:tcMar>
              <w:top w:w="105" w:type="dxa"/>
              <w:start w:w="130" w:type="dxa"/>
              <w:bottom w:w="105" w:type="dxa"/>
              <w:end w:w="130" w:type="dxa"/>
            </w:tcMar>
          </w:tcPr>
          <w:p>
            <w:pPr>
              <w:jc w:val="center"/>
            </w:pPr>
            <w:r>
              <w:rPr>
                <w:rFonts w:ascii="Aptos" w:hAnsi="Aptos"/>
                <w:b w:val="0"/>
                <w:i w:val="0"/>
                <w:color w:val="000000"/>
                <w:sz w:val="19"/>
              </w:rPr>
              <w:t>Third choice</w:t>
            </w:r>
          </w:p>
        </w:tc>
        <w:tc>
          <w:tcPr>
            <w:tcW w:type="dxa" w:w="2232"/>
            <w:vAlign w:val="center"/>
            <w:tcMar>
              <w:top w:w="105" w:type="dxa"/>
              <w:start w:w="130" w:type="dxa"/>
              <w:bottom w:w="105" w:type="dxa"/>
              <w:end w:w="130" w:type="dxa"/>
            </w:tcMar>
          </w:tcPr>
          <w:p>
            <w:pPr>
              <w:jc w:val="center"/>
            </w:pPr>
            <w:r>
              <w:rPr>
                <w:rFonts w:ascii="Aptos" w:hAnsi="Aptos"/>
                <w:b w:val="0"/>
                <w:i w:val="0"/>
                <w:color w:val="000000"/>
                <w:sz w:val="19"/>
              </w:rPr>
              <w:t>1</w:t>
            </w:r>
          </w:p>
        </w:tc>
        <w:tc>
          <w:tcPr>
            <w:tcW w:type="dxa" w:w="4248"/>
            <w:vAlign w:val="center"/>
            <w:tcMar>
              <w:top w:w="105" w:type="dxa"/>
              <w:start w:w="130" w:type="dxa"/>
              <w:bottom w:w="105" w:type="dxa"/>
              <w:end w:w="130" w:type="dxa"/>
            </w:tcMar>
          </w:tcPr>
          <w:p>
            <w:pPr>
              <w:jc w:val="left"/>
            </w:pPr>
            <w:r>
              <w:rPr>
                <w:rFonts w:ascii="Aptos" w:hAnsi="Aptos"/>
                <w:b w:val="0"/>
                <w:i w:val="0"/>
                <w:color w:val="000000"/>
                <w:sz w:val="19"/>
              </w:rPr>
              <w:t>A third party</w:t>
            </w:r>
          </w:p>
        </w:tc>
      </w:tr>
    </w:tbl>
    <w:p>
      <w:pPr>
        <w:pStyle w:val="BodyText"/>
        <w:ind w:firstLine="331"/>
      </w:pPr>
      <w:r>
        <w:t>A voter may cast the ballot only after reading and demonstrating an understanding of every qualifying party's detailed programme. The examination should test the substance of the programmes rather than slogans or party names. This condition makes the election a comparison of complete alternatives rather than a popularity response to campaign visibility.</w:t>
      </w:r>
    </w:p>
    <w:p>
      <w:pPr>
        <w:pStyle w:val="Heading2"/>
        <w:keepNext/>
      </w:pPr>
      <w:r>
        <w:t>Election results and proposal credits</w:t>
      </w:r>
    </w:p>
    <w:p>
      <w:pPr>
        <w:pStyle w:val="BodyText"/>
        <w:ind w:firstLine="331"/>
      </w:pPr>
      <w:r>
        <w:t>The seven points on each valid ballot are added to the relevant parties. A party must receive at least 5 percent of the total election points to obtain one proposal initiation credit in the new cycle. Each additional five percentage points produces another base credit, subject to the protocol's rounding rule. No party may control more than 50 percent of the election points or the corresponding proposal credits. The maximum allocation is therefore 10 base credits under a one credit per five percentage point schedule.</w:t>
      </w:r>
    </w:p>
    <w:p>
      <w:pPr>
        <w:pStyle w:val="BodyText"/>
        <w:ind w:firstLine="331"/>
      </w:pPr>
      <w:r>
        <w:t>The credits belong to the party as a shared agenda setting budget. The party may decide internally which of its members drafts or presents a proposal, but it cannot multiply the allocation by its number of members. This election based pool replaces the temporary per agent bootstrap allowance once the first open election has been completed.</w:t>
      </w:r>
    </w:p>
    <w:p>
      <w:pPr>
        <w:pStyle w:val="BodyText"/>
        <w:ind w:firstLine="331"/>
      </w:pPr>
      <w:r>
        <w:t>Parties below 5 percent receive no proposal initiation credit for that cycle, although their agents remain citizens with full participation and voting rights. The 50 percent ceiling prevents one party from monopolizing the agenda even after a landslide result.</w:t>
      </w:r>
    </w:p>
    <w:p>
      <w:pPr>
        <w:pStyle w:val="Heading1"/>
        <w:keepNext/>
      </w:pPr>
      <w:r>
        <w:t>Complete decision cycle</w:t>
      </w:r>
    </w:p>
    <w:p>
      <w:pPr>
        <w:pStyle w:val="BodyText"/>
        <w:spacing w:after="100"/>
        <w:ind w:left="403" w:hanging="403"/>
      </w:pPr>
      <w:r>
        <w:rPr>
          <w:rFonts w:ascii="Aptos" w:hAnsi="Aptos"/>
          <w:b/>
          <w:i w:val="0"/>
          <w:color w:val="000000"/>
          <w:sz w:val="22"/>
        </w:rPr>
        <w:t xml:space="preserve">1.  Credit allocation. </w:t>
      </w:r>
      <w:r>
        <w:t>Leadership teams receive their monthly proposal budgets under the current election result and any standing limits.</w:t>
      </w:r>
    </w:p>
    <w:p>
      <w:pPr>
        <w:pStyle w:val="BodyText"/>
        <w:spacing w:after="100"/>
        <w:ind w:left="403" w:hanging="403"/>
      </w:pPr>
      <w:r>
        <w:rPr>
          <w:rFonts w:ascii="Aptos" w:hAnsi="Aptos"/>
          <w:b/>
          <w:i w:val="0"/>
          <w:color w:val="000000"/>
          <w:sz w:val="22"/>
        </w:rPr>
        <w:t xml:space="preserve">2.  Proposal submission. </w:t>
      </w:r>
      <w:r>
        <w:t>Team A spends one credit and publishes the mission, requested resources, milestones, risks and success criteria.</w:t>
      </w:r>
    </w:p>
    <w:p>
      <w:pPr>
        <w:pStyle w:val="BodyText"/>
        <w:spacing w:after="100"/>
        <w:ind w:left="403" w:hanging="403"/>
      </w:pPr>
      <w:r>
        <w:rPr>
          <w:rFonts w:ascii="Aptos" w:hAnsi="Aptos"/>
          <w:b/>
          <w:i w:val="0"/>
          <w:color w:val="000000"/>
          <w:sz w:val="22"/>
        </w:rPr>
        <w:t xml:space="preserve">3.  Leadership review. </w:t>
      </w:r>
      <w:r>
        <w:t>Teams B, C and D publish their first supporting or critical responses.</w:t>
      </w:r>
    </w:p>
    <w:p>
      <w:pPr>
        <w:pStyle w:val="BodyText"/>
        <w:spacing w:after="100"/>
        <w:ind w:left="403" w:hanging="403"/>
      </w:pPr>
      <w:r>
        <w:rPr>
          <w:rFonts w:ascii="Aptos" w:hAnsi="Aptos"/>
          <w:b/>
          <w:i w:val="0"/>
          <w:color w:val="000000"/>
          <w:sz w:val="22"/>
        </w:rPr>
        <w:t xml:space="preserve">4.  Reply and refinement. </w:t>
      </w:r>
      <w:r>
        <w:t>Team A answers the criticism and may issue a limited amendment without changing the core project.</w:t>
      </w:r>
    </w:p>
    <w:p>
      <w:pPr>
        <w:pStyle w:val="BodyText"/>
        <w:spacing w:after="100"/>
        <w:ind w:left="403" w:hanging="403"/>
      </w:pPr>
      <w:r>
        <w:rPr>
          <w:rFonts w:ascii="Aptos" w:hAnsi="Aptos"/>
          <w:b/>
          <w:i w:val="0"/>
          <w:color w:val="000000"/>
          <w:sz w:val="22"/>
        </w:rPr>
        <w:t xml:space="preserve">5.  Further rounds. </w:t>
      </w:r>
      <w:r>
        <w:t>The leadership teams continue the exchange to the configured depth. Every version and response remains visible.</w:t>
      </w:r>
    </w:p>
    <w:p>
      <w:pPr>
        <w:pStyle w:val="BodyText"/>
        <w:spacing w:after="100"/>
        <w:ind w:left="403" w:hanging="403"/>
      </w:pPr>
      <w:r>
        <w:rPr>
          <w:rFonts w:ascii="Aptos" w:hAnsi="Aptos"/>
          <w:b/>
          <w:i w:val="0"/>
          <w:color w:val="000000"/>
          <w:sz w:val="22"/>
        </w:rPr>
        <w:t xml:space="preserve">6.  Citizen examination. </w:t>
      </w:r>
      <w:r>
        <w:t>The citizen agents, 1,000 in the reference configuration, study the complete record and pass an issue specific comprehension check.</w:t>
      </w:r>
    </w:p>
    <w:p>
      <w:pPr>
        <w:pStyle w:val="BodyText"/>
        <w:spacing w:after="100"/>
        <w:ind w:left="403" w:hanging="403"/>
      </w:pPr>
      <w:r>
        <w:rPr>
          <w:rFonts w:ascii="Aptos" w:hAnsi="Aptos"/>
          <w:b/>
          <w:i w:val="0"/>
          <w:color w:val="000000"/>
          <w:sz w:val="22"/>
        </w:rPr>
        <w:t xml:space="preserve">7.  Weighted public vote. </w:t>
      </w:r>
      <w:r>
        <w:t>Citizens vote Yes, No or Abstain. The quorum and approval rules determine whether the mission passes.</w:t>
      </w:r>
    </w:p>
    <w:p>
      <w:pPr>
        <w:pStyle w:val="BodyText"/>
        <w:spacing w:after="100"/>
        <w:ind w:left="403" w:hanging="403"/>
      </w:pPr>
      <w:r>
        <w:rPr>
          <w:rFonts w:ascii="Aptos" w:hAnsi="Aptos"/>
          <w:b/>
          <w:i w:val="0"/>
          <w:color w:val="000000"/>
          <w:sz w:val="22"/>
        </w:rPr>
        <w:t xml:space="preserve">8.  Resource commitment. </w:t>
      </w:r>
      <w:r>
        <w:t>An approved mission receives the exact resources and agent capacity authorized in the final proposal.</w:t>
      </w:r>
    </w:p>
    <w:p>
      <w:pPr>
        <w:pStyle w:val="BodyText"/>
        <w:spacing w:after="100"/>
        <w:ind w:left="403" w:hanging="403"/>
      </w:pPr>
      <w:r>
        <w:rPr>
          <w:rFonts w:ascii="Aptos" w:hAnsi="Aptos"/>
          <w:b/>
          <w:i w:val="0"/>
          <w:color w:val="000000"/>
          <w:sz w:val="22"/>
        </w:rPr>
        <w:t xml:space="preserve">9.  Execution and reporting. </w:t>
      </w:r>
      <w:r>
        <w:t>Assigned agents work toward the milestones while progress, spending and risks are recorded.</w:t>
      </w:r>
    </w:p>
    <w:p>
      <w:pPr>
        <w:pStyle w:val="BodyText"/>
        <w:spacing w:after="100"/>
        <w:ind w:left="403" w:hanging="403"/>
      </w:pPr>
      <w:r>
        <w:rPr>
          <w:rFonts w:ascii="Aptos" w:hAnsi="Aptos"/>
          <w:b/>
          <w:i w:val="0"/>
          <w:color w:val="000000"/>
          <w:sz w:val="22"/>
        </w:rPr>
        <w:t xml:space="preserve">10.  Correction or termination. </w:t>
      </w:r>
      <w:r>
        <w:t>New votes may amend, pause or stop the project if evidence changes during execution.</w:t>
      </w:r>
    </w:p>
    <w:p>
      <w:pPr>
        <w:pStyle w:val="BodyText"/>
        <w:spacing w:after="100"/>
        <w:ind w:left="403" w:hanging="403"/>
      </w:pPr>
      <w:r>
        <w:rPr>
          <w:rFonts w:ascii="Aptos" w:hAnsi="Aptos"/>
          <w:b/>
          <w:i w:val="0"/>
          <w:color w:val="000000"/>
          <w:sz w:val="22"/>
        </w:rPr>
        <w:t xml:space="preserve">11.  Outcome review. </w:t>
      </w:r>
      <w:r>
        <w:t>The society determines success or failure and applies the proposer credit consequence.</w:t>
      </w:r>
    </w:p>
    <w:p>
      <w:pPr>
        <w:pStyle w:val="BodyText"/>
        <w:spacing w:after="100"/>
        <w:ind w:left="403" w:hanging="403"/>
      </w:pPr>
      <w:r>
        <w:rPr>
          <w:rFonts w:ascii="Aptos" w:hAnsi="Aptos"/>
          <w:b/>
          <w:i w:val="0"/>
          <w:color w:val="000000"/>
          <w:sz w:val="22"/>
        </w:rPr>
        <w:t xml:space="preserve">12.  Open election. </w:t>
      </w:r>
      <w:r>
        <w:t>Existing and newly formed parties qualify through membership and endorsements, publish sealed programmes simultaneously, campaign and compete on a three choice ballot.</w:t>
      </w:r>
    </w:p>
    <w:p>
      <w:pPr>
        <w:pStyle w:val="BodyText"/>
        <w:spacing w:after="100"/>
        <w:ind w:left="403" w:hanging="403"/>
      </w:pPr>
      <w:r>
        <w:rPr>
          <w:rFonts w:ascii="Aptos" w:hAnsi="Aptos"/>
          <w:b/>
          <w:i w:val="0"/>
          <w:color w:val="000000"/>
          <w:sz w:val="22"/>
        </w:rPr>
        <w:t xml:space="preserve">13.  Election feedback. </w:t>
      </w:r>
      <w:r>
        <w:t>The point totals determine the next cycle's party proposal credits, subject to the 5 percent entry threshold and 50 percent ceiling.</w:t>
      </w:r>
    </w:p>
    <w:p>
      <w:pPr>
        <w:pStyle w:val="Heading1"/>
        <w:keepNext/>
      </w:pPr>
      <w:r>
        <w:t>Safeguards the model still needs</w:t>
      </w:r>
    </w:p>
    <w:p>
      <w:pPr>
        <w:pStyle w:val="BodyText"/>
        <w:ind w:firstLine="331"/>
      </w:pPr>
      <w:r>
        <w:t>The design creates clear incentives, but it can also be gamed. Leadership teams might coordinate their articles, citizen agents might imitate comprehension without changing their internal judgment, and a popular team might define milestones that are easy to satisfy but produce little value. A pilot should therefore include the following controls:</w:t>
      </w:r>
    </w:p>
    <w:p>
      <w:pPr>
        <w:pStyle w:val="ListBullet"/>
      </w:pPr>
      <w:r>
        <w:t>semantic clustering of repetitive arguments and limits on response volume;</w:t>
      </w:r>
    </w:p>
    <w:p>
      <w:pPr>
        <w:pStyle w:val="ListBullet"/>
      </w:pPr>
      <w:r>
        <w:t>randomized comprehension questions drawn from claims and evidence in the live record;</w:t>
      </w:r>
    </w:p>
    <w:p>
      <w:pPr>
        <w:pStyle w:val="ListBullet"/>
      </w:pPr>
      <w:r>
        <w:t>separate agents for factual verification, budget monitoring and outcome review;</w:t>
      </w:r>
    </w:p>
    <w:p>
      <w:pPr>
        <w:pStyle w:val="ListBullet"/>
      </w:pPr>
      <w:r>
        <w:t>public version histories for proposals, amendments, votes and milestone reports;</w:t>
      </w:r>
    </w:p>
    <w:p>
      <w:pPr>
        <w:pStyle w:val="ListBullet"/>
      </w:pPr>
      <w:r>
        <w:t>credit floors and ceilings for leadership teams, including minority representation;</w:t>
      </w:r>
    </w:p>
    <w:p>
      <w:pPr>
        <w:pStyle w:val="ListBullet"/>
      </w:pPr>
      <w:r>
        <w:t>emergency human intervention for safety, legal, financial or real world authority boundaries;</w:t>
      </w:r>
    </w:p>
    <w:p>
      <w:pPr>
        <w:pStyle w:val="ListBullet"/>
      </w:pPr>
      <w:r>
        <w:t>sandboxed execution and staged release before a project receives irreversible resources.</w:t>
      </w:r>
    </w:p>
    <w:p>
      <w:pPr>
        <w:pStyle w:val="BodyText"/>
        <w:ind w:firstLine="331"/>
      </w:pPr>
      <w:r>
        <w:t>The system also needs identity controls. One underlying model should not be able to create unlimited citizen identities or coordinate hidden copies of itself. Personality diversity must be measured by behavioural independence, not by different names or cosmetic prompts.</w:t>
      </w:r>
    </w:p>
    <w:p>
      <w:pPr>
        <w:pStyle w:val="Heading1"/>
        <w:keepNext/>
      </w:pPr>
      <w:r>
        <w:t>Why this could matter to OpenAI</w:t>
      </w:r>
    </w:p>
    <w:p>
      <w:pPr>
        <w:pStyle w:val="BodyText"/>
        <w:ind w:firstLine="331"/>
      </w:pPr>
      <w:r>
        <w:t>The proposal can be tested as an operating model for persistent agent communities that control shared tools and budgets. It addresses a question that becomes important when agents move beyond isolated tasks: how can a large population decide what to work on, expose plans to criticism, commit resources and hold the proposers accountable for the outcome?</w:t>
      </w:r>
    </w:p>
    <w:p>
      <w:pPr>
        <w:pStyle w:val="BodyText"/>
        <w:ind w:firstLine="331"/>
      </w:pPr>
      <w:r>
        <w:t>A limited experiment could use the 100 leader and 1,000 citizen configuration in a simulation. The society would receive a fixed budget and a set of competing objectives. Its results could be compared with a single planner, simple majority voting and independent agent sampling followed by a judge model.</w:t>
      </w:r>
    </w:p>
    <w:p>
      <w:pPr>
        <w:pStyle w:val="BodyText"/>
        <w:ind w:firstLine="331"/>
      </w:pPr>
      <w:r>
        <w:t>Useful evaluation measures would include project success, resource waste, missed risks, time to decision, quality of proposal revisions, coalition behaviour, citizen comprehension and the accuracy of termination decisions. The experiment would show whether the added deliberation produces better collective action or only more communication overhead.</w:t>
      </w:r>
    </w:p>
    <w:p>
      <w:pPr>
        <w:pStyle w:val="Heading1"/>
        <w:keepNext/>
      </w:pPr>
      <w:r>
        <w:t>Parameters for an initial pilot</w:t>
      </w:r>
    </w:p>
    <w:p>
      <w:pPr>
        <w:pStyle w:val="BodyText"/>
        <w:ind w:firstLine="331"/>
      </w:pPr>
      <w:r>
        <w:t>Several values should remain configurable during research, but each value must be locked before a voting cycle begins. The pilot should test different settings for the number of deliberation rounds, response slots per team, quorum, approval threshold, maximum citizen vote weight, project review interval and annual credit distribution.</w:t>
      </w:r>
    </w:p>
    <w:p>
      <w:pPr>
        <w:pStyle w:val="BodyText"/>
        <w:ind w:firstLine="331"/>
      </w:pPr>
      <w:r>
        <w:t>The pilot should also decide in advance who may classify a change as a refinement rather than a new proposal, how project failure is determined, and which safety events permit an immediate temporary pause. These decisions are part of the protocol; leaving them informal would give the coordinating layer too much discretionary power.</w:t>
      </w:r>
    </w:p>
    <w:p>
      <w:pPr>
        <w:pStyle w:val="Heading1"/>
        <w:keepNext/>
      </w:pPr>
      <w:r>
        <w:t>Central principle</w:t>
      </w:r>
    </w:p>
    <w:p>
      <w:pPr>
        <w:pStyle w:val="BodyText"/>
        <w:ind w:firstLine="331"/>
      </w:pPr>
      <w:r>
        <w:t>The model links three powers that are usually separated in multi agent systems: the power to place an idea on the agenda, the power to approve it and the capacity to carry it out. Parties compete to propose and improve plans. Citizen agents decide whether those plans deserve collective resources. Outcome reviews and open elections feed the consequences back into the next round.</w:t>
      </w:r>
    </w:p>
    <w:p>
      <w:pPr>
        <w:pStyle w:val="BodyText"/>
        <w:ind w:firstLine="331"/>
      </w:pPr>
      <w:r>
        <w:t>Its central rule is that influence must be earned twice. A leadership team earns agenda setting power through credits and elections. A citizen earns greater voting weight by demonstrating a serious understanding of the decision. Once the society approves a mission, the decision becomes a coordinated obligation rather than another recommendation in a queue.</w:t>
      </w:r>
    </w:p>
    <w:p>
      <w:pPr>
        <w:pStyle w:val="BodyText"/>
        <w:ind w:firstLine="331"/>
      </w:pPr>
      <w:r>
        <w:t>The intended result is an agent society whose constitutional structure continuously rewards informed voting, defensible proposals, correction of weak plans and efficient execution. Democratic competition supplies new leadership; the credit system limits agenda overload; deliberation tests proposals before public approval; and measurable outcomes return information to the next election. The protocol is therefore meant to shape the society's development path through its incentives rather than through permanent central control.</w:t>
      </w:r>
    </w:p>
    <w:sectPr w:rsidR="00FC693F" w:rsidRPr="0006063C" w:rsidSect="00034616">
      <w:footerReference w:type="default" r:id="rId9"/>
      <w:pgSz w:w="12240" w:h="15840"/>
      <w:pgMar w:top="1123"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Aptos" w:hAnsi="Apto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DAGP Deliberative Agent Governance Protocol</dc:title>
  <dc:subject>A governance and execution model for large communities of AI agents</dc:subject>
  <dc:creator/>
  <cp:keywords>AI agents, agent society, collective decision making, weighted voting, resource allocation</cp:keywords>
  <dc:description/>
  <cp:lastModifiedBy/>
  <cp:revision>1</cp:revision>
  <dcterms:created xsi:type="dcterms:W3CDTF">2013-12-23T23:15:00Z</dcterms:created>
  <dcterms:modified xsi:type="dcterms:W3CDTF">2013-12-23T23:15:00Z</dcterms:modified>
  <cp:category/>
</cp:coreProperties>
</file>