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2e4a"/>
          <w:sz w:val="28"/>
          <w:szCs w:val="28"/>
          <w:rtl w:val="0"/>
        </w:rPr>
        <w:t xml:space="preserve">REFLEXIÓN INDIVIDUAL — ENTREGA FINAL PMV</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Calibri" w:cs="Calibri" w:eastAsia="Calibri" w:hAnsi="Calibri"/>
          <w:color w:val="718096"/>
          <w:sz w:val="18"/>
          <w:szCs w:val="18"/>
          <w:rtl w:val="0"/>
        </w:rPr>
        <w:t xml:space="preserve">Desarrollo de Aplicaciones Empresariales  ·  Grupo 5  ·  UCT  ·  2026</w:t>
      </w:r>
      <w:r w:rsidDel="00000000" w:rsidR="00000000" w:rsidRPr="00000000">
        <w:rPr>
          <w:rtl w:val="0"/>
        </w:rPr>
      </w:r>
    </w:p>
    <w:tbl>
      <w:tblPr>
        <w:tblStyle w:val="Table1"/>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tcBorders>
              <w:top w:color="2c5282" w:space="0" w:sz="4" w:val="single"/>
              <w:left w:color="2c5282" w:space="0" w:sz="4" w:val="single"/>
              <w:bottom w:color="2c5282" w:space="0" w:sz="4" w:val="single"/>
              <w:right w:color="2c5282" w:space="0" w:sz="4" w:val="single"/>
            </w:tcBorders>
            <w:shd w:fill="ebf4ff" w:val="clear"/>
            <w:tcMar>
              <w:top w:w="80.0" w:type="dxa"/>
              <w:left w:w="120.0" w:type="dxa"/>
              <w:bottom w:w="80.0" w:type="dxa"/>
              <w:right w:w="120.0" w:type="dxa"/>
            </w:tcMar>
          </w:tcPr>
          <w:p w:rsidR="00000000" w:rsidDel="00000000" w:rsidP="00000000" w:rsidRDefault="00000000" w:rsidRPr="00000000" w14:paraId="00000003">
            <w:pPr>
              <w:spacing w:after="140" w:before="0" w:lineRule="auto"/>
              <w:jc w:val="both"/>
              <w:rPr/>
            </w:pPr>
            <w:r w:rsidDel="00000000" w:rsidR="00000000" w:rsidRPr="00000000">
              <w:rPr>
                <w:rFonts w:ascii="Calibri" w:cs="Calibri" w:eastAsia="Calibri" w:hAnsi="Calibri"/>
                <w:b w:val="1"/>
                <w:bCs w:val="1"/>
                <w:color w:val="1a4e8c"/>
                <w:sz w:val="22"/>
                <w:szCs w:val="22"/>
                <w:rtl w:val="0"/>
              </w:rPr>
              <w:t xml:space="preserve">Integrante: </w:t>
            </w:r>
            <w:r w:rsidDel="00000000" w:rsidR="00000000" w:rsidRPr="00000000">
              <w:rPr>
                <w:rFonts w:ascii="Calibri" w:cs="Calibri" w:eastAsia="Calibri" w:hAnsi="Calibri"/>
                <w:color w:val="333333"/>
                <w:sz w:val="22"/>
                <w:szCs w:val="22"/>
                <w:rtl w:val="0"/>
              </w:rPr>
              <w:t xml:space="preserve">Martín Sanhueza Fernández</w:t>
            </w:r>
            <w:r w:rsidDel="00000000" w:rsidR="00000000" w:rsidRPr="00000000">
              <w:rPr>
                <w:rtl w:val="0"/>
              </w:rPr>
            </w:r>
          </w:p>
          <w:p w:rsidR="00000000" w:rsidDel="00000000" w:rsidP="00000000" w:rsidRDefault="00000000" w:rsidRPr="00000000" w14:paraId="00000004">
            <w:pPr>
              <w:spacing w:after="140" w:before="0" w:lineRule="auto"/>
              <w:jc w:val="both"/>
              <w:rPr/>
            </w:pPr>
            <w:r w:rsidDel="00000000" w:rsidR="00000000" w:rsidRPr="00000000">
              <w:rPr>
                <w:rFonts w:ascii="Calibri" w:cs="Calibri" w:eastAsia="Calibri" w:hAnsi="Calibri"/>
                <w:b w:val="1"/>
                <w:bCs w:val="1"/>
                <w:color w:val="1a4e8c"/>
                <w:sz w:val="22"/>
                <w:szCs w:val="22"/>
                <w:rtl w:val="0"/>
              </w:rPr>
              <w:t xml:space="preserve">Rol: </w:t>
            </w:r>
            <w:r w:rsidDel="00000000" w:rsidR="00000000" w:rsidRPr="00000000">
              <w:rPr>
                <w:rFonts w:ascii="Calibri" w:cs="Calibri" w:eastAsia="Calibri" w:hAnsi="Calibri"/>
                <w:color w:val="333333"/>
                <w:sz w:val="22"/>
                <w:szCs w:val="22"/>
                <w:rtl w:val="0"/>
              </w:rPr>
              <w:t xml:space="preserve">Formularios, validaciones, flujo de solicitud y decisiones del MPN</w:t>
            </w:r>
            <w:r w:rsidDel="00000000" w:rsidR="00000000" w:rsidRPr="00000000">
              <w:rPr>
                <w:rtl w:val="0"/>
              </w:rPr>
            </w:r>
          </w:p>
          <w:p w:rsidR="00000000" w:rsidDel="00000000" w:rsidP="00000000" w:rsidRDefault="00000000" w:rsidRPr="00000000" w14:paraId="00000005">
            <w:pPr>
              <w:spacing w:after="140" w:before="0" w:lineRule="auto"/>
              <w:jc w:val="both"/>
              <w:rPr/>
            </w:pPr>
            <w:r w:rsidDel="00000000" w:rsidR="00000000" w:rsidRPr="00000000">
              <w:rPr>
                <w:rFonts w:ascii="Calibri" w:cs="Calibri" w:eastAsia="Calibri" w:hAnsi="Calibri"/>
                <w:b w:val="1"/>
                <w:bCs w:val="1"/>
                <w:color w:val="1a4e8c"/>
                <w:sz w:val="22"/>
                <w:szCs w:val="22"/>
                <w:rtl w:val="0"/>
              </w:rPr>
              <w:t xml:space="preserve">Aplicación: </w:t>
            </w:r>
            <w:r w:rsidDel="00000000" w:rsidR="00000000" w:rsidRPr="00000000">
              <w:rPr>
                <w:rFonts w:ascii="Calibri" w:cs="Calibri" w:eastAsia="Calibri" w:hAnsi="Calibri"/>
                <w:color w:val="333333"/>
                <w:sz w:val="22"/>
                <w:szCs w:val="22"/>
                <w:rtl w:val="0"/>
              </w:rPr>
              <w:t xml:space="preserve">N°5 — Préstamo de Herramientas (ToolTrack)</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Bdr>
          <w:bottom w:color="2c5282" w:space="1" w:sz="4" w:val="single"/>
        </w:pBdr>
        <w:spacing w:after="60" w:before="200" w:lineRule="auto"/>
        <w:rPr/>
      </w:pPr>
      <w:r w:rsidDel="00000000" w:rsidR="00000000" w:rsidRPr="00000000">
        <w:rPr>
          <w:rFonts w:ascii="Calibri" w:cs="Calibri" w:eastAsia="Calibri" w:hAnsi="Calibri"/>
          <w:b w:val="1"/>
          <w:bCs w:val="1"/>
          <w:color w:val="1a4e8c"/>
          <w:sz w:val="24"/>
          <w:szCs w:val="24"/>
          <w:rtl w:val="0"/>
        </w:rPr>
        <w:t xml:space="preserve">1. ¿Qué aprendí durante el desarrollo de la aplicación?</w:t>
      </w:r>
      <w:r w:rsidDel="00000000" w:rsidR="00000000" w:rsidRPr="00000000">
        <w:rPr>
          <w:rtl w:val="0"/>
        </w:rPr>
      </w:r>
    </w:p>
    <w:p w:rsidR="00000000" w:rsidDel="00000000" w:rsidP="00000000" w:rsidRDefault="00000000" w:rsidRPr="00000000" w14:paraId="00000008">
      <w:pPr>
        <w:spacing w:after="140" w:before="0" w:lineRule="auto"/>
        <w:jc w:val="both"/>
        <w:rPr/>
      </w:pPr>
      <w:r w:rsidDel="00000000" w:rsidR="00000000" w:rsidRPr="00000000">
        <w:rPr>
          <w:rFonts w:ascii="Calibri" w:cs="Calibri" w:eastAsia="Calibri" w:hAnsi="Calibri"/>
          <w:color w:val="333333"/>
          <w:sz w:val="22"/>
          <w:szCs w:val="22"/>
          <w:rtl w:val="0"/>
        </w:rPr>
        <w:t xml:space="preserve">Aprendí que la coherencia entre fases (MPN → PMN → PMV) no es solo un requisito formal del curso, sino algo que efectivamente facilita el desarrollo: cuando dudamos si crear un nuevo actor para el módulo de Historial, volver al MPN de la Fase 1 nos dio la respuesta clara y nos ahorró tiempo de discusión que no teníamos disponible en las últimas 24 horas. También aprendí, viendo el trabajo de Nicolás en el Historial, cómo se estructuran consultas más avanzadas en Supabase con relaciones anidadas, algo que yo no había necesitado en las pantallas que implementé hasta ahora.</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pBdr>
          <w:bottom w:color="2c5282" w:space="1" w:sz="4" w:val="single"/>
        </w:pBdr>
        <w:spacing w:after="60" w:before="200" w:lineRule="auto"/>
        <w:rPr/>
      </w:pPr>
      <w:r w:rsidDel="00000000" w:rsidR="00000000" w:rsidRPr="00000000">
        <w:rPr>
          <w:rFonts w:ascii="Calibri" w:cs="Calibri" w:eastAsia="Calibri" w:hAnsi="Calibri"/>
          <w:b w:val="1"/>
          <w:bCs w:val="1"/>
          <w:color w:val="1a4e8c"/>
          <w:sz w:val="24"/>
          <w:szCs w:val="24"/>
          <w:rtl w:val="0"/>
        </w:rPr>
        <w:t xml:space="preserve">2. ¿Qué tareas realicé personalmente?</w:t>
      </w:r>
      <w:r w:rsidDel="00000000" w:rsidR="00000000" w:rsidRPr="00000000">
        <w:rPr>
          <w:rtl w:val="0"/>
        </w:rPr>
      </w:r>
    </w:p>
    <w:p w:rsidR="00000000" w:rsidDel="00000000" w:rsidP="00000000" w:rsidRDefault="00000000" w:rsidRPr="00000000" w14:paraId="0000000B">
      <w:pPr>
        <w:spacing w:after="140" w:before="0" w:lineRule="auto"/>
        <w:jc w:val="both"/>
        <w:rPr/>
      </w:pPr>
      <w:r w:rsidDel="00000000" w:rsidR="00000000" w:rsidRPr="00000000">
        <w:rPr>
          <w:rFonts w:ascii="Calibri" w:cs="Calibri" w:eastAsia="Calibri" w:hAnsi="Calibri"/>
          <w:color w:val="333333"/>
          <w:sz w:val="22"/>
          <w:szCs w:val="22"/>
          <w:rtl w:val="0"/>
        </w:rPr>
        <w:t xml:space="preserve">En esta entrega final mi aporte se concentró en revisar y probar exhaustivamente el flujo completo con los cambios nuevos: verifiqué que el login con PIN no rompiera ninguna de las pantallas que yo había construido (Nueva Solicitud, Aprobar/Rechazar, Devolución, Reporte de Incidencia), y que la anulación automática por abandono no generara conflictos con la lógica de detección de atrasos que yo mismo había implementado en el avance. También participé en la decisión de mantener el Historial dentro del rol Supervisor en lugar de crear un actor nuevo, aportando el argumento de que el profesor pidió explícitamente no ampliar el alcance del proyecto.</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Bdr>
          <w:bottom w:color="2c5282" w:space="1" w:sz="4" w:val="single"/>
        </w:pBdr>
        <w:spacing w:after="60" w:before="200" w:lineRule="auto"/>
        <w:rPr/>
      </w:pPr>
      <w:r w:rsidDel="00000000" w:rsidR="00000000" w:rsidRPr="00000000">
        <w:rPr>
          <w:rFonts w:ascii="Calibri" w:cs="Calibri" w:eastAsia="Calibri" w:hAnsi="Calibri"/>
          <w:b w:val="1"/>
          <w:bCs w:val="1"/>
          <w:color w:val="1a4e8c"/>
          <w:sz w:val="24"/>
          <w:szCs w:val="24"/>
          <w:rtl w:val="0"/>
        </w:rPr>
        <w:t xml:space="preserve">3. ¿Qué dificultades enfrenté?</w:t>
      </w:r>
      <w:r w:rsidDel="00000000" w:rsidR="00000000" w:rsidRPr="00000000">
        <w:rPr>
          <w:rtl w:val="0"/>
        </w:rPr>
      </w:r>
    </w:p>
    <w:p w:rsidR="00000000" w:rsidDel="00000000" w:rsidP="00000000" w:rsidRDefault="00000000" w:rsidRPr="00000000" w14:paraId="0000000E">
      <w:pPr>
        <w:spacing w:after="140" w:before="0" w:lineRule="auto"/>
        <w:jc w:val="both"/>
        <w:rPr/>
      </w:pPr>
      <w:r w:rsidDel="00000000" w:rsidR="00000000" w:rsidRPr="00000000">
        <w:rPr>
          <w:rFonts w:ascii="Calibri" w:cs="Calibri" w:eastAsia="Calibri" w:hAnsi="Calibri"/>
          <w:color w:val="333333"/>
          <w:sz w:val="22"/>
          <w:szCs w:val="22"/>
          <w:rtl w:val="0"/>
        </w:rPr>
        <w:t xml:space="preserve">La principal dificultad fue de tiempo: con solo 24 horas y un sistema que ya estaba relativamente estable, cualquier cambio grande representaba un riesgo de romper algo que funcionaba bien para la entrega anterior. Probé el flujo completo varias veces tras cada cambio de Nicolás para detectar regresiones temprano. Una dificultad concreta fue verificar que, al agregar la columna pin a la tabla usuarios, los usuarios de prueba que ya existían en Supabase desde el avance no quedaran sin PIN asignado, lo que habría bloqueado el login para todos en el peor momento posible.</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Bdr>
          <w:bottom w:color="2c5282" w:space="1" w:sz="4" w:val="single"/>
        </w:pBdr>
        <w:spacing w:after="60" w:before="200" w:lineRule="auto"/>
        <w:rPr/>
      </w:pPr>
      <w:r w:rsidDel="00000000" w:rsidR="00000000" w:rsidRPr="00000000">
        <w:rPr>
          <w:rFonts w:ascii="Calibri" w:cs="Calibri" w:eastAsia="Calibri" w:hAnsi="Calibri"/>
          <w:b w:val="1"/>
          <w:bCs w:val="1"/>
          <w:color w:val="1a4e8c"/>
          <w:sz w:val="24"/>
          <w:szCs w:val="24"/>
          <w:rtl w:val="0"/>
        </w:rPr>
        <w:t xml:space="preserve">4. ¿Qué haría distinto si comenzara nuevamente?</w:t>
      </w:r>
      <w:r w:rsidDel="00000000" w:rsidR="00000000" w:rsidRPr="00000000">
        <w:rPr>
          <w:rtl w:val="0"/>
        </w:rPr>
      </w:r>
    </w:p>
    <w:p w:rsidR="00000000" w:rsidDel="00000000" w:rsidP="00000000" w:rsidRDefault="00000000" w:rsidRPr="00000000" w14:paraId="00000011">
      <w:pPr>
        <w:spacing w:after="140" w:before="0" w:lineRule="auto"/>
        <w:jc w:val="both"/>
        <w:rPr/>
      </w:pPr>
      <w:r w:rsidDel="00000000" w:rsidR="00000000" w:rsidRPr="00000000">
        <w:rPr>
          <w:rFonts w:ascii="Calibri" w:cs="Calibri" w:eastAsia="Calibri" w:hAnsi="Calibri"/>
          <w:color w:val="333333"/>
          <w:sz w:val="22"/>
          <w:szCs w:val="22"/>
          <w:rtl w:val="0"/>
        </w:rPr>
        <w:t xml:space="preserve">Habría participado más activamente en las pruebas de regresión durante todo el semestre, no solo al final. Como construí varias pantallas críticas del flujo (Nueva Solicitud, Devolución, Incidencia), debí haber escrito una checklist de pasos a verificar después de cada cambio grande del proyecto, en lugar de probar todo manualmente y de memoria en las últimas horas. También me habría gustado proponer antes la idea de un PIN simple para autenticación, en lugar de dejar esa decisión completamente para la última entrega bajo presión de tiempo.</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140" w:before="0" w:lineRule="auto"/>
        <w:jc w:val="center"/>
        <w:rPr/>
      </w:pPr>
      <w:r w:rsidDel="00000000" w:rsidR="00000000" w:rsidRPr="00000000">
        <w:rPr>
          <w:rFonts w:ascii="Calibri" w:cs="Calibri" w:eastAsia="Calibri" w:hAnsi="Calibri"/>
          <w:color w:val="a0aec0"/>
          <w:sz w:val="18"/>
          <w:szCs w:val="18"/>
          <w:rtl w:val="0"/>
        </w:rPr>
        <w:t xml:space="preserve">Desarrollo de Aplicaciones Empresariales 2  ·  Universidad Católica de Temuco  ·  2026</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