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jc w:val="center"/>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中建澳门公司简介</w:t>
      </w:r>
    </w:p>
    <w:p>
      <w:pPr>
        <w:rPr>
          <w:rFonts w:hint="default"/>
          <w:lang w:val="en-US" w:eastAsia="zh-CN"/>
        </w:rPr>
      </w:pPr>
    </w:p>
    <w:p>
      <w:pPr>
        <w:ind w:firstLine="480" w:firstLineChars="200"/>
        <w:rPr>
          <w:rFonts w:hint="eastAsia" w:ascii="仿宋" w:hAnsi="仿宋" w:eastAsia="仿宋" w:cs="仿宋"/>
          <w:sz w:val="24"/>
          <w:szCs w:val="24"/>
        </w:rPr>
      </w:pPr>
      <w:r>
        <w:rPr>
          <w:rFonts w:hint="eastAsia" w:ascii="仿宋" w:hAnsi="仿宋" w:eastAsia="仿宋" w:cs="仿宋"/>
          <w:sz w:val="24"/>
          <w:szCs w:val="24"/>
        </w:rPr>
        <w:t>中建澳门公司1981年在澳成立，深耕42年。2010年以来，调整经营策略，紧紧围绕“不断做强做优做大，向一流的投资建设运营综合企业迈进”这一核心目标，立足“贡献经济指标、强化中海驻澳平台、打造集团言政高地”3大定位，通过脚踏实地，艰苦奋斗，实现了跨越式发展，成为澳门最强承建商，以及澳门一流建筑投资运营综合企业之一。公司围绕建筑、投资、平台、言政四个维度，以“服务客户，完美履约”、“创新模式，创造价值”、“中海合力，联动资源”、“繁荣澳门，服务社会”不断纵深推进中建澳门的市场营销工作。</w:t>
      </w:r>
    </w:p>
    <w:p>
      <w:pPr>
        <w:numPr>
          <w:ilvl w:val="0"/>
          <w:numId w:val="0"/>
        </w:numPr>
        <w:ind w:leftChars="0" w:firstLine="480" w:firstLineChars="200"/>
        <w:rPr>
          <w:rFonts w:hint="eastAsia" w:ascii="仿宋" w:hAnsi="仿宋" w:eastAsia="仿宋" w:cs="仿宋"/>
          <w:sz w:val="24"/>
          <w:szCs w:val="24"/>
        </w:rPr>
      </w:pPr>
      <w:r>
        <w:rPr>
          <w:rFonts w:hint="eastAsia" w:ascii="仿宋" w:hAnsi="仿宋" w:eastAsia="仿宋" w:cs="仿宋"/>
          <w:sz w:val="24"/>
          <w:szCs w:val="24"/>
          <w:lang w:val="en-US" w:eastAsia="zh-CN"/>
        </w:rPr>
        <w:t>公</w:t>
      </w:r>
      <w:r>
        <w:rPr>
          <w:rFonts w:hint="eastAsia" w:ascii="仿宋" w:hAnsi="仿宋" w:eastAsia="仿宋" w:cs="仿宋"/>
          <w:sz w:val="24"/>
          <w:szCs w:val="24"/>
        </w:rPr>
        <w:t>司在</w:t>
      </w:r>
      <w:r>
        <w:rPr>
          <w:rFonts w:hint="eastAsia" w:ascii="仿宋" w:hAnsi="仿宋" w:eastAsia="仿宋" w:cs="仿宋"/>
          <w:sz w:val="24"/>
          <w:szCs w:val="24"/>
          <w:lang w:val="en-US" w:eastAsia="zh-CN"/>
        </w:rPr>
        <w:t>粤港澳大湾区</w:t>
      </w:r>
      <w:r>
        <w:rPr>
          <w:rFonts w:hint="eastAsia" w:ascii="仿宋" w:hAnsi="仿宋" w:eastAsia="仿宋" w:cs="仿宋"/>
          <w:sz w:val="24"/>
          <w:szCs w:val="24"/>
        </w:rPr>
        <w:t>完成</w:t>
      </w:r>
      <w:r>
        <w:rPr>
          <w:rFonts w:hint="eastAsia" w:ascii="仿宋" w:hAnsi="仿宋" w:eastAsia="仿宋" w:cs="仿宋"/>
          <w:sz w:val="24"/>
          <w:szCs w:val="24"/>
          <w:lang w:val="en-US" w:eastAsia="zh-CN"/>
        </w:rPr>
        <w:t>多个承建及投资</w:t>
      </w:r>
      <w:r>
        <w:rPr>
          <w:rFonts w:hint="eastAsia" w:ascii="仿宋" w:hAnsi="仿宋" w:eastAsia="仿宋" w:cs="仿宋"/>
          <w:sz w:val="24"/>
          <w:szCs w:val="24"/>
        </w:rPr>
        <w:t>项目，</w:t>
      </w:r>
      <w:r>
        <w:rPr>
          <w:rFonts w:hint="eastAsia" w:ascii="仿宋" w:hAnsi="仿宋" w:eastAsia="仿宋" w:cs="仿宋"/>
          <w:sz w:val="24"/>
          <w:szCs w:val="24"/>
          <w:lang w:val="en-US" w:eastAsia="zh-CN"/>
        </w:rPr>
        <w:t>拥有丰富</w:t>
      </w:r>
      <w:r>
        <w:rPr>
          <w:rFonts w:hint="eastAsia" w:ascii="仿宋" w:hAnsi="仿宋" w:eastAsia="仿宋" w:cs="仿宋"/>
          <w:sz w:val="24"/>
          <w:szCs w:val="24"/>
        </w:rPr>
        <w:t>经验</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例如目前在广东省内在手的业务项目（新街坊、中山代建项目等），还有在港澳做过的大型关键项目（长者公寓、关闸巴士总站、香港方舱医院，获得过港澳政府</w:t>
      </w:r>
      <w:r>
        <w:rPr>
          <w:rFonts w:hint="eastAsia" w:ascii="仿宋" w:hAnsi="仿宋" w:eastAsia="仿宋" w:cs="仿宋"/>
          <w:sz w:val="24"/>
          <w:szCs w:val="24"/>
        </w:rPr>
        <w:t>的推荐信或感谢信，以证明</w:t>
      </w:r>
      <w:r>
        <w:rPr>
          <w:rFonts w:hint="eastAsia" w:ascii="仿宋" w:hAnsi="仿宋" w:eastAsia="仿宋" w:cs="仿宋"/>
          <w:sz w:val="24"/>
          <w:szCs w:val="24"/>
          <w:lang w:val="en-US" w:eastAsia="zh-CN"/>
        </w:rPr>
        <w:t>公司的</w:t>
      </w:r>
      <w:r>
        <w:rPr>
          <w:rFonts w:hint="eastAsia" w:ascii="仿宋" w:hAnsi="仿宋" w:eastAsia="仿宋" w:cs="仿宋"/>
          <w:sz w:val="24"/>
          <w:szCs w:val="24"/>
        </w:rPr>
        <w:t>专业能力和客户满意度</w:t>
      </w:r>
      <w:r>
        <w:rPr>
          <w:rFonts w:hint="eastAsia" w:ascii="仿宋" w:hAnsi="仿宋" w:eastAsia="仿宋" w:cs="仿宋"/>
          <w:sz w:val="24"/>
          <w:szCs w:val="24"/>
          <w:lang w:val="en-US" w:eastAsia="zh-CN"/>
        </w:rPr>
        <w:t>以及</w:t>
      </w:r>
      <w:r>
        <w:rPr>
          <w:rFonts w:hint="eastAsia" w:ascii="仿宋" w:hAnsi="仿宋" w:eastAsia="仿宋" w:cs="仿宋"/>
          <w:b w:val="0"/>
          <w:bCs w:val="0"/>
          <w:sz w:val="24"/>
          <w:szCs w:val="24"/>
          <w:lang w:val="en-US" w:eastAsia="zh-CN"/>
        </w:rPr>
        <w:t>政治背景、站位</w:t>
      </w:r>
      <w:r>
        <w:rPr>
          <w:rFonts w:hint="eastAsia" w:ascii="仿宋" w:hAnsi="仿宋" w:eastAsia="仿宋" w:cs="仿宋"/>
          <w:sz w:val="24"/>
          <w:szCs w:val="24"/>
        </w:rPr>
        <w:t>。</w:t>
      </w:r>
    </w:p>
    <w:p>
      <w:pPr>
        <w:numPr>
          <w:ilvl w:val="0"/>
          <w:numId w:val="0"/>
        </w:numPr>
        <w:ind w:leftChars="0" w:firstLine="480" w:firstLineChars="200"/>
        <w:rPr>
          <w:rFonts w:hint="eastAsia" w:ascii="仿宋" w:hAnsi="仿宋" w:eastAsia="仿宋" w:cs="仿宋"/>
          <w:sz w:val="24"/>
          <w:szCs w:val="24"/>
          <w:lang w:eastAsia="zh-CN"/>
        </w:rPr>
      </w:pPr>
      <w:r>
        <w:rPr>
          <w:rFonts w:hint="eastAsia" w:ascii="仿宋" w:hAnsi="仿宋" w:eastAsia="仿宋" w:cs="仿宋"/>
          <w:sz w:val="24"/>
          <w:szCs w:val="24"/>
          <w:lang w:val="en-US" w:eastAsia="zh-CN"/>
        </w:rPr>
        <w:t>公司擅长保障房、医院、学校等项目类型，拥有</w:t>
      </w:r>
      <w:r>
        <w:rPr>
          <w:rFonts w:hint="eastAsia" w:ascii="仿宋" w:hAnsi="仿宋" w:eastAsia="仿宋" w:cs="仿宋"/>
          <w:sz w:val="24"/>
          <w:szCs w:val="24"/>
        </w:rPr>
        <w:t>先进的施工技术、高效的项目管理和解决复杂问题的能力</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公司目前在内地获得过的奖项，拥有多个</w:t>
      </w:r>
      <w:r>
        <w:rPr>
          <w:rFonts w:hint="eastAsia" w:ascii="仿宋" w:hAnsi="仿宋" w:eastAsia="仿宋" w:cs="仿宋"/>
          <w:sz w:val="24"/>
          <w:szCs w:val="24"/>
        </w:rPr>
        <w:t>相关</w:t>
      </w:r>
      <w:r>
        <w:rPr>
          <w:rFonts w:hint="eastAsia" w:ascii="仿宋" w:hAnsi="仿宋" w:eastAsia="仿宋" w:cs="仿宋"/>
          <w:sz w:val="24"/>
          <w:szCs w:val="24"/>
          <w:lang w:val="en-US" w:eastAsia="zh-CN"/>
        </w:rPr>
        <w:t>获奖</w:t>
      </w:r>
      <w:r>
        <w:rPr>
          <w:rFonts w:hint="eastAsia" w:ascii="仿宋" w:hAnsi="仿宋" w:eastAsia="仿宋" w:cs="仿宋"/>
          <w:sz w:val="24"/>
          <w:szCs w:val="24"/>
        </w:rPr>
        <w:t>证书</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省部级科技奖、中国建设工程鲁班奖、詹天佑土木工程大奖、中国钢结构金奖等。</w:t>
      </w:r>
    </w:p>
    <w:p>
      <w:pPr>
        <w:numPr>
          <w:ilvl w:val="0"/>
          <w:numId w:val="0"/>
        </w:numPr>
        <w:ind w:firstLine="480" w:firstLineChars="200"/>
        <w:rPr>
          <w:rFonts w:hint="eastAsia" w:ascii="仿宋" w:hAnsi="仿宋" w:eastAsia="仿宋" w:cs="仿宋"/>
          <w:sz w:val="24"/>
          <w:szCs w:val="24"/>
        </w:rPr>
      </w:pPr>
      <w:r>
        <w:rPr>
          <w:rFonts w:hint="eastAsia" w:ascii="仿宋" w:hAnsi="仿宋" w:eastAsia="仿宋" w:cs="仿宋"/>
          <w:sz w:val="24"/>
          <w:szCs w:val="24"/>
          <w:lang w:val="en-US" w:eastAsia="zh-CN"/>
        </w:rPr>
        <w:t>施工资质为澳门特级资质，在横琴、南沙、黄埔均已进行资质备案。公司</w:t>
      </w:r>
      <w:r>
        <w:rPr>
          <w:rFonts w:hint="eastAsia" w:ascii="仿宋" w:hAnsi="仿宋" w:eastAsia="仿宋" w:cs="仿宋"/>
          <w:sz w:val="24"/>
          <w:szCs w:val="24"/>
        </w:rPr>
        <w:t>采用的先进技术和设备</w:t>
      </w:r>
      <w:r>
        <w:rPr>
          <w:rFonts w:hint="eastAsia" w:ascii="仿宋" w:hAnsi="仿宋" w:eastAsia="仿宋" w:cs="仿宋"/>
          <w:sz w:val="24"/>
          <w:szCs w:val="24"/>
          <w:lang w:eastAsia="zh-CN"/>
        </w:rPr>
        <w:t>（</w:t>
      </w:r>
      <w:r>
        <w:rPr>
          <w:rFonts w:hint="eastAsia" w:ascii="仿宋" w:hAnsi="仿宋" w:eastAsia="仿宋" w:cs="仿宋"/>
          <w:sz w:val="24"/>
          <w:szCs w:val="24"/>
          <w:lang w:val="en-US" w:eastAsia="zh-CN"/>
        </w:rPr>
        <w:t>MIC、MIMEP、BIM建模等）</w:t>
      </w:r>
      <w:r>
        <w:rPr>
          <w:rFonts w:hint="eastAsia" w:ascii="仿宋" w:hAnsi="仿宋" w:eastAsia="仿宋" w:cs="仿宋"/>
          <w:sz w:val="24"/>
          <w:szCs w:val="24"/>
        </w:rPr>
        <w:t>，</w:t>
      </w:r>
      <w:r>
        <w:rPr>
          <w:rFonts w:hint="eastAsia" w:ascii="仿宋" w:hAnsi="仿宋" w:eastAsia="仿宋" w:cs="仿宋"/>
          <w:sz w:val="24"/>
          <w:szCs w:val="24"/>
          <w:lang w:val="en-US" w:eastAsia="zh-CN"/>
        </w:rPr>
        <w:t>可以</w:t>
      </w:r>
      <w:r>
        <w:rPr>
          <w:rFonts w:hint="eastAsia" w:ascii="仿宋" w:hAnsi="仿宋" w:eastAsia="仿宋" w:cs="仿宋"/>
          <w:sz w:val="24"/>
          <w:szCs w:val="24"/>
        </w:rPr>
        <w:t>提供详细的项目进度计划，</w:t>
      </w:r>
      <w:r>
        <w:rPr>
          <w:rFonts w:hint="eastAsia" w:ascii="仿宋" w:hAnsi="仿宋" w:eastAsia="仿宋" w:cs="仿宋"/>
          <w:sz w:val="24"/>
          <w:szCs w:val="24"/>
          <w:lang w:val="en-US" w:eastAsia="zh-CN"/>
        </w:rPr>
        <w:t>以</w:t>
      </w:r>
      <w:r>
        <w:rPr>
          <w:rFonts w:hint="eastAsia" w:ascii="仿宋" w:hAnsi="仿宋" w:eastAsia="仿宋" w:cs="仿宋"/>
          <w:sz w:val="24"/>
          <w:szCs w:val="24"/>
        </w:rPr>
        <w:t>展示公司的项目管理能力和交付承诺。公司能够按时保质完成工程，尽量避免延期问题。</w:t>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882640" cy="3168015"/>
            <wp:effectExtent l="0" t="0" r="0" b="1905"/>
            <wp:docPr id="2" name="图片 2" descr="5c26c8e237cdda0b17049cc68688f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c26c8e237cdda0b17049cc68688fb1"/>
                    <pic:cNvPicPr>
                      <a:picLocks noChangeAspect="1"/>
                    </pic:cNvPicPr>
                  </pic:nvPicPr>
                  <pic:blipFill>
                    <a:blip r:embed="rId6"/>
                    <a:stretch>
                      <a:fillRect/>
                    </a:stretch>
                  </pic:blipFill>
                  <pic:spPr>
                    <a:xfrm>
                      <a:off x="0" y="0"/>
                      <a:ext cx="5882640" cy="3168015"/>
                    </a:xfrm>
                    <a:prstGeom prst="rect">
                      <a:avLst/>
                    </a:prstGeom>
                  </pic:spPr>
                </pic:pic>
              </a:graphicData>
            </a:graphic>
          </wp:inline>
        </w:drawing>
      </w:r>
    </w:p>
    <w:p>
      <w:pPr>
        <w:numPr>
          <w:ilvl w:val="0"/>
          <w:numId w:val="0"/>
        </w:numPr>
        <w:ind w:firstLine="480" w:firstLineChars="200"/>
        <w:rPr>
          <w:rFonts w:hint="eastAsia" w:ascii="仿宋" w:hAnsi="仿宋" w:eastAsia="仿宋" w:cs="仿宋"/>
          <w:sz w:val="24"/>
          <w:szCs w:val="24"/>
        </w:rPr>
      </w:pPr>
      <w:r>
        <w:rPr>
          <w:rFonts w:hint="eastAsia" w:ascii="仿宋" w:hAnsi="仿宋" w:eastAsia="仿宋" w:cs="仿宋"/>
          <w:sz w:val="24"/>
          <w:szCs w:val="24"/>
        </w:rPr>
        <w:t>公司作为大型</w:t>
      </w:r>
      <w:r>
        <w:rPr>
          <w:rFonts w:hint="eastAsia" w:ascii="仿宋" w:hAnsi="仿宋" w:eastAsia="仿宋" w:cs="仿宋"/>
          <w:sz w:val="24"/>
          <w:szCs w:val="24"/>
          <w:lang w:val="en-US" w:eastAsia="zh-CN"/>
        </w:rPr>
        <w:t>建筑投资型</w:t>
      </w:r>
      <w:r>
        <w:rPr>
          <w:rFonts w:hint="eastAsia" w:ascii="仿宋" w:hAnsi="仿宋" w:eastAsia="仿宋" w:cs="仿宋"/>
          <w:sz w:val="24"/>
          <w:szCs w:val="24"/>
        </w:rPr>
        <w:t>企业，资金实力相对较强。</w:t>
      </w:r>
      <w:r>
        <w:rPr>
          <w:rFonts w:hint="eastAsia" w:ascii="仿宋" w:hAnsi="仿宋" w:eastAsia="仿宋" w:cs="仿宋"/>
          <w:sz w:val="24"/>
          <w:szCs w:val="24"/>
          <w:lang w:val="en-US" w:eastAsia="zh-CN"/>
        </w:rPr>
        <w:t>对于投资类项目</w:t>
      </w:r>
      <w:r>
        <w:rPr>
          <w:rFonts w:hint="eastAsia" w:ascii="仿宋" w:hAnsi="仿宋" w:eastAsia="仿宋" w:cs="仿宋"/>
          <w:sz w:val="24"/>
          <w:szCs w:val="24"/>
        </w:rPr>
        <w:t>能够提供充足的资金保障，</w:t>
      </w:r>
      <w:r>
        <w:rPr>
          <w:rFonts w:hint="eastAsia" w:ascii="仿宋" w:hAnsi="仿宋" w:eastAsia="仿宋" w:cs="仿宋"/>
          <w:sz w:val="24"/>
          <w:szCs w:val="24"/>
          <w:lang w:val="en-US" w:eastAsia="zh-CN"/>
        </w:rPr>
        <w:t>对于政府工程，已在珠海横琴、广州南沙、广州黄埔等重点示范区域进行资质备案及入驻经营，可以在当地纳统纳税，也可以与当地国企合作，投资带动总包</w:t>
      </w:r>
      <w:r>
        <w:rPr>
          <w:rFonts w:hint="eastAsia" w:ascii="仿宋" w:hAnsi="仿宋" w:eastAsia="仿宋" w:cs="仿宋"/>
          <w:sz w:val="24"/>
          <w:szCs w:val="24"/>
        </w:rPr>
        <w:t>。公司坚持审慎投资，根据客户的需求，围绕建筑全产业链创新了</w:t>
      </w:r>
      <w:r>
        <w:rPr>
          <w:rFonts w:hint="eastAsia" w:ascii="仿宋" w:hAnsi="仿宋" w:eastAsia="仿宋" w:cs="仿宋"/>
          <w:sz w:val="24"/>
          <w:szCs w:val="24"/>
          <w:lang w:val="en-US" w:eastAsia="zh-CN"/>
        </w:rPr>
        <w:t>多</w:t>
      </w:r>
      <w:r>
        <w:rPr>
          <w:rFonts w:hint="eastAsia" w:ascii="仿宋" w:hAnsi="仿宋" w:eastAsia="仿宋" w:cs="仿宋"/>
          <w:sz w:val="24"/>
          <w:szCs w:val="24"/>
        </w:rPr>
        <w:t>类投资模式，并通过属地资源、专业优势等，创造项目价值最大化。</w:t>
      </w:r>
    </w:p>
    <w:p>
      <w:pPr>
        <w:rPr>
          <w:rFonts w:hint="eastAsia"/>
          <w:lang w:val="en-US" w:eastAsia="zh-CN"/>
        </w:rPr>
      </w:pPr>
    </w:p>
    <w:p>
      <w:pPr>
        <w:pStyle w:val="7"/>
        <w:rPr>
          <w:rFonts w:hint="eastAsia"/>
          <w:lang w:val="en-US" w:eastAsia="zh-CN"/>
        </w:rPr>
      </w:pPr>
    </w:p>
    <w:p>
      <w:pPr>
        <w:pStyle w:val="7"/>
        <w:rPr>
          <w:rFonts w:hint="eastAsia" w:ascii="仿宋" w:hAnsi="仿宋" w:eastAsia="仿宋" w:cs="仿宋"/>
          <w:highlight w:val="yellow"/>
          <w:lang w:val="en-US" w:eastAsia="zh-CN"/>
        </w:rPr>
      </w:pPr>
      <w:r>
        <w:rPr>
          <w:rFonts w:hint="eastAsia" w:ascii="仿宋" w:hAnsi="仿宋" w:eastAsia="仿宋" w:cs="仿宋"/>
          <w:highlight w:val="yellow"/>
          <w:lang w:val="en-US" w:eastAsia="zh-CN"/>
        </w:rPr>
        <w:t>公司近年工程：</w:t>
      </w:r>
    </w:p>
    <w:p>
      <w:pPr>
        <w:rPr>
          <w:rFonts w:hint="default"/>
          <w:lang w:val="en-US" w:eastAsia="zh-CN"/>
        </w:rPr>
      </w:pPr>
    </w:p>
    <w:p>
      <w:pPr>
        <w:ind w:firstLine="723" w:firstLineChars="300"/>
        <w:jc w:val="left"/>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 xml:space="preserve">珠光国际大厦                             中海寰宇天下    </w:t>
      </w:r>
    </w:p>
    <w:p>
      <w:pPr>
        <w:jc w:val="left"/>
        <w:rPr>
          <w:rFonts w:hint="eastAsia" w:ascii="仿宋" w:hAnsi="仿宋" w:eastAsia="仿宋" w:cs="仿宋"/>
          <w:b/>
          <w:bCs/>
          <w:sz w:val="24"/>
          <w:szCs w:val="24"/>
          <w:lang w:val="en-US" w:eastAsia="zh-CN"/>
        </w:rPr>
      </w:pPr>
      <w:r>
        <w:drawing>
          <wp:inline distT="0" distB="0" distL="114300" distR="114300">
            <wp:extent cx="1807845" cy="1236345"/>
            <wp:effectExtent l="0" t="0" r="5715" b="13335"/>
            <wp:docPr id="9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7845" cy="1236345"/>
                    </a:xfrm>
                    <a:prstGeom prst="rect">
                      <a:avLst/>
                    </a:prstGeom>
                    <a:ln>
                      <a:noFill/>
                    </a:ln>
                  </pic:spPr>
                </pic:pic>
              </a:graphicData>
            </a:graphic>
          </wp:inline>
        </w:drawing>
      </w:r>
      <w:r>
        <w:rPr>
          <w:rFonts w:hint="eastAsia"/>
          <w:lang w:val="en-US" w:eastAsia="zh-CN"/>
        </w:rPr>
        <w:t xml:space="preserve">                   </w:t>
      </w:r>
      <w:r>
        <w:drawing>
          <wp:inline distT="0" distB="0" distL="114300" distR="114300">
            <wp:extent cx="1853565" cy="1244600"/>
            <wp:effectExtent l="0" t="0" r="5715" b="508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8"/>
                    <a:srcRect l="178" t="10335" r="1546" b="12778"/>
                    <a:stretch>
                      <a:fillRect/>
                    </a:stretch>
                  </pic:blipFill>
                  <pic:spPr>
                    <a:xfrm>
                      <a:off x="0" y="0"/>
                      <a:ext cx="1853749" cy="1244678"/>
                    </a:xfrm>
                    <a:prstGeom prst="rect">
                      <a:avLst/>
                    </a:prstGeom>
                    <a:ln>
                      <a:noFill/>
                    </a:ln>
                  </pic:spPr>
                </pic:pic>
              </a:graphicData>
            </a:graphic>
          </wp:inline>
        </w:drawing>
      </w:r>
    </w:p>
    <w:p>
      <w:pPr>
        <w:pStyle w:val="2"/>
        <w:rPr>
          <w:rFonts w:hint="eastAsia" w:ascii="仿宋" w:hAnsi="仿宋" w:eastAsia="仿宋" w:cs="仿宋"/>
          <w:b/>
          <w:bCs/>
          <w:sz w:val="24"/>
          <w:szCs w:val="24"/>
          <w:lang w:val="en-US" w:eastAsia="zh-CN"/>
        </w:rPr>
      </w:pPr>
    </w:p>
    <w:p>
      <w:pPr>
        <w:pStyle w:val="2"/>
        <w:ind w:firstLine="723" w:firstLineChars="300"/>
        <w:rPr>
          <w:rFonts w:hint="default" w:ascii="仿宋" w:hAnsi="仿宋" w:eastAsia="仿宋" w:cs="仿宋"/>
          <w:b/>
          <w:bCs/>
          <w:sz w:val="24"/>
          <w:szCs w:val="24"/>
          <w:lang w:val="en-US" w:eastAsia="zh-CN"/>
        </w:rPr>
      </w:pPr>
      <w:r>
        <w:rPr>
          <w:rFonts w:hint="eastAsia" w:ascii="仿宋" w:hAnsi="仿宋" w:eastAsia="仿宋" w:cs="仿宋"/>
          <w:b/>
          <w:bCs/>
          <w:sz w:val="24"/>
          <w:szCs w:val="24"/>
          <w:lang w:val="en-US" w:eastAsia="zh-CN"/>
        </w:rPr>
        <w:t>澳门新街坊                                横琴二线关</w:t>
      </w:r>
    </w:p>
    <w:p>
      <w:pPr>
        <w:rPr>
          <w:rFonts w:hint="default" w:eastAsiaTheme="minorEastAsia"/>
          <w:lang w:val="en-US" w:eastAsia="zh-CN"/>
        </w:rPr>
      </w:pPr>
      <w:r>
        <w:drawing>
          <wp:inline distT="0" distB="0" distL="114300" distR="114300">
            <wp:extent cx="1813560" cy="1367155"/>
            <wp:effectExtent l="0" t="0" r="0" b="4445"/>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2805" r="2353"/>
                    <a:stretch>
                      <a:fillRect/>
                    </a:stretch>
                  </pic:blipFill>
                  <pic:spPr>
                    <a:xfrm>
                      <a:off x="0" y="0"/>
                      <a:ext cx="1813560" cy="13671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917700" cy="1350645"/>
            <wp:effectExtent l="0" t="0" r="2540" b="5715"/>
            <wp:docPr id="8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4"/>
                    <pic:cNvPicPr>
                      <a:picLocks noChangeAspect="1"/>
                    </pic:cNvPicPr>
                  </pic:nvPicPr>
                  <pic:blipFill>
                    <a:blip r:embed="rId10"/>
                    <a:stretch>
                      <a:fillRect/>
                    </a:stretch>
                  </pic:blipFill>
                  <pic:spPr>
                    <a:xfrm>
                      <a:off x="0" y="0"/>
                      <a:ext cx="1917700" cy="1350645"/>
                    </a:xfrm>
                    <a:prstGeom prst="rect">
                      <a:avLst/>
                    </a:prstGeom>
                    <a:solidFill>
                      <a:srgbClr val="FFFFFF">
                        <a:shade val="85000"/>
                      </a:srgbClr>
                    </a:solidFill>
                    <a:ln w="3175" cap="sq">
                      <a:noFill/>
                      <a:miter lim="800000"/>
                      <a:headEnd/>
                      <a:tailEnd/>
                    </a:ln>
                    <a:effectLst/>
                  </pic:spPr>
                </pic:pic>
              </a:graphicData>
            </a:graphic>
          </wp:inline>
        </w:drawing>
      </w:r>
    </w:p>
    <w:p>
      <w:pPr>
        <w:pStyle w:val="2"/>
        <w:rPr>
          <w:rFonts w:hint="default"/>
          <w:lang w:val="en-US" w:eastAsia="zh-CN"/>
        </w:rPr>
      </w:pPr>
    </w:p>
    <w:p>
      <w:pPr>
        <w:ind w:firstLine="482" w:firstLineChars="200"/>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 xml:space="preserve">南屏保障房（EPC）                          澳门离岛医院    </w:t>
      </w:r>
    </w:p>
    <w:p>
      <w:pPr>
        <w:pStyle w:val="2"/>
        <w:rPr>
          <w:rFonts w:hint="default" w:eastAsiaTheme="minorEastAsia"/>
          <w:lang w:val="en-US" w:eastAsia="zh-CN"/>
        </w:rPr>
      </w:pPr>
      <w:r>
        <w:drawing>
          <wp:inline distT="0" distB="0" distL="114300" distR="114300">
            <wp:extent cx="1811655" cy="1380490"/>
            <wp:effectExtent l="0" t="0" r="1905" b="6350"/>
            <wp:docPr id="98"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6"/>
                    <pic:cNvPicPr>
                      <a:picLocks noChangeAspect="1"/>
                    </pic:cNvPicPr>
                  </pic:nvPicPr>
                  <pic:blipFill>
                    <a:blip r:embed="rId11" cstate="print">
                      <a:extLst>
                        <a:ext uri="{28A0092B-C50C-407E-A947-70E740481C1C}">
                          <a14:useLocalDpi xmlns:a14="http://schemas.microsoft.com/office/drawing/2010/main" val="0"/>
                        </a:ext>
                      </a:extLst>
                    </a:blip>
                    <a:srcRect l="11720" t="8863"/>
                    <a:stretch>
                      <a:fillRect/>
                    </a:stretch>
                  </pic:blipFill>
                  <pic:spPr>
                    <a:xfrm>
                      <a:off x="0" y="0"/>
                      <a:ext cx="1811655" cy="1380490"/>
                    </a:xfrm>
                    <a:prstGeom prst="rect">
                      <a:avLst/>
                    </a:prstGeom>
                  </pic:spPr>
                </pic:pic>
              </a:graphicData>
            </a:graphic>
          </wp:inline>
        </w:drawing>
      </w:r>
      <w:r>
        <w:rPr>
          <w:rFonts w:hint="eastAsia"/>
          <w:lang w:val="en-US" w:eastAsia="zh-CN"/>
        </w:rPr>
        <w:t xml:space="preserve">                   </w:t>
      </w:r>
      <w:r>
        <w:drawing>
          <wp:inline distT="0" distB="0" distL="114300" distR="114300">
            <wp:extent cx="2028825" cy="1356360"/>
            <wp:effectExtent l="9525" t="9525" r="19050" b="20955"/>
            <wp:docPr id="3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3"/>
                    <pic:cNvPicPr>
                      <a:picLocks noChangeAspect="1"/>
                    </pic:cNvPicPr>
                  </pic:nvPicPr>
                  <pic:blipFill>
                    <a:blip r:embed="rId12" cstate="print">
                      <a:extLst>
                        <a:ext uri="{28A0092B-C50C-407E-A947-70E740481C1C}">
                          <a14:useLocalDpi xmlns:a14="http://schemas.microsoft.com/office/drawing/2010/main" val="0"/>
                        </a:ext>
                      </a:extLst>
                    </a:blip>
                    <a:srcRect l="5854" r="3810"/>
                    <a:stretch>
                      <a:fillRect/>
                    </a:stretch>
                  </pic:blipFill>
                  <pic:spPr>
                    <a:xfrm>
                      <a:off x="0" y="0"/>
                      <a:ext cx="2028825" cy="1356360"/>
                    </a:xfrm>
                    <a:prstGeom prst="rect">
                      <a:avLst/>
                    </a:prstGeom>
                    <a:ln>
                      <a:solidFill>
                        <a:schemeClr val="accent1"/>
                      </a:solidFill>
                    </a:ln>
                  </pic:spPr>
                </pic:pic>
              </a:graphicData>
            </a:graphic>
          </wp:inline>
        </w:drawing>
      </w:r>
    </w:p>
    <w:p>
      <w:pPr>
        <w:rPr>
          <w:rFonts w:hint="default"/>
          <w:lang w:val="en-US" w:eastAsia="zh-CN"/>
        </w:rPr>
      </w:pPr>
    </w:p>
    <w:p>
      <w:pPr>
        <w:pStyle w:val="2"/>
        <w:spacing w:line="240" w:lineRule="auto"/>
        <w:rPr>
          <w:rFonts w:hint="default" w:ascii="仿宋" w:hAnsi="仿宋" w:eastAsia="仿宋" w:cs="仿宋"/>
          <w:b/>
          <w:bCs/>
          <w:kern w:val="2"/>
          <w:sz w:val="24"/>
          <w:szCs w:val="24"/>
          <w:lang w:val="en-US" w:eastAsia="zh-CN" w:bidi="ar-SA"/>
        </w:rPr>
      </w:pPr>
      <w:r>
        <w:rPr>
          <w:rFonts w:hint="eastAsia"/>
          <w:lang w:val="en-US" w:eastAsia="zh-CN"/>
        </w:rPr>
        <w:t xml:space="preserve">     </w:t>
      </w:r>
      <w:r>
        <w:rPr>
          <w:rFonts w:hint="eastAsia" w:ascii="仿宋" w:hAnsi="仿宋" w:eastAsia="仿宋" w:cs="仿宋"/>
          <w:lang w:val="en-US" w:eastAsia="zh-CN"/>
        </w:rPr>
        <w:t xml:space="preserve">   </w:t>
      </w:r>
      <w:r>
        <w:rPr>
          <w:rFonts w:hint="eastAsia" w:ascii="仿宋" w:hAnsi="仿宋" w:eastAsia="仿宋" w:cs="仿宋"/>
          <w:b/>
          <w:bCs/>
          <w:kern w:val="2"/>
          <w:sz w:val="24"/>
          <w:szCs w:val="24"/>
          <w:lang w:val="en-US" w:eastAsia="zh-CN" w:bidi="ar-SA"/>
        </w:rPr>
        <w:t>澳门长者公寓                            澳门银河四期</w:t>
      </w:r>
    </w:p>
    <w:p>
      <w:pPr>
        <w:pStyle w:val="2"/>
        <w:rPr>
          <w:rFonts w:hint="default" w:eastAsiaTheme="minorEastAsia"/>
          <w:lang w:val="en-US" w:eastAsia="zh-CN"/>
        </w:rPr>
      </w:pPr>
      <w:r>
        <w:drawing>
          <wp:inline distT="0" distB="0" distL="114300" distR="114300">
            <wp:extent cx="1931035" cy="1313180"/>
            <wp:effectExtent l="9525" t="9525" r="10160" b="18415"/>
            <wp:docPr id="43" name="图片 1" descr="页面提取自－20201231東北大馬路長者公寓設計連建造工程-单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页面提取自－20201231東北大馬路長者公寓設計連建造工程-单页-6"/>
                    <pic:cNvPicPr>
                      <a:picLocks noChangeAspect="1"/>
                    </pic:cNvPicPr>
                  </pic:nvPicPr>
                  <pic:blipFill>
                    <a:blip r:embed="rId13"/>
                    <a:srcRect l="20244" t="4095" b="6461"/>
                    <a:stretch>
                      <a:fillRect/>
                    </a:stretch>
                  </pic:blipFill>
                  <pic:spPr>
                    <a:xfrm>
                      <a:off x="0" y="0"/>
                      <a:ext cx="1931035" cy="1313180"/>
                    </a:xfrm>
                    <a:prstGeom prst="rect">
                      <a:avLst/>
                    </a:prstGeom>
                    <a:ln>
                      <a:solidFill>
                        <a:schemeClr val="accent1"/>
                      </a:solidFill>
                    </a:ln>
                  </pic:spPr>
                </pic:pic>
              </a:graphicData>
            </a:graphic>
          </wp:inline>
        </w:drawing>
      </w:r>
      <w:r>
        <w:rPr>
          <w:rFonts w:hint="eastAsia"/>
          <w:lang w:val="en-US" w:eastAsia="zh-CN"/>
        </w:rPr>
        <w:t xml:space="preserve">                 </w:t>
      </w:r>
      <w:r>
        <w:drawing>
          <wp:inline distT="0" distB="0" distL="114300" distR="114300">
            <wp:extent cx="2122170" cy="1311275"/>
            <wp:effectExtent l="9525" t="9525" r="17145" b="20320"/>
            <wp:docPr id="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pic:cNvPicPr>
                      <a:picLocks noChangeAspect="1"/>
                    </pic:cNvPicPr>
                  </pic:nvPicPr>
                  <pic:blipFill>
                    <a:blip r:embed="rId14" cstate="print">
                      <a:extLst>
                        <a:ext uri="{28A0092B-C50C-407E-A947-70E740481C1C}">
                          <a14:useLocalDpi xmlns:a14="http://schemas.microsoft.com/office/drawing/2010/main" val="0"/>
                        </a:ext>
                      </a:extLst>
                    </a:blip>
                    <a:srcRect l="17950" t="11621" r="15964" b="15513"/>
                    <a:stretch>
                      <a:fillRect/>
                    </a:stretch>
                  </pic:blipFill>
                  <pic:spPr>
                    <a:xfrm>
                      <a:off x="0" y="0"/>
                      <a:ext cx="2122170" cy="1311275"/>
                    </a:xfrm>
                    <a:prstGeom prst="rect">
                      <a:avLst/>
                    </a:prstGeom>
                    <a:ln>
                      <a:solidFill>
                        <a:schemeClr val="accent1"/>
                      </a:solidFill>
                    </a:ln>
                  </pic:spPr>
                </pic:pic>
              </a:graphicData>
            </a:graphic>
          </wp:inline>
        </w:drawing>
      </w:r>
    </w:p>
    <w:p>
      <w:pPr>
        <w:rPr>
          <w:rFonts w:hint="default"/>
          <w:lang w:val="en-US" w:eastAsia="zh-CN"/>
        </w:rPr>
      </w:pPr>
    </w:p>
    <w:p>
      <w:pPr>
        <w:pStyle w:val="2"/>
        <w:rPr>
          <w:rFonts w:hint="default"/>
          <w:lang w:val="en-US" w:eastAsia="zh-CN"/>
        </w:rPr>
      </w:pPr>
    </w:p>
    <w:p>
      <w:pPr>
        <w:rPr>
          <w:rFonts w:hint="default"/>
          <w:lang w:val="en-US" w:eastAsia="zh-CN"/>
        </w:rPr>
      </w:pPr>
    </w:p>
    <w:p>
      <w:pPr>
        <w:rPr>
          <w:rFonts w:hint="default"/>
          <w:lang w:val="en-US" w:eastAsia="zh-CN"/>
        </w:rPr>
      </w:pPr>
    </w:p>
    <w:p>
      <w:pPr>
        <w:jc w:val="both"/>
        <w:rPr>
          <w:rFonts w:hint="eastAsia" w:ascii="仿宋" w:hAnsi="仿宋" w:eastAsia="仿宋" w:cs="仿宋"/>
          <w:b/>
          <w:bCs/>
          <w:sz w:val="24"/>
          <w:szCs w:val="24"/>
          <w:lang w:val="en-US" w:eastAsia="zh-CN"/>
        </w:rPr>
      </w:pPr>
      <w:bookmarkStart w:id="0" w:name="_GoBack"/>
      <w:bookmarkEnd w:id="0"/>
    </w:p>
    <w:p>
      <w:pPr>
        <w:jc w:val="center"/>
        <w:rPr>
          <w:rFonts w:hint="eastAsia" w:ascii="仿宋" w:hAnsi="仿宋" w:eastAsia="仿宋" w:cs="仿宋"/>
          <w:b/>
          <w:bCs/>
          <w:sz w:val="24"/>
          <w:szCs w:val="24"/>
          <w:lang w:val="en-US" w:eastAsia="zh-CN"/>
        </w:rPr>
      </w:pPr>
    </w:p>
    <w:p>
      <w:pPr>
        <w:jc w:val="center"/>
        <w:rPr>
          <w:rFonts w:hint="eastAsia" w:ascii="仿宋" w:hAnsi="仿宋" w:eastAsia="仿宋" w:cs="仿宋"/>
          <w:b/>
          <w:bCs/>
          <w:sz w:val="24"/>
          <w:szCs w:val="24"/>
          <w:lang w:val="en-US" w:eastAsia="zh-CN"/>
        </w:rPr>
      </w:pPr>
    </w:p>
    <w:p>
      <w:pPr>
        <w:jc w:val="center"/>
        <w:rPr>
          <w:rFonts w:hint="default" w:ascii="仿宋" w:hAnsi="仿宋" w:eastAsia="仿宋" w:cs="仿宋"/>
          <w:b/>
          <w:bCs/>
          <w:sz w:val="24"/>
          <w:szCs w:val="24"/>
          <w:lang w:val="en-US" w:eastAsia="zh-CN"/>
        </w:rPr>
      </w:pPr>
      <w:r>
        <w:rPr>
          <w:rFonts w:hint="eastAsia" w:ascii="仿宋" w:hAnsi="仿宋" w:eastAsia="仿宋" w:cs="仿宋"/>
          <w:b/>
          <w:bCs/>
          <w:sz w:val="24"/>
          <w:szCs w:val="24"/>
          <w:lang w:val="en-US" w:eastAsia="zh-CN"/>
        </w:rPr>
        <w:t>招标文件编制参考</w:t>
      </w:r>
    </w:p>
    <w:p>
      <w:pPr>
        <w:ind w:firstLine="480" w:firstLineChars="200"/>
        <w:rPr>
          <w:rFonts w:hint="eastAsia" w:ascii="仿宋" w:hAnsi="仿宋" w:eastAsia="仿宋" w:cs="仿宋"/>
          <w:sz w:val="24"/>
          <w:szCs w:val="24"/>
          <w:lang w:val="en-US" w:eastAsia="zh-CN"/>
        </w:rPr>
      </w:pPr>
    </w:p>
    <w:p>
      <w:pPr>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招标要求可参考珠海案例：横琴粤澳深度合作区“二线”海关查验场主体工程项目、开放在当地进行资质备案并符合要求的港澳企业参与投标，以便港澳企业入场。</w:t>
      </w:r>
    </w:p>
    <w:tbl>
      <w:tblPr>
        <w:tblStyle w:val="13"/>
        <w:tblpPr w:leftFromText="180" w:rightFromText="180" w:vertAnchor="page" w:horzAnchor="page" w:tblpXSpec="center" w:tblpY="3810"/>
        <w:tblOverlap w:val="never"/>
        <w:tblW w:w="5000" w:type="pct"/>
        <w:jc w:val="center"/>
        <w:tblCellSpacing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0" w:type="dxa"/>
          <w:left w:w="0" w:type="dxa"/>
          <w:bottom w:w="0" w:type="dxa"/>
          <w:right w:w="0" w:type="dxa"/>
        </w:tblCellMar>
      </w:tblPr>
      <w:tblGrid>
        <w:gridCol w:w="442"/>
        <w:gridCol w:w="789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0" w:type="dxa"/>
            <w:left w:w="0" w:type="dxa"/>
            <w:bottom w:w="0" w:type="dxa"/>
            <w:right w:w="0" w:type="dxa"/>
          </w:tblCellMar>
        </w:tblPrEx>
        <w:trPr>
          <w:tblCellSpacing w:w="0" w:type="dxa"/>
          <w:jc w:val="center"/>
        </w:trPr>
        <w:tc>
          <w:tcPr>
            <w:tcW w:w="5000" w:type="pct"/>
            <w:gridSpan w:val="2"/>
            <w:shd w:val="clear" w:color="auto" w:fill="FFFFFF"/>
            <w:vAlign w:val="center"/>
          </w:tcPr>
          <w:p>
            <w:pPr>
              <w:keepNext w:val="0"/>
              <w:keepLines w:val="0"/>
              <w:widowControl/>
              <w:suppressLineNumbers w:val="0"/>
              <w:jc w:val="center"/>
              <w:rPr>
                <w:rFonts w:hint="default" w:ascii="仿宋" w:hAnsi="仿宋" w:eastAsia="仿宋" w:cs="仿宋"/>
                <w:i w:val="0"/>
                <w:iCs w:val="0"/>
                <w:caps w:val="0"/>
                <w:spacing w:val="0"/>
                <w:kern w:val="0"/>
                <w:sz w:val="18"/>
                <w:szCs w:val="18"/>
                <w:lang w:val="en-US" w:eastAsia="zh-CN" w:bidi="ar"/>
              </w:rPr>
            </w:pPr>
            <w:r>
              <w:rPr>
                <w:rFonts w:hint="eastAsia" w:ascii="仿宋" w:hAnsi="仿宋" w:eastAsia="仿宋" w:cs="仿宋"/>
                <w:sz w:val="24"/>
                <w:szCs w:val="24"/>
                <w:lang w:val="en-US" w:eastAsia="zh-CN"/>
              </w:rPr>
              <w:t>横琴粤澳深度合作区“二线”海关查验场主体工程招标要求</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PrEx>
        <w:trPr>
          <w:tblCellSpacing w:w="0" w:type="dxa"/>
          <w:jc w:val="center"/>
        </w:trPr>
        <w:tc>
          <w:tcPr>
            <w:tcW w:w="265" w:type="pct"/>
            <w:shd w:val="clear" w:color="auto" w:fill="FFFFFF"/>
            <w:vAlign w:val="center"/>
          </w:tcPr>
          <w:p>
            <w:pPr>
              <w:keepNext w:val="0"/>
              <w:keepLines w:val="0"/>
              <w:widowControl/>
              <w:suppressLineNumbers w:val="0"/>
              <w:jc w:val="center"/>
              <w:rPr>
                <w:rFonts w:hint="eastAsia" w:ascii="仿宋" w:hAnsi="仿宋" w:eastAsia="仿宋" w:cs="仿宋"/>
                <w:b/>
                <w:bCs/>
                <w:i w:val="0"/>
                <w:iCs w:val="0"/>
                <w:caps w:val="0"/>
                <w:spacing w:val="0"/>
                <w:sz w:val="18"/>
                <w:szCs w:val="18"/>
              </w:rPr>
            </w:pPr>
            <w:r>
              <w:rPr>
                <w:rFonts w:hint="eastAsia" w:ascii="仿宋" w:hAnsi="仿宋" w:eastAsia="仿宋" w:cs="仿宋"/>
                <w:b/>
                <w:bCs/>
                <w:i w:val="0"/>
                <w:iCs w:val="0"/>
                <w:caps w:val="0"/>
                <w:spacing w:val="0"/>
                <w:kern w:val="0"/>
                <w:sz w:val="18"/>
                <w:szCs w:val="18"/>
                <w:lang w:val="en-US" w:eastAsia="zh-CN" w:bidi="ar"/>
              </w:rPr>
              <w:t>投标资格</w:t>
            </w:r>
          </w:p>
        </w:tc>
        <w:tc>
          <w:tcPr>
            <w:tcW w:w="4734" w:type="pct"/>
            <w:shd w:val="clear" w:color="auto" w:fill="FFFFFF"/>
            <w:vAlign w:val="center"/>
          </w:tcPr>
          <w:p>
            <w:pPr>
              <w:keepNext w:val="0"/>
              <w:keepLines w:val="0"/>
              <w:widowControl/>
              <w:suppressLineNumbers w:val="0"/>
              <w:jc w:val="left"/>
              <w:rPr>
                <w:rFonts w:hint="eastAsia" w:ascii="仿宋" w:hAnsi="仿宋" w:eastAsia="仿宋" w:cs="仿宋"/>
                <w:i w:val="0"/>
                <w:iCs w:val="0"/>
                <w:caps w:val="0"/>
                <w:spacing w:val="0"/>
                <w:sz w:val="18"/>
                <w:szCs w:val="18"/>
              </w:rPr>
            </w:pPr>
            <w:r>
              <w:rPr>
                <w:rFonts w:hint="eastAsia" w:ascii="仿宋" w:hAnsi="仿宋" w:eastAsia="仿宋" w:cs="仿宋"/>
                <w:i w:val="0"/>
                <w:iCs w:val="0"/>
                <w:caps w:val="0"/>
                <w:spacing w:val="0"/>
                <w:kern w:val="0"/>
                <w:sz w:val="18"/>
                <w:szCs w:val="18"/>
                <w:lang w:val="en-US" w:eastAsia="zh-CN" w:bidi="ar"/>
              </w:rPr>
              <w:t>投标企业须具有以下资质：建筑工程施工总承包</w:t>
            </w:r>
            <w:r>
              <w:rPr>
                <w:rFonts w:hint="eastAsia" w:ascii="仿宋" w:hAnsi="仿宋" w:eastAsia="仿宋" w:cs="仿宋"/>
                <w:i w:val="0"/>
                <w:iCs w:val="0"/>
                <w:caps w:val="0"/>
                <w:spacing w:val="0"/>
                <w:sz w:val="18"/>
                <w:szCs w:val="18"/>
              </w:rPr>
              <w:t>叁</w:t>
            </w:r>
            <w:r>
              <w:rPr>
                <w:rFonts w:hint="eastAsia" w:ascii="仿宋" w:hAnsi="仿宋" w:eastAsia="仿宋" w:cs="仿宋"/>
                <w:i w:val="0"/>
                <w:iCs w:val="0"/>
                <w:caps w:val="0"/>
                <w:spacing w:val="0"/>
                <w:kern w:val="0"/>
                <w:sz w:val="18"/>
                <w:szCs w:val="18"/>
                <w:lang w:val="en-US" w:eastAsia="zh-CN" w:bidi="ar"/>
              </w:rPr>
              <w:t>级或以上或者建筑及相关工程咨询企业资质备案认可书（建筑工程施工）不分等级或以上。</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PrEx>
        <w:trPr>
          <w:tblCellSpacing w:w="0" w:type="dxa"/>
          <w:jc w:val="center"/>
        </w:trPr>
        <w:tc>
          <w:tcPr>
            <w:tcW w:w="265" w:type="pct"/>
            <w:shd w:val="clear" w:color="auto" w:fill="FFFFFF"/>
            <w:vAlign w:val="center"/>
          </w:tcPr>
          <w:p>
            <w:pPr>
              <w:keepNext w:val="0"/>
              <w:keepLines w:val="0"/>
              <w:widowControl/>
              <w:suppressLineNumbers w:val="0"/>
              <w:jc w:val="center"/>
              <w:rPr>
                <w:rFonts w:hint="eastAsia" w:ascii="仿宋" w:hAnsi="仿宋" w:eastAsia="仿宋" w:cs="仿宋"/>
                <w:b/>
                <w:bCs/>
                <w:i w:val="0"/>
                <w:iCs w:val="0"/>
                <w:caps w:val="0"/>
                <w:spacing w:val="0"/>
                <w:sz w:val="18"/>
                <w:szCs w:val="18"/>
              </w:rPr>
            </w:pPr>
            <w:r>
              <w:rPr>
                <w:rFonts w:hint="eastAsia" w:ascii="仿宋" w:hAnsi="仿宋" w:eastAsia="仿宋" w:cs="仿宋"/>
                <w:b/>
                <w:bCs/>
                <w:i w:val="0"/>
                <w:iCs w:val="0"/>
                <w:caps w:val="0"/>
                <w:spacing w:val="0"/>
                <w:kern w:val="0"/>
                <w:sz w:val="18"/>
                <w:szCs w:val="18"/>
                <w:lang w:val="en-US" w:eastAsia="zh-CN" w:bidi="ar"/>
              </w:rPr>
              <w:t>其它条件</w:t>
            </w:r>
          </w:p>
        </w:tc>
        <w:tc>
          <w:tcPr>
            <w:tcW w:w="4734" w:type="pct"/>
            <w:shd w:val="clear" w:color="auto" w:fill="FFFFFF"/>
            <w:vAlign w:val="center"/>
          </w:tcPr>
          <w:p>
            <w:pPr>
              <w:keepNext w:val="0"/>
              <w:keepLines w:val="0"/>
              <w:widowControl/>
              <w:suppressLineNumbers w:val="0"/>
              <w:jc w:val="left"/>
              <w:rPr>
                <w:rFonts w:hint="eastAsia" w:ascii="仿宋" w:hAnsi="仿宋" w:eastAsia="仿宋" w:cs="仿宋"/>
                <w:i w:val="0"/>
                <w:iCs w:val="0"/>
                <w:caps w:val="0"/>
                <w:spacing w:val="0"/>
                <w:sz w:val="18"/>
                <w:szCs w:val="18"/>
              </w:rPr>
            </w:pPr>
            <w:r>
              <w:rPr>
                <w:rFonts w:hint="eastAsia" w:ascii="仿宋" w:hAnsi="仿宋" w:eastAsia="仿宋" w:cs="仿宋"/>
                <w:i w:val="0"/>
                <w:iCs w:val="0"/>
                <w:caps w:val="0"/>
                <w:spacing w:val="0"/>
                <w:kern w:val="0"/>
                <w:sz w:val="18"/>
                <w:szCs w:val="18"/>
                <w:lang w:val="en-US" w:eastAsia="zh-CN" w:bidi="ar"/>
              </w:rPr>
              <w:t>■内地投标人必须具备： ■投标人具有建设行政主管部门颁发的[建筑工程施工]■总承包[</w:t>
            </w:r>
            <w:r>
              <w:rPr>
                <w:rFonts w:hint="eastAsia" w:ascii="仿宋" w:hAnsi="仿宋" w:eastAsia="仿宋" w:cs="仿宋"/>
                <w:i w:val="0"/>
                <w:iCs w:val="0"/>
                <w:caps w:val="0"/>
                <w:spacing w:val="0"/>
                <w:sz w:val="18"/>
                <w:szCs w:val="18"/>
              </w:rPr>
              <w:t>叁</w:t>
            </w:r>
            <w:r>
              <w:rPr>
                <w:rFonts w:hint="eastAsia" w:ascii="仿宋" w:hAnsi="仿宋" w:eastAsia="仿宋" w:cs="仿宋"/>
                <w:i w:val="0"/>
                <w:iCs w:val="0"/>
                <w:caps w:val="0"/>
                <w:spacing w:val="0"/>
                <w:kern w:val="0"/>
                <w:sz w:val="18"/>
                <w:szCs w:val="18"/>
                <w:lang w:val="en-US" w:eastAsia="zh-CN" w:bidi="ar"/>
              </w:rPr>
              <w:t xml:space="preserve">]级或以上资质。 ■港澳投标人必须具备： ■投标人具有珠海市（区）各行业主管部门颁发的香港/澳门建筑及相关工程咨询企业备案认可书，备案业务范围为[建筑工程施工]。 ■省外企业已在广东建设信息网（http://www.gdcic.net/）进粤企业和人员诚信信息登记平台登记（内地投标人适用）。 ■已在珠海市建设业务管理系统中完成诚信基本信息登记工作（内地投标人适用）。 ■具有有效的安全生产许可证（内地投标人适用）。 ■具有独立的法人资格。 ■具有独立的资质（内地投标人适用）。 ■拟派项目负责人具有建设行政主管部门颁发的[建筑工程]专业[贰]级或以上注册建造师资格。或■具有珠海市（区）各行业主管部门颁发的港澳建筑及相关工程专业人士执业资格备案认可书，备案业务范围为注册建造师（香港企业适用）。或■具有相应业绩（澳门企业适用）。拟派项目负责人在投标截止至中标公示结束期间没有担任在建项目的项目负责人或同时以项目负责人身份参加其他投标。 ■根据粤建市函〔2011〕218号文规定，在广东省以外参加考试取得二级建造师资格证书并注册的人员暂不能在广东省执业（内地投标人适用）。项目负责人的执业单位必须与投标人一致，如证书无执业单位，投标人应提供近三个月以上的社保证明或执业注册机构的注册变更回执以证明系投标人所属人员。 </w:t>
            </w:r>
          </w:p>
        </w:tc>
      </w:tr>
    </w:tbl>
    <w:p>
      <w:pPr>
        <w:rPr>
          <w:rFonts w:hint="default" w:ascii="仿宋" w:hAnsi="仿宋" w:eastAsia="仿宋" w:cs="仿宋"/>
          <w:sz w:val="24"/>
          <w:szCs w:val="24"/>
          <w:lang w:val="en-US" w:eastAsia="zh-CN"/>
        </w:rPr>
      </w:pPr>
    </w:p>
    <w:p>
      <w:pPr>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2020年，广州市建设工程招标管理办公室关于发布“评定分离”项目评标定标报告编制示例及公示示例的通知，自2021年已开始实施。</w:t>
      </w:r>
    </w:p>
    <w:p>
      <w:pPr>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因此建议项目可选择采用资格后审方式，评定分离定标办法。由评标委员会负责资格审查，由定标委员会负责定标。</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w:t>
      </w:r>
    </w:p>
    <w:p>
      <w:pPr>
        <w:pStyle w:val="7"/>
        <w:ind w:firstLine="482" w:firstLineChars="200"/>
        <w:rPr>
          <w:rFonts w:hint="eastAsia" w:ascii="仿宋" w:hAnsi="仿宋" w:eastAsia="仿宋" w:cs="仿宋"/>
          <w:sz w:val="24"/>
          <w:szCs w:val="24"/>
          <w:lang w:val="en-US" w:eastAsia="zh-CN"/>
        </w:rPr>
      </w:pPr>
      <w:r>
        <w:rPr>
          <w:rFonts w:hint="eastAsia" w:ascii="仿宋" w:hAnsi="仿宋" w:eastAsia="仿宋" w:cs="仿宋"/>
          <w:b/>
          <w:bCs/>
          <w:sz w:val="24"/>
          <w:szCs w:val="24"/>
          <w:lang w:val="en-US" w:eastAsia="zh-CN"/>
        </w:rPr>
        <w:t>招标要求相关政策依据：</w:t>
      </w:r>
    </w:p>
    <w:p>
      <w:pPr>
        <w:pStyle w:val="7"/>
        <w:ind w:firstLine="480" w:firstLineChars="200"/>
        <w:rPr>
          <w:rFonts w:hint="eastAsia" w:ascii="仿宋" w:hAnsi="仿宋" w:eastAsia="仿宋" w:cs="仿宋"/>
          <w:lang w:val="en-US" w:eastAsia="zh-CN"/>
        </w:rPr>
      </w:pPr>
      <w:r>
        <w:rPr>
          <w:rFonts w:hint="eastAsia" w:ascii="仿宋" w:hAnsi="仿宋" w:eastAsia="仿宋" w:cs="仿宋"/>
          <w:sz w:val="24"/>
          <w:szCs w:val="24"/>
          <w:lang w:val="en-US" w:eastAsia="zh-CN"/>
        </w:rPr>
        <w:t>①《关于港澳建筑工程领域专业企业和专业人士从业服务管理试行办法》；</w:t>
      </w:r>
    </w:p>
    <w:p>
      <w:pPr>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②《关于香港工程建设咨询企业和专业人士在粤港澳大湾区内地城市开业执业试点管理暂行办法》。</w:t>
      </w:r>
    </w:p>
    <w:p>
      <w:pPr>
        <w:pStyle w:val="7"/>
        <w:ind w:firstLine="482" w:firstLineChars="200"/>
        <w:rPr>
          <w:rFonts w:hint="eastAsia" w:ascii="仿宋" w:hAnsi="仿宋" w:eastAsia="仿宋" w:cs="仿宋"/>
          <w:b/>
          <w:bCs/>
          <w:sz w:val="24"/>
          <w:szCs w:val="24"/>
          <w:lang w:val="en-US" w:eastAsia="zh-CN"/>
        </w:rPr>
      </w:pPr>
    </w:p>
    <w:p>
      <w:pPr>
        <w:pStyle w:val="7"/>
        <w:ind w:firstLine="482" w:firstLineChars="200"/>
        <w:rPr>
          <w:rFonts w:hint="eastAsia" w:ascii="仿宋" w:hAnsi="仿宋" w:eastAsia="仿宋" w:cs="仿宋"/>
          <w:b/>
          <w:bCs/>
          <w:sz w:val="24"/>
          <w:szCs w:val="24"/>
          <w:lang w:val="en-US" w:eastAsia="zh-CN"/>
        </w:rPr>
      </w:pPr>
      <w:r>
        <w:rPr>
          <w:rFonts w:hint="eastAsia" w:ascii="仿宋" w:hAnsi="仿宋" w:eastAsia="仿宋" w:cs="仿宋"/>
          <w:b/>
          <w:bCs/>
          <w:sz w:val="24"/>
          <w:szCs w:val="24"/>
          <w:lang w:val="en-US" w:eastAsia="zh-CN"/>
        </w:rPr>
        <w:t>广州可参考项目例：</w:t>
      </w:r>
    </w:p>
    <w:p>
      <w:pPr>
        <w:pStyle w:val="7"/>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①项目名称：南沙全民文化体育综合体项目-综合体育场及其室外配套工程施工总承包（采用评定分离定标方法）；</w:t>
      </w:r>
    </w:p>
    <w:p>
      <w:pPr>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②项目名称：粤港澳大湾区高端装备制造创新中心二期EPC总承包（黄埔区项目，使用《关于香港工程建设咨询企业和专业人士在粤港澳大湾区内地城市开业执业试点管理暂行办法》开放港澳企业联合体投标）。</w:t>
      </w:r>
    </w:p>
    <w:p>
      <w:pPr>
        <w:pStyle w:val="7"/>
        <w:ind w:firstLine="480" w:firstLineChars="200"/>
        <w:rPr>
          <w:rFonts w:hint="eastAsia" w:ascii="仿宋" w:hAnsi="仿宋" w:eastAsia="仿宋" w:cs="仿宋"/>
          <w:sz w:val="24"/>
          <w:szCs w:val="24"/>
          <w:lang w:val="en-US" w:eastAsia="zh-CN"/>
        </w:rPr>
      </w:pPr>
    </w:p>
    <w:p>
      <w:pPr>
        <w:pStyle w:val="7"/>
        <w:ind w:firstLine="480" w:firstLineChars="200"/>
        <w:rPr>
          <w:rFonts w:hint="eastAsia" w:ascii="仿宋" w:hAnsi="仿宋" w:eastAsia="仿宋" w:cs="仿宋"/>
          <w:sz w:val="24"/>
          <w:szCs w:val="24"/>
          <w:lang w:val="en-US" w:eastAsia="zh-CN"/>
        </w:rPr>
      </w:pPr>
    </w:p>
    <w:p>
      <w:pPr>
        <w:pStyle w:val="7"/>
        <w:ind w:firstLine="480" w:firstLineChars="20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根据广州市已有项目招标案例，以下为招标文件模拟表格：</w:t>
      </w:r>
    </w:p>
    <w:p>
      <w:pPr>
        <w:rPr>
          <w:rFonts w:hint="default"/>
          <w:lang w:val="en-US" w:eastAsia="zh-CN"/>
        </w:rPr>
      </w:pPr>
    </w:p>
    <w:tbl>
      <w:tblPr>
        <w:tblStyle w:val="13"/>
        <w:tblW w:w="9350" w:type="dxa"/>
        <w:jc w:val="center"/>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2"/>
        <w:gridCol w:w="981"/>
        <w:gridCol w:w="1810"/>
        <w:gridCol w:w="5857"/>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616" w:hRule="atLeast"/>
          <w:tblHeader/>
          <w:jc w:val="center"/>
        </w:trPr>
        <w:tc>
          <w:tcPr>
            <w:tcW w:w="702" w:type="dxa"/>
            <w:tcBorders>
              <w:top w:val="doub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项目</w:t>
            </w:r>
          </w:p>
        </w:tc>
        <w:tc>
          <w:tcPr>
            <w:tcW w:w="981" w:type="dxa"/>
            <w:tcBorders>
              <w:top w:val="doub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条款号</w:t>
            </w:r>
          </w:p>
        </w:tc>
        <w:tc>
          <w:tcPr>
            <w:tcW w:w="1810" w:type="dxa"/>
            <w:tcBorders>
              <w:top w:val="double" w:color="auto" w:sz="4" w:space="0"/>
              <w:left w:val="single" w:color="auto" w:sz="4" w:space="0"/>
              <w:bottom w:val="single" w:color="auto" w:sz="4" w:space="0"/>
              <w:right w:val="single" w:color="auto" w:sz="4" w:space="0"/>
            </w:tcBorders>
            <w:vAlign w:val="center"/>
          </w:tcPr>
          <w:p>
            <w:pPr>
              <w:ind w:firstLine="458"/>
              <w:rPr>
                <w:rFonts w:hint="eastAsia" w:ascii="仿宋" w:hAnsi="仿宋" w:eastAsia="仿宋" w:cs="仿宋"/>
                <w:szCs w:val="21"/>
              </w:rPr>
            </w:pPr>
            <w:r>
              <w:rPr>
                <w:rFonts w:hint="eastAsia" w:ascii="仿宋" w:hAnsi="仿宋" w:eastAsia="仿宋" w:cs="仿宋"/>
                <w:szCs w:val="21"/>
              </w:rPr>
              <w:t>内容</w:t>
            </w:r>
          </w:p>
        </w:tc>
        <w:tc>
          <w:tcPr>
            <w:tcW w:w="5857" w:type="dxa"/>
            <w:tcBorders>
              <w:top w:val="double" w:color="auto" w:sz="4" w:space="0"/>
              <w:left w:val="single" w:color="auto" w:sz="4" w:space="0"/>
              <w:bottom w:val="single" w:color="auto" w:sz="4" w:space="0"/>
              <w:right w:val="double" w:color="auto" w:sz="4" w:space="0"/>
            </w:tcBorders>
            <w:vAlign w:val="center"/>
          </w:tcPr>
          <w:p>
            <w:pPr>
              <w:pStyle w:val="8"/>
              <w:ind w:firstLine="458"/>
              <w:jc w:val="center"/>
              <w:rPr>
                <w:rFonts w:hint="eastAsia" w:ascii="仿宋" w:hAnsi="仿宋" w:eastAsia="仿宋" w:cs="仿宋"/>
                <w:kern w:val="2"/>
                <w:sz w:val="21"/>
                <w:szCs w:val="21"/>
              </w:rPr>
            </w:pPr>
            <w:r>
              <w:rPr>
                <w:rFonts w:hint="eastAsia" w:ascii="仿宋" w:hAnsi="仿宋" w:eastAsia="仿宋" w:cs="仿宋"/>
                <w:kern w:val="2"/>
                <w:sz w:val="21"/>
                <w:szCs w:val="21"/>
              </w:rPr>
              <w:t>说明与要求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130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定义</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szCs w:val="21"/>
              </w:rPr>
              <w:t>招标人（即发包人）：</w:t>
            </w:r>
            <w:r>
              <w:rPr>
                <w:rFonts w:hint="eastAsia" w:ascii="仿宋" w:hAnsi="仿宋" w:eastAsia="仿宋" w:cs="仿宋"/>
                <w:szCs w:val="21"/>
                <w:u w:val="single"/>
              </w:rPr>
              <w:t xml:space="preserve">            /         </w:t>
            </w:r>
          </w:p>
          <w:p>
            <w:pPr>
              <w:rPr>
                <w:rFonts w:hint="eastAsia" w:ascii="仿宋" w:hAnsi="仿宋" w:eastAsia="仿宋" w:cs="仿宋"/>
                <w:szCs w:val="21"/>
              </w:rPr>
            </w:pPr>
            <w:r>
              <w:rPr>
                <w:rFonts w:hint="eastAsia" w:ascii="仿宋" w:hAnsi="仿宋" w:eastAsia="仿宋" w:cs="仿宋"/>
                <w:szCs w:val="21"/>
              </w:rPr>
              <w:t>项目建设管理单位：</w:t>
            </w:r>
            <w:r>
              <w:rPr>
                <w:rFonts w:hint="eastAsia" w:ascii="仿宋" w:hAnsi="仿宋" w:eastAsia="仿宋" w:cs="仿宋"/>
                <w:szCs w:val="21"/>
                <w:u w:val="single"/>
              </w:rPr>
              <w:t xml:space="preserve">            /         </w:t>
            </w:r>
          </w:p>
          <w:p>
            <w:pPr>
              <w:rPr>
                <w:rFonts w:hint="eastAsia" w:ascii="仿宋" w:hAnsi="仿宋" w:eastAsia="仿宋" w:cs="仿宋"/>
                <w:szCs w:val="21"/>
              </w:rPr>
            </w:pPr>
            <w:r>
              <w:rPr>
                <w:rFonts w:hint="eastAsia" w:ascii="仿宋" w:hAnsi="仿宋" w:eastAsia="仿宋" w:cs="仿宋"/>
                <w:szCs w:val="21"/>
              </w:rPr>
              <w:t>招标代理：</w:t>
            </w:r>
            <w:r>
              <w:rPr>
                <w:rFonts w:hint="eastAsia" w:ascii="仿宋" w:hAnsi="仿宋" w:eastAsia="仿宋" w:cs="仿宋"/>
                <w:szCs w:val="21"/>
                <w:u w:val="single"/>
              </w:rPr>
              <w:t xml:space="preserve">            /         </w:t>
            </w:r>
          </w:p>
          <w:p>
            <w:pPr>
              <w:rPr>
                <w:rFonts w:hint="eastAsia" w:ascii="仿宋" w:hAnsi="仿宋" w:eastAsia="仿宋" w:cs="仿宋"/>
                <w:szCs w:val="21"/>
              </w:rPr>
            </w:pPr>
            <w:r>
              <w:rPr>
                <w:rFonts w:hint="eastAsia" w:ascii="仿宋" w:hAnsi="仿宋" w:eastAsia="仿宋" w:cs="仿宋"/>
                <w:szCs w:val="21"/>
              </w:rPr>
              <w:t>设计单位：</w:t>
            </w:r>
            <w:r>
              <w:rPr>
                <w:rFonts w:hint="eastAsia" w:ascii="仿宋" w:hAnsi="仿宋" w:eastAsia="仿宋" w:cs="仿宋"/>
                <w:szCs w:val="21"/>
                <w:u w:val="single"/>
              </w:rPr>
              <w:t xml:space="preserve">       /     </w:t>
            </w:r>
          </w:p>
          <w:p>
            <w:pPr>
              <w:rPr>
                <w:rFonts w:hint="eastAsia" w:ascii="仿宋" w:hAnsi="仿宋" w:eastAsia="仿宋" w:cs="仿宋"/>
                <w:szCs w:val="21"/>
              </w:rPr>
            </w:pPr>
            <w:r>
              <w:rPr>
                <w:rFonts w:hint="eastAsia" w:ascii="仿宋" w:hAnsi="仿宋" w:eastAsia="仿宋" w:cs="仿宋"/>
                <w:szCs w:val="21"/>
              </w:rPr>
              <w:t>监理单位：</w:t>
            </w:r>
            <w:r>
              <w:rPr>
                <w:rFonts w:hint="eastAsia" w:ascii="仿宋" w:hAnsi="仿宋" w:eastAsia="仿宋" w:cs="仿宋"/>
                <w:szCs w:val="21"/>
                <w:u w:val="single"/>
              </w:rPr>
              <w:t xml:space="preserve">         /      </w:t>
            </w:r>
          </w:p>
          <w:p>
            <w:pPr>
              <w:rPr>
                <w:rFonts w:hint="eastAsia" w:ascii="仿宋" w:hAnsi="仿宋" w:eastAsia="仿宋" w:cs="仿宋"/>
                <w:szCs w:val="21"/>
              </w:rPr>
            </w:pPr>
            <w:r>
              <w:rPr>
                <w:rFonts w:hint="eastAsia" w:ascii="仿宋" w:hAnsi="仿宋" w:eastAsia="仿宋" w:cs="仿宋"/>
                <w:szCs w:val="21"/>
              </w:rPr>
              <w:t>检测机构：</w:t>
            </w:r>
            <w:r>
              <w:rPr>
                <w:rFonts w:hint="eastAsia" w:ascii="仿宋" w:hAnsi="仿宋" w:eastAsia="仿宋" w:cs="仿宋"/>
                <w:szCs w:val="21"/>
                <w:u w:val="single"/>
              </w:rPr>
              <w:t xml:space="preserve">        /       </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2</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工程名称</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 xml:space="preserve">            /         </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3</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建设地点</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 xml:space="preserve">            /         </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4</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建设规模</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详见本工程招标公告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67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5</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承包方式</w:t>
            </w:r>
          </w:p>
        </w:tc>
        <w:tc>
          <w:tcPr>
            <w:tcW w:w="5857" w:type="dxa"/>
            <w:tcBorders>
              <w:top w:val="single" w:color="auto" w:sz="4" w:space="0"/>
              <w:left w:val="single" w:color="auto" w:sz="4" w:space="0"/>
              <w:bottom w:val="single" w:color="auto" w:sz="4" w:space="0"/>
              <w:right w:val="double" w:color="auto" w:sz="4" w:space="0"/>
            </w:tcBorders>
            <w:vAlign w:val="center"/>
          </w:tcPr>
          <w:p>
            <w:pPr>
              <w:pStyle w:val="7"/>
              <w:rPr>
                <w:rFonts w:hint="eastAsia" w:ascii="仿宋" w:hAnsi="仿宋" w:eastAsia="仿宋" w:cs="仿宋"/>
              </w:rPr>
            </w:pPr>
            <w:r>
              <w:rPr>
                <w:rFonts w:hint="eastAsia" w:ascii="仿宋" w:hAnsi="仿宋" w:eastAsia="仿宋" w:cs="仿宋"/>
                <w:szCs w:val="21"/>
                <w:u w:val="single"/>
              </w:rPr>
              <w:t xml:space="preserve">            /         </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411"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6</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highlight w:val="yellow"/>
              </w:rPr>
              <w:t>质量标准</w:t>
            </w:r>
          </w:p>
        </w:tc>
        <w:tc>
          <w:tcPr>
            <w:tcW w:w="5857" w:type="dxa"/>
            <w:tcBorders>
              <w:top w:val="single" w:color="auto" w:sz="4" w:space="0"/>
              <w:left w:val="single" w:color="auto" w:sz="4" w:space="0"/>
              <w:bottom w:val="single" w:color="auto" w:sz="4" w:space="0"/>
              <w:right w:val="double" w:color="auto" w:sz="4" w:space="0"/>
            </w:tcBorders>
            <w:vAlign w:val="bottom"/>
          </w:tcPr>
          <w:p>
            <w:pPr>
              <w:pStyle w:val="17"/>
              <w:ind w:firstLine="0" w:firstLineChars="0"/>
              <w:jc w:val="left"/>
              <w:rPr>
                <w:rFonts w:hint="eastAsia" w:ascii="仿宋" w:hAnsi="仿宋" w:eastAsia="仿宋" w:cs="仿宋"/>
                <w:spacing w:val="0"/>
                <w:kern w:val="2"/>
                <w:sz w:val="21"/>
                <w:szCs w:val="21"/>
                <w:highlight w:val="yellow"/>
                <w:u w:val="single"/>
                <w:lang w:val="en-US" w:eastAsia="zh-CN"/>
              </w:rPr>
            </w:pPr>
            <w:r>
              <w:rPr>
                <w:rFonts w:hint="eastAsia" w:ascii="仿宋" w:hAnsi="仿宋" w:eastAsia="仿宋" w:cs="仿宋"/>
                <w:spacing w:val="0"/>
                <w:kern w:val="2"/>
                <w:sz w:val="21"/>
                <w:szCs w:val="21"/>
                <w:highlight w:val="yellow"/>
                <w:u w:val="single"/>
                <w:lang w:val="en-US" w:eastAsia="zh-CN"/>
              </w:rPr>
              <w:t>合格，或获得过指定奖项（詹天佑土木工程大奖、中国钢结构金奖、中国建设工程鲁班奖等）。</w:t>
            </w:r>
          </w:p>
          <w:p>
            <w:pPr>
              <w:pStyle w:val="17"/>
              <w:ind w:firstLine="0" w:firstLineChars="0"/>
              <w:jc w:val="left"/>
              <w:rPr>
                <w:rFonts w:hint="default" w:ascii="仿宋" w:hAnsi="仿宋" w:eastAsia="仿宋" w:cs="仿宋"/>
                <w:spacing w:val="0"/>
                <w:kern w:val="2"/>
                <w:sz w:val="21"/>
                <w:szCs w:val="21"/>
                <w:u w:val="single"/>
                <w:lang w:val="en-US" w:eastAsia="zh-CN"/>
              </w:rPr>
            </w:pPr>
            <w:r>
              <w:rPr>
                <w:rFonts w:hint="eastAsia" w:ascii="仿宋" w:hAnsi="仿宋" w:eastAsia="仿宋" w:cs="仿宋"/>
                <w:spacing w:val="0"/>
                <w:kern w:val="2"/>
                <w:sz w:val="21"/>
                <w:szCs w:val="21"/>
                <w:highlight w:val="yellow"/>
                <w:u w:val="single"/>
                <w:lang w:val="en-US" w:eastAsia="zh-CN"/>
              </w:rPr>
              <w:t>（注：可考虑增设获奖证书门槛）</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896"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7</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招标范围</w:t>
            </w:r>
          </w:p>
        </w:tc>
        <w:tc>
          <w:tcPr>
            <w:tcW w:w="5857" w:type="dxa"/>
            <w:tcBorders>
              <w:top w:val="single" w:color="auto" w:sz="4" w:space="0"/>
              <w:left w:val="single" w:color="auto" w:sz="4" w:space="0"/>
              <w:bottom w:val="single" w:color="auto" w:sz="4" w:space="0"/>
              <w:right w:val="double" w:color="auto" w:sz="4" w:space="0"/>
            </w:tcBorders>
            <w:vAlign w:val="center"/>
          </w:tcPr>
          <w:p>
            <w:pPr>
              <w:spacing w:line="320" w:lineRule="exact"/>
              <w:rPr>
                <w:rFonts w:hint="eastAsia" w:ascii="仿宋" w:hAnsi="仿宋" w:eastAsia="仿宋" w:cs="仿宋"/>
                <w:szCs w:val="21"/>
                <w:u w:val="single"/>
              </w:rPr>
            </w:pPr>
            <w:r>
              <w:rPr>
                <w:rFonts w:hint="eastAsia" w:ascii="仿宋" w:hAnsi="仿宋" w:eastAsia="仿宋" w:cs="仿宋"/>
                <w:szCs w:val="21"/>
                <w:u w:val="single"/>
              </w:rPr>
              <w:t>详见本工程招标公告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81"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8</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工期要求</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szCs w:val="21"/>
                <w:u w:val="single"/>
              </w:rPr>
              <w:t>详见本工程招标公告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37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9</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资金来源</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 xml:space="preserve">            /         </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987"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10</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投标人资质等级及项目负责人等级要求</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lang w:val="en-US" w:eastAsia="zh-CN"/>
              </w:rPr>
            </w:pPr>
            <w:r>
              <w:rPr>
                <w:rFonts w:hint="eastAsia" w:ascii="仿宋" w:hAnsi="仿宋" w:eastAsia="仿宋" w:cs="仿宋"/>
                <w:lang w:val="en-US" w:eastAsia="zh-CN"/>
              </w:rPr>
              <w:t xml:space="preserve">■内地投标人必须具备： ■投标人具有建设行政主管部门颁发的[建筑工程施工]■总承包[/]级或以上资质。 ■港澳投标人必须具备： ■投标人具有广州市（区）各行业主管部门颁发的香港/澳门建筑及相关工程咨询企业备案认可书，备案业务范围为[建筑工程施工]。 ■省外企业已在广东建设信息网（http://www.gdcic.net/）进粤企业和人员诚信信息登记平台登记（内地投标人适用）。 ■已在广州市建设业务管理系统中完成诚信基本信息登记工作（内地投标人适用）。 ■具有有效的安全生产许可证（内地投标人适用）。 ■具有独立的法人资格。 ■具有独立的资质（内地投标人适用）。 </w:t>
            </w:r>
          </w:p>
          <w:p>
            <w:pPr>
              <w:rPr>
                <w:rFonts w:hint="eastAsia" w:ascii="仿宋" w:hAnsi="仿宋" w:eastAsia="仿宋" w:cs="仿宋"/>
              </w:rPr>
            </w:pPr>
            <w:r>
              <w:rPr>
                <w:rFonts w:hint="eastAsia" w:ascii="仿宋" w:hAnsi="仿宋" w:eastAsia="仿宋" w:cs="仿宋"/>
                <w:lang w:val="en-US" w:eastAsia="zh-CN"/>
              </w:rPr>
              <w:t xml:space="preserve">■拟派项目负责人具有建设行政主管部门颁发的[建筑工程]专业[/]级或以上注册建造师资格。或■具有广州市（区）各行业主管部门颁发的港澳建筑及相关工程专业人士执业资格备案认可书，备案业务范围为注册建造师（香港企业适用）。或■具有相应业绩（澳门企业适用）。拟派项目负责人在投标截止至中标公示结束期间没有担任在建项目的项目负责人或同时以项目负责人身份参加其他投标。 ■根据粤建市函〔2011〕218号文规定，在广东省以外参加考试取得二级建造师资格证书并注册的人员暂不能在广东省执业（内地投标人适用）。项目负责人的执业单位必须与投标人一致，如证书无执业单位，投标人应提供近三个月以上的社保证明或执业注册机构的注册变更回执以证明系投标人所属人员。 </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87"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11</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踏勘现场</w:t>
            </w:r>
          </w:p>
        </w:tc>
        <w:tc>
          <w:tcPr>
            <w:tcW w:w="5857" w:type="dxa"/>
            <w:tcBorders>
              <w:top w:val="single" w:color="auto" w:sz="4" w:space="0"/>
              <w:left w:val="single" w:color="auto" w:sz="4" w:space="0"/>
              <w:bottom w:val="single" w:color="auto" w:sz="4" w:space="0"/>
              <w:right w:val="double" w:color="auto" w:sz="4" w:space="0"/>
            </w:tcBorders>
            <w:vAlign w:val="center"/>
          </w:tcPr>
          <w:p>
            <w:pPr>
              <w:pStyle w:val="8"/>
              <w:rPr>
                <w:rFonts w:hint="eastAsia" w:ascii="仿宋" w:hAnsi="仿宋" w:eastAsia="仿宋" w:cs="仿宋"/>
                <w:kern w:val="2"/>
                <w:sz w:val="21"/>
                <w:szCs w:val="21"/>
              </w:rPr>
            </w:pPr>
            <w:r>
              <w:rPr>
                <w:rFonts w:hint="eastAsia" w:ascii="仿宋" w:hAnsi="仿宋" w:eastAsia="仿宋" w:cs="仿宋"/>
                <w:szCs w:val="21"/>
                <w:u w:val="single"/>
              </w:rPr>
              <w:t xml:space="preserve">            /         </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87"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12</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其他投标相关费用</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rPr>
            </w:pPr>
            <w:r>
              <w:rPr>
                <w:rFonts w:hint="eastAsia" w:ascii="仿宋" w:hAnsi="仿宋" w:eastAsia="仿宋" w:cs="仿宋"/>
              </w:rPr>
              <w:t>1、交易服务费：中标单位需根据广州公共资源交易中心的规定向其缴纳交易服务费；</w:t>
            </w:r>
          </w:p>
          <w:p>
            <w:pPr>
              <w:pStyle w:val="12"/>
              <w:ind w:left="0" w:leftChars="0" w:firstLine="0" w:firstLineChars="0"/>
              <w:rPr>
                <w:rFonts w:hint="eastAsia" w:ascii="仿宋" w:hAnsi="仿宋" w:eastAsia="仿宋" w:cs="仿宋"/>
                <w:color w:val="auto"/>
                <w:lang w:eastAsia="zh-CN"/>
              </w:rPr>
            </w:pPr>
            <w:r>
              <w:rPr>
                <w:rFonts w:hint="eastAsia" w:ascii="仿宋" w:hAnsi="仿宋" w:eastAsia="仿宋" w:cs="仿宋"/>
                <w:color w:val="auto"/>
                <w:lang w:eastAsia="zh-CN"/>
              </w:rPr>
              <w:t>2、中标服务费：中标人应于领取中标通知书前，向招标代理机构缴纳中标服务费，服务费金额按参照《招标代理服务收费管理暂行办法》（计价〔2002〕1980号）、《国家发展改革委关于降低部分建设项目收费标准规范收费行为等有关问题的通知》（发改价格〔2011〕534号）的规定，按差额定率累进法计算得出的金额乘以40%折扣率。</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987"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13</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投标答疑</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szCs w:val="21"/>
              </w:rPr>
              <w:t>形式及时间：</w:t>
            </w:r>
          </w:p>
          <w:p>
            <w:pPr>
              <w:ind w:firstLine="420" w:firstLineChars="200"/>
              <w:rPr>
                <w:rFonts w:hint="eastAsia" w:ascii="仿宋" w:hAnsi="仿宋" w:eastAsia="仿宋" w:cs="仿宋"/>
              </w:rPr>
            </w:pPr>
            <w:r>
              <w:rPr>
                <w:rFonts w:hint="eastAsia" w:ascii="仿宋" w:hAnsi="仿宋" w:eastAsia="仿宋" w:cs="仿宋"/>
                <w:szCs w:val="21"/>
                <w:u w:val="single"/>
              </w:rPr>
              <w:t>招标答疑采用网上答疑方式进行。投标人若对招标文件有疑问的，可在规定的时间内通过广州公共资源交易中心数字交易平台提交。</w:t>
            </w:r>
          </w:p>
          <w:p>
            <w:pPr>
              <w:ind w:firstLine="420" w:firstLineChars="200"/>
              <w:rPr>
                <w:rFonts w:hint="eastAsia" w:ascii="仿宋" w:hAnsi="仿宋" w:eastAsia="仿宋" w:cs="仿宋"/>
                <w:szCs w:val="21"/>
                <w:u w:val="single"/>
              </w:rPr>
            </w:pPr>
            <w:r>
              <w:rPr>
                <w:rFonts w:hint="eastAsia" w:ascii="仿宋" w:hAnsi="仿宋" w:eastAsia="仿宋" w:cs="仿宋"/>
                <w:szCs w:val="21"/>
                <w:u w:val="single"/>
              </w:rPr>
              <w:t>投标人应在</w:t>
            </w:r>
            <w:r>
              <w:rPr>
                <w:rFonts w:hint="eastAsia" w:ascii="仿宋" w:hAnsi="仿宋" w:eastAsia="仿宋" w:cs="仿宋"/>
                <w:b/>
                <w:szCs w:val="21"/>
                <w:u w:val="single"/>
              </w:rPr>
              <w:t>约定的时间内（以广州公共资源交易中心网站发布的时间为准）</w:t>
            </w:r>
            <w:r>
              <w:rPr>
                <w:rFonts w:hint="eastAsia" w:ascii="仿宋" w:hAnsi="仿宋" w:eastAsia="仿宋" w:cs="仿宋"/>
                <w:szCs w:val="21"/>
                <w:u w:val="single"/>
              </w:rPr>
              <w:t>提出答疑问题。招标人应在投标截止时间15日前解答投标人对招标文件提出的疑问，形成答疑纪要，在广州公共资源交易中心网站发布。</w:t>
            </w:r>
          </w:p>
          <w:p>
            <w:pPr>
              <w:rPr>
                <w:rFonts w:hint="eastAsia" w:ascii="仿宋" w:hAnsi="仿宋" w:eastAsia="仿宋" w:cs="仿宋"/>
                <w:szCs w:val="21"/>
                <w:u w:val="single"/>
              </w:rPr>
            </w:pPr>
            <w:r>
              <w:rPr>
                <w:rFonts w:hint="eastAsia" w:ascii="仿宋" w:hAnsi="仿宋" w:eastAsia="仿宋" w:cs="仿宋"/>
                <w:szCs w:val="21"/>
                <w:u w:val="single"/>
              </w:rPr>
              <w:t>具体操作方法按照广州公共资源交易平台关于全流程电子化项目的相关指南进行操作，详见：广州公共资源交易中心网站发布的最新版操作指引。</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14</w:t>
            </w:r>
          </w:p>
        </w:tc>
        <w:tc>
          <w:tcPr>
            <w:tcW w:w="981" w:type="dxa"/>
            <w:tcBorders>
              <w:top w:val="single" w:color="auto" w:sz="4" w:space="0"/>
              <w:left w:val="single" w:color="auto" w:sz="4" w:space="0"/>
              <w:bottom w:val="single" w:color="auto" w:sz="4" w:space="0"/>
              <w:right w:val="single" w:color="auto" w:sz="4" w:space="0"/>
            </w:tcBorders>
            <w:vAlign w:val="center"/>
          </w:tcPr>
          <w:p>
            <w:pPr>
              <w:ind w:firstLine="458"/>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资格审查方式</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 xml:space="preserve">            </w:t>
            </w:r>
            <w:r>
              <w:rPr>
                <w:rFonts w:hint="eastAsia" w:ascii="仿宋" w:hAnsi="仿宋" w:eastAsia="仿宋" w:cs="仿宋"/>
                <w:szCs w:val="21"/>
                <w:u w:val="single"/>
                <w:lang w:val="en-US" w:eastAsia="zh-CN"/>
              </w:rPr>
              <w:t>资格后审</w:t>
            </w:r>
            <w:r>
              <w:rPr>
                <w:rFonts w:hint="eastAsia" w:ascii="仿宋" w:hAnsi="仿宋" w:eastAsia="仿宋" w:cs="仿宋"/>
                <w:szCs w:val="21"/>
                <w:u w:val="single"/>
              </w:rPr>
              <w:t xml:space="preserve">         </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15</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报价以及单价和总价计算方式</w:t>
            </w:r>
          </w:p>
        </w:tc>
        <w:tc>
          <w:tcPr>
            <w:tcW w:w="5857" w:type="dxa"/>
            <w:tcBorders>
              <w:top w:val="single" w:color="auto" w:sz="4" w:space="0"/>
              <w:left w:val="single" w:color="auto" w:sz="4" w:space="0"/>
              <w:bottom w:val="single" w:color="auto" w:sz="4" w:space="0"/>
              <w:right w:val="double" w:color="auto" w:sz="4" w:space="0"/>
            </w:tcBorders>
            <w:vAlign w:val="center"/>
          </w:tcPr>
          <w:p>
            <w:pPr>
              <w:spacing w:line="320" w:lineRule="exact"/>
              <w:rPr>
                <w:rFonts w:hint="eastAsia" w:ascii="仿宋" w:hAnsi="仿宋" w:eastAsia="仿宋" w:cs="仿宋"/>
                <w:szCs w:val="21"/>
                <w:u w:val="single"/>
              </w:rPr>
            </w:pPr>
            <w:r>
              <w:rPr>
                <w:rFonts w:hint="eastAsia" w:ascii="仿宋" w:hAnsi="仿宋" w:eastAsia="仿宋" w:cs="仿宋"/>
                <w:szCs w:val="21"/>
                <w:u w:val="single"/>
              </w:rPr>
              <w:t>本工程的投标报价采用模拟工程量清单计价方式，投标人根据招标人提供的模拟清单进行报价，模拟清单中的工程量为暂定量，投标总价以综合单价和模拟清单中的数量进行计算。</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37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16</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u w:val="single"/>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暂估价发包</w:t>
            </w:r>
          </w:p>
        </w:tc>
        <w:tc>
          <w:tcPr>
            <w:tcW w:w="5857" w:type="dxa"/>
            <w:tcBorders>
              <w:top w:val="single" w:color="auto" w:sz="4" w:space="0"/>
              <w:left w:val="single" w:color="auto" w:sz="4" w:space="0"/>
              <w:bottom w:val="single" w:color="auto" w:sz="4" w:space="0"/>
              <w:right w:val="double" w:color="auto" w:sz="4" w:space="0"/>
            </w:tcBorders>
            <w:vAlign w:val="center"/>
          </w:tcPr>
          <w:p>
            <w:pPr>
              <w:spacing w:line="320" w:lineRule="exact"/>
              <w:rPr>
                <w:rFonts w:hint="eastAsia" w:ascii="仿宋" w:hAnsi="仿宋" w:eastAsia="仿宋" w:cs="仿宋"/>
                <w:szCs w:val="21"/>
                <w:u w:val="single"/>
              </w:rPr>
            </w:pPr>
            <w:r>
              <w:rPr>
                <w:rFonts w:hint="eastAsia" w:ascii="仿宋" w:hAnsi="仿宋" w:eastAsia="仿宋" w:cs="仿宋"/>
                <w:szCs w:val="21"/>
                <w:u w:val="single"/>
              </w:rPr>
              <w:t>专业工程暂估价分包由发包人进行招标，招标成果移交承包人，由承包人与暂估价专业分包以及发包人签订三方合同。</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17</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投标有效期</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lang w:val="en-US" w:eastAsia="zh-CN"/>
              </w:rPr>
              <w:t xml:space="preserve"> / </w:t>
            </w:r>
            <w:r>
              <w:rPr>
                <w:rFonts w:hint="eastAsia" w:ascii="仿宋" w:hAnsi="仿宋" w:eastAsia="仿宋" w:cs="仿宋"/>
                <w:szCs w:val="21"/>
              </w:rPr>
              <w:t>日历天。（从投标截止之日计起）</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18</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投标保证金</w:t>
            </w:r>
          </w:p>
        </w:tc>
        <w:tc>
          <w:tcPr>
            <w:tcW w:w="5857" w:type="dxa"/>
            <w:tcBorders>
              <w:top w:val="single" w:color="auto" w:sz="4" w:space="0"/>
              <w:left w:val="single" w:color="auto" w:sz="4" w:space="0"/>
              <w:bottom w:val="single" w:color="auto" w:sz="4" w:space="0"/>
              <w:right w:val="double" w:color="auto" w:sz="4" w:space="0"/>
            </w:tcBorders>
            <w:vAlign w:val="center"/>
          </w:tcPr>
          <w:p>
            <w:pPr>
              <w:pStyle w:val="4"/>
              <w:ind w:firstLine="0"/>
              <w:rPr>
                <w:rFonts w:hint="eastAsia" w:ascii="仿宋" w:hAnsi="仿宋" w:eastAsia="仿宋" w:cs="仿宋"/>
              </w:rPr>
            </w:pPr>
            <w:r>
              <w:rPr>
                <w:rFonts w:hint="eastAsia" w:ascii="仿宋" w:hAnsi="仿宋" w:eastAsia="仿宋" w:cs="仿宋"/>
              </w:rPr>
              <w:t>1、投标保证金额度：</w:t>
            </w:r>
            <w:r>
              <w:rPr>
                <w:rFonts w:hint="eastAsia" w:ascii="仿宋" w:hAnsi="仿宋" w:eastAsia="仿宋" w:cs="仿宋"/>
                <w:szCs w:val="21"/>
                <w:u w:val="single"/>
              </w:rPr>
              <w:t xml:space="preserve">            /         </w:t>
            </w:r>
            <w:r>
              <w:rPr>
                <w:rFonts w:hint="eastAsia" w:ascii="仿宋" w:hAnsi="仿宋" w:eastAsia="仿宋" w:cs="仿宋"/>
              </w:rPr>
              <w:t xml:space="preserve">人民币。 </w:t>
            </w:r>
          </w:p>
          <w:p>
            <w:pPr>
              <w:pStyle w:val="4"/>
              <w:ind w:firstLine="0"/>
              <w:rPr>
                <w:rFonts w:hint="eastAsia" w:ascii="仿宋" w:hAnsi="仿宋" w:eastAsia="仿宋" w:cs="仿宋"/>
              </w:rPr>
            </w:pPr>
            <w:r>
              <w:rPr>
                <w:rFonts w:hint="eastAsia" w:ascii="仿宋" w:hAnsi="仿宋" w:eastAsia="仿宋" w:cs="仿宋"/>
              </w:rPr>
              <w:t xml:space="preserve">2、投标保证金可采用现金、支票、银行保函、保证保险、专业工程担保公司担保的形式递交，须在递交投标文件截止时间前完成缴纳。 </w:t>
            </w:r>
          </w:p>
          <w:p>
            <w:pPr>
              <w:pStyle w:val="4"/>
              <w:ind w:firstLine="0"/>
              <w:rPr>
                <w:rFonts w:hint="eastAsia" w:ascii="仿宋" w:hAnsi="仿宋" w:eastAsia="仿宋" w:cs="仿宋"/>
              </w:rPr>
            </w:pPr>
            <w:r>
              <w:rPr>
                <w:rFonts w:hint="eastAsia" w:ascii="仿宋" w:hAnsi="仿宋" w:eastAsia="仿宋" w:cs="仿宋"/>
              </w:rPr>
              <w:t xml:space="preserve">①如采用现金或者支票形式提交的，投标保证金从投标人基本账户递交，由广州公共资源交易中心代收。具体操作要求详见广州公共资源交易中心有关指引，递交事宜请自行咨询交易中心；请各投标人在投标文件递交截止时间前按上述金额递交至广州公共资源交易中心，到账情况以开标时广州公共资源交易中心数据库查询的信息为准。 </w:t>
            </w:r>
          </w:p>
          <w:p>
            <w:pPr>
              <w:pStyle w:val="4"/>
              <w:ind w:firstLine="0"/>
              <w:rPr>
                <w:rFonts w:hint="eastAsia" w:ascii="仿宋" w:hAnsi="仿宋" w:eastAsia="仿宋" w:cs="仿宋"/>
                <w:lang w:eastAsia="zh-CN"/>
              </w:rPr>
            </w:pPr>
            <w:r>
              <w:rPr>
                <w:rFonts w:hint="eastAsia" w:ascii="仿宋" w:hAnsi="仿宋" w:eastAsia="仿宋" w:cs="仿宋"/>
              </w:rPr>
              <w:t>收款单位：</w:t>
            </w:r>
            <w:r>
              <w:rPr>
                <w:rFonts w:hint="eastAsia" w:ascii="仿宋" w:hAnsi="仿宋" w:eastAsia="仿宋" w:cs="仿宋"/>
                <w:lang w:val="en-US" w:eastAsia="zh-CN"/>
              </w:rPr>
              <w:t>/</w:t>
            </w:r>
          </w:p>
          <w:p>
            <w:pPr>
              <w:pStyle w:val="4"/>
              <w:ind w:firstLine="0"/>
              <w:rPr>
                <w:rFonts w:hint="eastAsia" w:ascii="仿宋" w:hAnsi="仿宋" w:eastAsia="仿宋" w:cs="仿宋"/>
                <w:lang w:eastAsia="zh-CN"/>
              </w:rPr>
            </w:pPr>
            <w:r>
              <w:rPr>
                <w:rFonts w:hint="eastAsia" w:ascii="仿宋" w:hAnsi="仿宋" w:eastAsia="仿宋" w:cs="仿宋"/>
              </w:rPr>
              <w:t>开户银行：</w:t>
            </w:r>
            <w:r>
              <w:rPr>
                <w:rFonts w:hint="eastAsia" w:ascii="仿宋" w:hAnsi="仿宋" w:eastAsia="仿宋" w:cs="仿宋"/>
                <w:lang w:val="en-US" w:eastAsia="zh-CN"/>
              </w:rPr>
              <w:t>/</w:t>
            </w:r>
          </w:p>
          <w:p>
            <w:pPr>
              <w:pStyle w:val="4"/>
              <w:ind w:firstLine="0"/>
              <w:rPr>
                <w:rFonts w:hint="eastAsia" w:ascii="仿宋" w:hAnsi="仿宋" w:eastAsia="仿宋" w:cs="仿宋"/>
                <w:lang w:eastAsia="zh-CN"/>
              </w:rPr>
            </w:pPr>
            <w:r>
              <w:rPr>
                <w:rFonts w:hint="eastAsia" w:ascii="仿宋" w:hAnsi="仿宋" w:eastAsia="仿宋" w:cs="仿宋"/>
              </w:rPr>
              <w:t>银行账号：</w:t>
            </w:r>
            <w:r>
              <w:rPr>
                <w:rFonts w:hint="eastAsia" w:ascii="仿宋" w:hAnsi="仿宋" w:eastAsia="仿宋" w:cs="仿宋"/>
                <w:lang w:val="en-US" w:eastAsia="zh-CN"/>
              </w:rPr>
              <w:t>/</w:t>
            </w:r>
          </w:p>
          <w:p>
            <w:pPr>
              <w:pStyle w:val="4"/>
              <w:ind w:firstLine="0"/>
              <w:rPr>
                <w:rFonts w:hint="eastAsia" w:ascii="仿宋" w:hAnsi="仿宋" w:eastAsia="仿宋" w:cs="仿宋"/>
              </w:rPr>
            </w:pPr>
            <w:r>
              <w:rPr>
                <w:rFonts w:hint="eastAsia" w:ascii="仿宋" w:hAnsi="仿宋" w:eastAsia="仿宋" w:cs="仿宋"/>
              </w:rPr>
              <w:t xml:space="preserve">②依法必须招标的房屋建筑工程如采用非电子形式的投标保函或投标保证保险或专业工程担保公司担保的形式递交提交投标保证金的，在开标前不强制要求投标人提交纸质原件，由中标候选人在中标候选人公示前提交并在网上公示，投标人应在投标文件中提交投标保函或投标保证保险扫描件并加盖投标人电子印章。 </w:t>
            </w:r>
          </w:p>
          <w:p>
            <w:pPr>
              <w:pStyle w:val="4"/>
              <w:rPr>
                <w:rFonts w:hint="eastAsia" w:ascii="仿宋" w:hAnsi="仿宋" w:eastAsia="仿宋" w:cs="仿宋"/>
              </w:rPr>
            </w:pPr>
            <w:r>
              <w:rPr>
                <w:rFonts w:hint="eastAsia" w:ascii="仿宋" w:hAnsi="仿宋" w:eastAsia="仿宋" w:cs="仿宋"/>
              </w:rPr>
              <w:t>③如采用电子保函形式提交的，具体操作要求详见广州公共资源交易中心有关指引，递交事宜请自行咨询交易中心；递交情况以开标时广州公共资源交易中心数据库查询信息为准。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19</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投标截止时间</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trike/>
                <w:szCs w:val="21"/>
              </w:rPr>
            </w:pPr>
            <w:r>
              <w:rPr>
                <w:rFonts w:hint="eastAsia" w:ascii="仿宋" w:hAnsi="仿宋" w:eastAsia="仿宋" w:cs="仿宋"/>
                <w:szCs w:val="21"/>
                <w:u w:val="single"/>
              </w:rPr>
              <w:t>2023</w:t>
            </w:r>
            <w:r>
              <w:rPr>
                <w:rFonts w:hint="eastAsia" w:ascii="仿宋" w:hAnsi="仿宋" w:eastAsia="仿宋" w:cs="仿宋"/>
                <w:szCs w:val="21"/>
              </w:rPr>
              <w:t>年</w:t>
            </w:r>
            <w:r>
              <w:rPr>
                <w:rFonts w:hint="eastAsia" w:ascii="仿宋" w:hAnsi="仿宋" w:eastAsia="仿宋" w:cs="仿宋"/>
                <w:szCs w:val="21"/>
                <w:u w:val="single"/>
              </w:rPr>
              <w:t xml:space="preserve">   </w:t>
            </w:r>
            <w:r>
              <w:rPr>
                <w:rFonts w:hint="eastAsia" w:ascii="仿宋" w:hAnsi="仿宋" w:eastAsia="仿宋" w:cs="仿宋"/>
                <w:szCs w:val="21"/>
              </w:rPr>
              <w:t>月</w:t>
            </w:r>
            <w:r>
              <w:rPr>
                <w:rFonts w:hint="eastAsia" w:ascii="仿宋" w:hAnsi="仿宋" w:eastAsia="仿宋" w:cs="仿宋"/>
                <w:szCs w:val="21"/>
                <w:u w:val="single"/>
              </w:rPr>
              <w:t xml:space="preserve">   </w:t>
            </w:r>
            <w:r>
              <w:rPr>
                <w:rFonts w:hint="eastAsia" w:ascii="仿宋" w:hAnsi="仿宋" w:eastAsia="仿宋" w:cs="仿宋"/>
                <w:szCs w:val="21"/>
              </w:rPr>
              <w:t>日</w:t>
            </w:r>
            <w:r>
              <w:rPr>
                <w:rFonts w:hint="eastAsia" w:ascii="仿宋" w:hAnsi="仿宋" w:eastAsia="仿宋" w:cs="仿宋"/>
                <w:szCs w:val="21"/>
                <w:u w:val="single"/>
              </w:rPr>
              <w:t xml:space="preserve">   </w:t>
            </w:r>
            <w:r>
              <w:rPr>
                <w:rFonts w:hint="eastAsia" w:ascii="仿宋" w:hAnsi="仿宋" w:eastAsia="仿宋" w:cs="仿宋"/>
                <w:szCs w:val="21"/>
              </w:rPr>
              <w:t>时</w:t>
            </w:r>
            <w:r>
              <w:rPr>
                <w:rFonts w:hint="eastAsia" w:ascii="仿宋" w:hAnsi="仿宋" w:eastAsia="仿宋" w:cs="仿宋"/>
                <w:szCs w:val="21"/>
                <w:u w:val="single"/>
              </w:rPr>
              <w:t xml:space="preserve">   </w:t>
            </w:r>
            <w:r>
              <w:rPr>
                <w:rFonts w:hint="eastAsia" w:ascii="仿宋" w:hAnsi="仿宋" w:eastAsia="仿宋" w:cs="仿宋"/>
                <w:szCs w:val="21"/>
              </w:rPr>
              <w:t>分（北京时间）。（具体见招标公告）</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20</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u w:val="single"/>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开标开始时间和地点</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szCs w:val="21"/>
              </w:rPr>
              <w:t>（具体见招标公告）</w:t>
            </w:r>
          </w:p>
          <w:p>
            <w:pPr>
              <w:rPr>
                <w:rFonts w:hint="eastAsia" w:ascii="仿宋" w:hAnsi="仿宋" w:eastAsia="仿宋" w:cs="仿宋"/>
                <w:szCs w:val="21"/>
                <w:u w:val="single"/>
              </w:rPr>
            </w:pPr>
            <w:r>
              <w:rPr>
                <w:rFonts w:hint="eastAsia" w:ascii="仿宋" w:hAnsi="仿宋" w:eastAsia="仿宋" w:cs="仿宋"/>
                <w:szCs w:val="21"/>
              </w:rPr>
              <w:t>1．开标开始时间：</w:t>
            </w:r>
            <w:r>
              <w:rPr>
                <w:rFonts w:hint="eastAsia" w:ascii="仿宋" w:hAnsi="仿宋" w:eastAsia="仿宋" w:cs="仿宋"/>
                <w:szCs w:val="21"/>
                <w:u w:val="single"/>
              </w:rPr>
              <w:t>2023</w:t>
            </w:r>
            <w:r>
              <w:rPr>
                <w:rFonts w:hint="eastAsia" w:ascii="仿宋" w:hAnsi="仿宋" w:eastAsia="仿宋" w:cs="仿宋"/>
                <w:szCs w:val="21"/>
              </w:rPr>
              <w:t>年</w:t>
            </w:r>
            <w:r>
              <w:rPr>
                <w:rFonts w:hint="eastAsia" w:ascii="仿宋" w:hAnsi="仿宋" w:eastAsia="仿宋" w:cs="仿宋"/>
                <w:szCs w:val="21"/>
                <w:u w:val="single"/>
              </w:rPr>
              <w:t xml:space="preserve">   </w:t>
            </w:r>
            <w:r>
              <w:rPr>
                <w:rFonts w:hint="eastAsia" w:ascii="仿宋" w:hAnsi="仿宋" w:eastAsia="仿宋" w:cs="仿宋"/>
                <w:szCs w:val="21"/>
              </w:rPr>
              <w:t>月</w:t>
            </w:r>
            <w:r>
              <w:rPr>
                <w:rFonts w:hint="eastAsia" w:ascii="仿宋" w:hAnsi="仿宋" w:eastAsia="仿宋" w:cs="仿宋"/>
                <w:szCs w:val="21"/>
                <w:u w:val="single"/>
              </w:rPr>
              <w:t xml:space="preserve">   </w:t>
            </w:r>
            <w:r>
              <w:rPr>
                <w:rFonts w:hint="eastAsia" w:ascii="仿宋" w:hAnsi="仿宋" w:eastAsia="仿宋" w:cs="仿宋"/>
                <w:szCs w:val="21"/>
              </w:rPr>
              <w:t>日</w:t>
            </w:r>
            <w:r>
              <w:rPr>
                <w:rFonts w:hint="eastAsia" w:ascii="仿宋" w:hAnsi="仿宋" w:eastAsia="仿宋" w:cs="仿宋"/>
                <w:szCs w:val="21"/>
                <w:u w:val="single"/>
              </w:rPr>
              <w:t xml:space="preserve">   </w:t>
            </w:r>
            <w:r>
              <w:rPr>
                <w:rFonts w:hint="eastAsia" w:ascii="仿宋" w:hAnsi="仿宋" w:eastAsia="仿宋" w:cs="仿宋"/>
                <w:szCs w:val="21"/>
              </w:rPr>
              <w:t>时</w:t>
            </w:r>
            <w:r>
              <w:rPr>
                <w:rFonts w:hint="eastAsia" w:ascii="仿宋" w:hAnsi="仿宋" w:eastAsia="仿宋" w:cs="仿宋"/>
                <w:szCs w:val="21"/>
                <w:u w:val="single"/>
              </w:rPr>
              <w:t xml:space="preserve">   </w:t>
            </w:r>
            <w:r>
              <w:rPr>
                <w:rFonts w:hint="eastAsia" w:ascii="仿宋" w:hAnsi="仿宋" w:eastAsia="仿宋" w:cs="仿宋"/>
                <w:szCs w:val="21"/>
              </w:rPr>
              <w:t>分（与投标截止时间为同一时间），地点：</w:t>
            </w:r>
            <w:r>
              <w:rPr>
                <w:rFonts w:hint="eastAsia" w:ascii="仿宋" w:hAnsi="仿宋" w:eastAsia="仿宋" w:cs="仿宋"/>
                <w:szCs w:val="21"/>
                <w:u w:val="single"/>
              </w:rPr>
              <w:t xml:space="preserve">广州公共资源交易中心第   开标室。 </w:t>
            </w:r>
          </w:p>
          <w:p>
            <w:pPr>
              <w:rPr>
                <w:rFonts w:hint="eastAsia" w:ascii="仿宋" w:hAnsi="仿宋" w:eastAsia="仿宋" w:cs="仿宋"/>
                <w:szCs w:val="21"/>
              </w:rPr>
            </w:pPr>
            <w:r>
              <w:rPr>
                <w:rFonts w:hint="eastAsia" w:ascii="仿宋" w:hAnsi="仿宋" w:eastAsia="仿宋" w:cs="仿宋"/>
                <w:szCs w:val="21"/>
              </w:rPr>
              <w:t>注：投标文件解密问题。投标人只用执行一次解密，招标人执行解密次数根据招标文件开标次数确定。</w:t>
            </w:r>
          </w:p>
          <w:p>
            <w:pPr>
              <w:rPr>
                <w:rFonts w:hint="eastAsia" w:ascii="仿宋" w:hAnsi="仿宋" w:eastAsia="仿宋" w:cs="仿宋"/>
                <w:b/>
                <w:szCs w:val="21"/>
              </w:rPr>
            </w:pPr>
            <w:r>
              <w:rPr>
                <w:rFonts w:hint="eastAsia" w:ascii="仿宋" w:hAnsi="仿宋" w:eastAsia="仿宋" w:cs="仿宋"/>
                <w:szCs w:val="21"/>
              </w:rPr>
              <w:t>2.递交投标文件备用U盘时间：</w:t>
            </w:r>
            <w:r>
              <w:rPr>
                <w:rFonts w:hint="eastAsia" w:ascii="仿宋" w:hAnsi="仿宋" w:eastAsia="仿宋" w:cs="仿宋"/>
                <w:szCs w:val="21"/>
                <w:u w:val="single"/>
              </w:rPr>
              <w:t>2023</w:t>
            </w:r>
            <w:r>
              <w:rPr>
                <w:rFonts w:hint="eastAsia" w:ascii="仿宋" w:hAnsi="仿宋" w:eastAsia="仿宋" w:cs="仿宋"/>
                <w:szCs w:val="21"/>
              </w:rPr>
              <w:t>年</w:t>
            </w:r>
            <w:r>
              <w:rPr>
                <w:rFonts w:hint="eastAsia" w:ascii="仿宋" w:hAnsi="仿宋" w:eastAsia="仿宋" w:cs="仿宋"/>
                <w:szCs w:val="21"/>
                <w:u w:val="single"/>
              </w:rPr>
              <w:t xml:space="preserve">   </w:t>
            </w:r>
            <w:r>
              <w:rPr>
                <w:rFonts w:hint="eastAsia" w:ascii="仿宋" w:hAnsi="仿宋" w:eastAsia="仿宋" w:cs="仿宋"/>
                <w:szCs w:val="21"/>
              </w:rPr>
              <w:t>月</w:t>
            </w:r>
            <w:r>
              <w:rPr>
                <w:rFonts w:hint="eastAsia" w:ascii="仿宋" w:hAnsi="仿宋" w:eastAsia="仿宋" w:cs="仿宋"/>
                <w:szCs w:val="21"/>
                <w:u w:val="single"/>
              </w:rPr>
              <w:t xml:space="preserve">   </w:t>
            </w:r>
            <w:r>
              <w:rPr>
                <w:rFonts w:hint="eastAsia" w:ascii="仿宋" w:hAnsi="仿宋" w:eastAsia="仿宋" w:cs="仿宋"/>
                <w:szCs w:val="21"/>
              </w:rPr>
              <w:t>日</w:t>
            </w:r>
            <w:r>
              <w:rPr>
                <w:rFonts w:hint="eastAsia" w:ascii="仿宋" w:hAnsi="仿宋" w:eastAsia="仿宋" w:cs="仿宋"/>
                <w:szCs w:val="21"/>
                <w:u w:val="single"/>
              </w:rPr>
              <w:t xml:space="preserve">   </w:t>
            </w:r>
            <w:r>
              <w:rPr>
                <w:rFonts w:hint="eastAsia" w:ascii="仿宋" w:hAnsi="仿宋" w:eastAsia="仿宋" w:cs="仿宋"/>
                <w:szCs w:val="21"/>
              </w:rPr>
              <w:t>时</w:t>
            </w:r>
            <w:r>
              <w:rPr>
                <w:rFonts w:hint="eastAsia" w:ascii="仿宋" w:hAnsi="仿宋" w:eastAsia="仿宋" w:cs="仿宋"/>
                <w:szCs w:val="21"/>
                <w:u w:val="single"/>
              </w:rPr>
              <w:t xml:space="preserve">   </w:t>
            </w:r>
            <w:r>
              <w:rPr>
                <w:rFonts w:hint="eastAsia" w:ascii="仿宋" w:hAnsi="仿宋" w:eastAsia="仿宋" w:cs="仿宋"/>
                <w:szCs w:val="21"/>
              </w:rPr>
              <w:t>分至</w:t>
            </w:r>
            <w:r>
              <w:rPr>
                <w:rFonts w:hint="eastAsia" w:ascii="仿宋" w:hAnsi="仿宋" w:eastAsia="仿宋" w:cs="仿宋"/>
                <w:szCs w:val="21"/>
                <w:u w:val="single"/>
              </w:rPr>
              <w:t>2022</w:t>
            </w:r>
            <w:r>
              <w:rPr>
                <w:rFonts w:hint="eastAsia" w:ascii="仿宋" w:hAnsi="仿宋" w:eastAsia="仿宋" w:cs="仿宋"/>
                <w:szCs w:val="21"/>
              </w:rPr>
              <w:t>年</w:t>
            </w:r>
            <w:r>
              <w:rPr>
                <w:rFonts w:hint="eastAsia" w:ascii="仿宋" w:hAnsi="仿宋" w:eastAsia="仿宋" w:cs="仿宋"/>
                <w:szCs w:val="21"/>
                <w:u w:val="single"/>
              </w:rPr>
              <w:t xml:space="preserve">   </w:t>
            </w:r>
            <w:r>
              <w:rPr>
                <w:rFonts w:hint="eastAsia" w:ascii="仿宋" w:hAnsi="仿宋" w:eastAsia="仿宋" w:cs="仿宋"/>
                <w:szCs w:val="21"/>
              </w:rPr>
              <w:t>月</w:t>
            </w:r>
            <w:r>
              <w:rPr>
                <w:rFonts w:hint="eastAsia" w:ascii="仿宋" w:hAnsi="仿宋" w:eastAsia="仿宋" w:cs="仿宋"/>
                <w:szCs w:val="21"/>
                <w:u w:val="single"/>
              </w:rPr>
              <w:t xml:space="preserve">   </w:t>
            </w:r>
            <w:r>
              <w:rPr>
                <w:rFonts w:hint="eastAsia" w:ascii="仿宋" w:hAnsi="仿宋" w:eastAsia="仿宋" w:cs="仿宋"/>
                <w:szCs w:val="21"/>
              </w:rPr>
              <w:t>日</w:t>
            </w:r>
            <w:r>
              <w:rPr>
                <w:rFonts w:hint="eastAsia" w:ascii="仿宋" w:hAnsi="仿宋" w:eastAsia="仿宋" w:cs="仿宋"/>
                <w:szCs w:val="21"/>
                <w:u w:val="single"/>
              </w:rPr>
              <w:t xml:space="preserve">   </w:t>
            </w:r>
            <w:r>
              <w:rPr>
                <w:rFonts w:hint="eastAsia" w:ascii="仿宋" w:hAnsi="仿宋" w:eastAsia="仿宋" w:cs="仿宋"/>
                <w:szCs w:val="21"/>
              </w:rPr>
              <w:t>时</w:t>
            </w:r>
            <w:r>
              <w:rPr>
                <w:rFonts w:hint="eastAsia" w:ascii="仿宋" w:hAnsi="仿宋" w:eastAsia="仿宋" w:cs="仿宋"/>
                <w:szCs w:val="21"/>
                <w:u w:val="single"/>
              </w:rPr>
              <w:t xml:space="preserve">   </w:t>
            </w:r>
            <w:r>
              <w:rPr>
                <w:rFonts w:hint="eastAsia" w:ascii="仿宋" w:hAnsi="仿宋" w:eastAsia="仿宋" w:cs="仿宋"/>
                <w:szCs w:val="21"/>
              </w:rPr>
              <w:t>分；递交地点：</w:t>
            </w:r>
            <w:r>
              <w:rPr>
                <w:rFonts w:hint="eastAsia" w:ascii="仿宋" w:hAnsi="仿宋" w:eastAsia="仿宋" w:cs="仿宋"/>
                <w:szCs w:val="21"/>
                <w:u w:val="single"/>
              </w:rPr>
              <w:t>广州公共资源交易中心第   开标室。</w:t>
            </w:r>
            <w:r>
              <w:rPr>
                <w:rFonts w:hint="eastAsia" w:ascii="仿宋" w:hAnsi="仿宋" w:eastAsia="仿宋" w:cs="仿宋"/>
                <w:b/>
                <w:szCs w:val="21"/>
              </w:rPr>
              <w:t xml:space="preserve"> (在投标文件截止时间前15分钟至投标文件截止时间）</w:t>
            </w:r>
            <w:r>
              <w:rPr>
                <w:rFonts w:hint="eastAsia" w:ascii="仿宋" w:hAnsi="仿宋" w:eastAsia="仿宋" w:cs="仿宋"/>
                <w:szCs w:val="21"/>
              </w:rPr>
              <w:t>。</w:t>
            </w:r>
          </w:p>
          <w:p>
            <w:pPr>
              <w:rPr>
                <w:rFonts w:hint="eastAsia" w:ascii="仿宋" w:hAnsi="仿宋" w:eastAsia="仿宋" w:cs="仿宋"/>
                <w:szCs w:val="21"/>
                <w:u w:val="single"/>
              </w:rPr>
            </w:pPr>
            <w:r>
              <w:rPr>
                <w:rFonts w:hint="eastAsia" w:ascii="仿宋" w:hAnsi="仿宋" w:eastAsia="仿宋" w:cs="仿宋"/>
                <w:szCs w:val="21"/>
                <w:u w:val="single"/>
              </w:rPr>
              <w:t>3.递交定标文件时间</w:t>
            </w:r>
            <w:r>
              <w:rPr>
                <w:rFonts w:hint="eastAsia" w:ascii="仿宋" w:hAnsi="仿宋" w:eastAsia="仿宋" w:cs="仿宋"/>
                <w:b/>
                <w:szCs w:val="21"/>
                <w:u w:val="single"/>
              </w:rPr>
              <w:t>（与递交投标文件备用U盘时间一致）</w:t>
            </w:r>
            <w:r>
              <w:rPr>
                <w:rFonts w:hint="eastAsia" w:ascii="仿宋" w:hAnsi="仿宋" w:eastAsia="仿宋" w:cs="仿宋"/>
                <w:szCs w:val="21"/>
                <w:u w:val="single"/>
              </w:rPr>
              <w:t>；递交后由交易中心见证人员进行封存，中标候选人公示结束后在交易中心见证人员的见证下开封，并由招标人从交易中心提取。</w:t>
            </w:r>
          </w:p>
          <w:p>
            <w:pPr>
              <w:rPr>
                <w:rFonts w:hint="eastAsia" w:ascii="仿宋" w:hAnsi="仿宋" w:eastAsia="仿宋" w:cs="仿宋"/>
                <w:szCs w:val="21"/>
              </w:rPr>
            </w:pPr>
            <w:r>
              <w:rPr>
                <w:rFonts w:hint="eastAsia" w:ascii="仿宋" w:hAnsi="仿宋" w:eastAsia="仿宋" w:cs="仿宋"/>
                <w:szCs w:val="21"/>
              </w:rPr>
              <w:t>递交地点：</w:t>
            </w:r>
            <w:r>
              <w:rPr>
                <w:rFonts w:hint="eastAsia" w:ascii="仿宋" w:hAnsi="仿宋" w:eastAsia="仿宋" w:cs="仿宋"/>
                <w:b/>
                <w:szCs w:val="21"/>
              </w:rPr>
              <w:t>（与递交投标文件备用U盘时间一致）</w:t>
            </w:r>
            <w:r>
              <w:rPr>
                <w:rFonts w:hint="eastAsia" w:ascii="仿宋" w:hAnsi="仿宋" w:eastAsia="仿宋" w:cs="仿宋"/>
                <w:szCs w:val="21"/>
              </w:rPr>
              <w:t>。</w:t>
            </w:r>
          </w:p>
          <w:p>
            <w:pPr>
              <w:rPr>
                <w:rFonts w:hint="eastAsia" w:ascii="仿宋" w:hAnsi="仿宋" w:eastAsia="仿宋" w:cs="仿宋"/>
                <w:szCs w:val="21"/>
              </w:rPr>
            </w:pPr>
            <w:r>
              <w:rPr>
                <w:rFonts w:hint="eastAsia" w:ascii="仿宋" w:hAnsi="仿宋" w:eastAsia="仿宋" w:cs="仿宋"/>
                <w:szCs w:val="21"/>
              </w:rPr>
              <w:t>上述时间及地点是否有改变，请密切留意</w:t>
            </w:r>
            <w:r>
              <w:rPr>
                <w:rFonts w:hint="eastAsia" w:ascii="仿宋" w:hAnsi="仿宋" w:eastAsia="仿宋" w:cs="仿宋"/>
                <w:szCs w:val="21"/>
                <w:u w:val="single"/>
              </w:rPr>
              <w:t>广州公共资源交易中心网站公布</w:t>
            </w:r>
            <w:r>
              <w:rPr>
                <w:rFonts w:hint="eastAsia" w:ascii="仿宋" w:hAnsi="仿宋" w:eastAsia="仿宋" w:cs="仿宋"/>
                <w:szCs w:val="21"/>
              </w:rPr>
              <w:t>的相关信息。</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jc w:val="center"/>
        </w:trPr>
        <w:tc>
          <w:tcPr>
            <w:tcW w:w="702" w:type="dxa"/>
            <w:vMerge w:val="restart"/>
            <w:tcBorders>
              <w:top w:val="single" w:color="auto" w:sz="4" w:space="0"/>
              <w:left w:val="double" w:color="auto" w:sz="4" w:space="0"/>
              <w:right w:val="single" w:color="auto" w:sz="4" w:space="0"/>
            </w:tcBorders>
            <w:vAlign w:val="center"/>
          </w:tcPr>
          <w:p>
            <w:pPr>
              <w:rPr>
                <w:rFonts w:hint="eastAsia" w:ascii="仿宋" w:hAnsi="仿宋" w:eastAsia="仿宋" w:cs="仿宋"/>
                <w:kern w:val="2"/>
                <w:sz w:val="21"/>
                <w:szCs w:val="21"/>
                <w:lang w:val="en-US" w:eastAsia="zh-CN" w:bidi="ar-SA"/>
              </w:rPr>
            </w:pPr>
            <w:r>
              <w:rPr>
                <w:rFonts w:hint="eastAsia" w:ascii="仿宋" w:hAnsi="仿宋" w:eastAsia="仿宋" w:cs="仿宋"/>
                <w:szCs w:val="21"/>
              </w:rPr>
              <w:t>2</w:t>
            </w:r>
          </w:p>
        </w:tc>
        <w:tc>
          <w:tcPr>
            <w:tcW w:w="981" w:type="dxa"/>
            <w:vMerge w:val="restart"/>
            <w:tcBorders>
              <w:top w:val="single" w:color="auto" w:sz="4" w:space="0"/>
              <w:left w:val="single" w:color="auto" w:sz="4" w:space="0"/>
              <w:right w:val="single" w:color="auto" w:sz="4" w:space="0"/>
            </w:tcBorders>
            <w:vAlign w:val="center"/>
          </w:tcPr>
          <w:p>
            <w:pPr>
              <w:rPr>
                <w:rFonts w:hint="eastAsia" w:ascii="仿宋" w:hAnsi="仿宋" w:eastAsia="仿宋" w:cs="仿宋"/>
                <w:kern w:val="2"/>
                <w:sz w:val="21"/>
                <w:szCs w:val="21"/>
                <w:u w:val="single"/>
                <w:lang w:val="en-US" w:eastAsia="zh-CN" w:bidi="ar-SA"/>
              </w:rPr>
            </w:pPr>
          </w:p>
        </w:tc>
        <w:tc>
          <w:tcPr>
            <w:tcW w:w="1810" w:type="dxa"/>
            <w:vMerge w:val="restart"/>
            <w:tcBorders>
              <w:top w:val="single" w:color="auto" w:sz="4" w:space="0"/>
              <w:left w:val="single" w:color="auto" w:sz="4" w:space="0"/>
              <w:right w:val="single" w:color="auto" w:sz="4" w:space="0"/>
            </w:tcBorders>
            <w:vAlign w:val="center"/>
          </w:tcPr>
          <w:p>
            <w:pPr>
              <w:rPr>
                <w:rFonts w:hint="eastAsia" w:ascii="仿宋" w:hAnsi="仿宋" w:eastAsia="仿宋" w:cs="仿宋"/>
                <w:kern w:val="2"/>
                <w:sz w:val="21"/>
                <w:szCs w:val="21"/>
                <w:u w:val="single"/>
                <w:lang w:val="en-US" w:eastAsia="zh-CN" w:bidi="ar-SA"/>
              </w:rPr>
            </w:pPr>
            <w:r>
              <w:rPr>
                <w:rFonts w:hint="eastAsia" w:ascii="仿宋" w:hAnsi="仿宋" w:eastAsia="仿宋" w:cs="仿宋"/>
                <w:szCs w:val="21"/>
                <w:u w:val="single"/>
              </w:rPr>
              <w:t>采用评定分离定标办法</w:t>
            </w:r>
          </w:p>
        </w:tc>
        <w:tc>
          <w:tcPr>
            <w:tcW w:w="5857" w:type="dxa"/>
            <w:tcBorders>
              <w:top w:val="single" w:color="auto" w:sz="4" w:space="0"/>
              <w:left w:val="single" w:color="auto" w:sz="4" w:space="0"/>
              <w:bottom w:val="single" w:color="auto" w:sz="4" w:space="0"/>
              <w:right w:val="double" w:color="auto" w:sz="4" w:space="0"/>
            </w:tcBorders>
            <w:vAlign w:val="center"/>
          </w:tcPr>
          <w:p>
            <w:pPr>
              <w:pStyle w:val="11"/>
              <w:ind w:firstLine="0"/>
              <w:rPr>
                <w:rFonts w:hint="eastAsia" w:ascii="仿宋" w:hAnsi="仿宋" w:eastAsia="仿宋" w:cs="仿宋"/>
                <w:kern w:val="2"/>
                <w:sz w:val="21"/>
                <w:szCs w:val="21"/>
                <w:highlight w:val="yellow"/>
                <w:u w:val="single"/>
              </w:rPr>
            </w:pPr>
            <w:r>
              <w:rPr>
                <w:rFonts w:hint="eastAsia" w:ascii="仿宋" w:hAnsi="仿宋" w:eastAsia="仿宋" w:cs="仿宋"/>
                <w:kern w:val="2"/>
                <w:sz w:val="21"/>
                <w:szCs w:val="21"/>
                <w:highlight w:val="yellow"/>
                <w:u w:val="single"/>
              </w:rPr>
              <w:t>评标办法：</w:t>
            </w:r>
          </w:p>
          <w:p>
            <w:pPr>
              <w:pStyle w:val="11"/>
              <w:ind w:firstLine="0"/>
              <w:rPr>
                <w:rFonts w:hint="default" w:ascii="仿宋" w:hAnsi="仿宋" w:eastAsia="仿宋" w:cs="仿宋"/>
                <w:kern w:val="2"/>
                <w:sz w:val="21"/>
                <w:szCs w:val="21"/>
                <w:highlight w:val="yellow"/>
                <w:u w:val="single"/>
                <w:lang w:val="en-US" w:eastAsia="zh-CN"/>
              </w:rPr>
            </w:pPr>
            <w:r>
              <w:rPr>
                <w:rFonts w:hint="eastAsia" w:ascii="仿宋" w:hAnsi="仿宋" w:eastAsia="仿宋" w:cs="仿宋"/>
                <w:kern w:val="2"/>
                <w:sz w:val="21"/>
                <w:szCs w:val="21"/>
                <w:highlight w:val="yellow"/>
                <w:u w:val="single"/>
                <w:lang w:val="en-US" w:eastAsia="zh-CN"/>
              </w:rPr>
              <w:t>①</w:t>
            </w:r>
            <w:r>
              <w:rPr>
                <w:rFonts w:hint="eastAsia" w:ascii="仿宋" w:hAnsi="仿宋" w:eastAsia="仿宋" w:cs="仿宋"/>
                <w:kern w:val="2"/>
                <w:sz w:val="21"/>
                <w:szCs w:val="21"/>
                <w:highlight w:val="yellow"/>
                <w:u w:val="single"/>
              </w:rPr>
              <w:t>采用“通过制”的项目</w:t>
            </w:r>
            <w:r>
              <w:rPr>
                <w:rFonts w:hint="eastAsia" w:ascii="仿宋" w:hAnsi="仿宋" w:eastAsia="仿宋" w:cs="仿宋"/>
                <w:kern w:val="2"/>
                <w:sz w:val="21"/>
                <w:szCs w:val="21"/>
                <w:highlight w:val="yellow"/>
                <w:u w:val="single"/>
                <w:lang w:val="en-US" w:eastAsia="zh-CN"/>
              </w:rPr>
              <w:t>编制示例：</w:t>
            </w:r>
          </w:p>
          <w:p>
            <w:pPr>
              <w:pStyle w:val="11"/>
              <w:ind w:firstLine="420" w:firstLineChars="200"/>
              <w:rPr>
                <w:rFonts w:hint="eastAsia" w:ascii="仿宋" w:hAnsi="仿宋" w:eastAsia="仿宋" w:cs="仿宋"/>
                <w:kern w:val="2"/>
                <w:sz w:val="21"/>
                <w:szCs w:val="21"/>
                <w:highlight w:val="yellow"/>
                <w:u w:val="single"/>
              </w:rPr>
            </w:pPr>
            <w:r>
              <w:rPr>
                <w:rFonts w:hint="eastAsia" w:ascii="仿宋" w:hAnsi="仿宋" w:eastAsia="仿宋" w:cs="仿宋"/>
                <w:kern w:val="2"/>
                <w:sz w:val="21"/>
                <w:szCs w:val="21"/>
                <w:highlight w:val="yellow"/>
                <w:u w:val="single"/>
              </w:rPr>
              <w:t>经评审，共有X个投标人通过技术标详细评审。有X个投标人不通过技术标详细评审，名单及具体原因是：XXX公司，未通过原因是XXX……（列明每个投标人技术标不通过的详细理由及依据）。详见：《技术标详细评审表》。</w:t>
            </w:r>
          </w:p>
          <w:p>
            <w:pPr>
              <w:pStyle w:val="11"/>
              <w:ind w:firstLine="420" w:firstLineChars="200"/>
              <w:rPr>
                <w:rFonts w:hint="eastAsia" w:ascii="仿宋" w:hAnsi="仿宋" w:eastAsia="仿宋" w:cs="仿宋"/>
                <w:kern w:val="2"/>
                <w:sz w:val="21"/>
                <w:szCs w:val="21"/>
                <w:highlight w:val="yellow"/>
                <w:u w:val="single"/>
              </w:rPr>
            </w:pPr>
            <w:r>
              <w:rPr>
                <w:rFonts w:hint="eastAsia" w:ascii="仿宋" w:hAnsi="仿宋" w:eastAsia="仿宋" w:cs="仿宋"/>
                <w:kern w:val="2"/>
                <w:sz w:val="21"/>
                <w:szCs w:val="21"/>
                <w:highlight w:val="yellow"/>
                <w:u w:val="single"/>
              </w:rPr>
              <w:t>经评审，共有X个投标人通过经济标详细评审。有X个投标人不通过经济标详细评审，名单及具体原因是：XXX公司，未通过原因是XXX……（列明每个投标人经济标不通过的详细理由及依据）。详见：《经济标详细评审表》。</w:t>
            </w:r>
          </w:p>
          <w:p>
            <w:pPr>
              <w:pStyle w:val="11"/>
              <w:ind w:firstLine="0"/>
              <w:rPr>
                <w:rFonts w:hint="eastAsia" w:ascii="仿宋" w:hAnsi="仿宋" w:eastAsia="仿宋" w:cs="仿宋"/>
                <w:kern w:val="2"/>
                <w:sz w:val="21"/>
                <w:szCs w:val="21"/>
                <w:highlight w:val="yellow"/>
                <w:u w:val="single"/>
                <w:lang w:val="en-US" w:eastAsia="zh-CN" w:bidi="ar-SA"/>
              </w:rPr>
            </w:pPr>
            <w:r>
              <w:rPr>
                <w:rFonts w:hint="eastAsia" w:ascii="仿宋" w:hAnsi="仿宋" w:eastAsia="仿宋" w:cs="仿宋"/>
                <w:kern w:val="2"/>
                <w:sz w:val="21"/>
                <w:szCs w:val="21"/>
                <w:highlight w:val="yellow"/>
                <w:u w:val="single"/>
                <w:lang w:val="en-US" w:eastAsia="zh-CN" w:bidi="ar-SA"/>
              </w:rPr>
              <w:t>②采用“有限数量制”的项目编制示例：</w:t>
            </w:r>
          </w:p>
          <w:p>
            <w:pPr>
              <w:pStyle w:val="11"/>
              <w:ind w:firstLine="420" w:firstLineChars="200"/>
              <w:rPr>
                <w:rFonts w:hint="default" w:ascii="仿宋" w:hAnsi="仿宋" w:eastAsia="仿宋" w:cs="仿宋"/>
                <w:kern w:val="2"/>
                <w:sz w:val="21"/>
                <w:szCs w:val="21"/>
                <w:highlight w:val="yellow"/>
                <w:u w:val="single"/>
                <w:lang w:val="en-US" w:eastAsia="zh-CN" w:bidi="ar-SA"/>
              </w:rPr>
            </w:pPr>
            <w:r>
              <w:rPr>
                <w:rFonts w:hint="default" w:ascii="仿宋" w:hAnsi="仿宋" w:eastAsia="仿宋" w:cs="仿宋"/>
                <w:kern w:val="2"/>
                <w:sz w:val="21"/>
                <w:szCs w:val="21"/>
                <w:highlight w:val="yellow"/>
                <w:u w:val="single"/>
                <w:lang w:val="en-US" w:eastAsia="zh-CN" w:bidi="ar-SA"/>
              </w:rPr>
              <w:t>经评审，有X个投标人被否决投标，名单及具体原因是：XXX公司，未通过原因是XXX……（列明每个投标人被否决的详细理由及依据）。各投标人具体得分情况详见《详细评审表》、《评分表》。（适用于定量评审）</w:t>
            </w:r>
          </w:p>
          <w:p>
            <w:pPr>
              <w:pStyle w:val="11"/>
              <w:ind w:firstLine="420" w:firstLineChars="200"/>
              <w:rPr>
                <w:rFonts w:hint="default" w:ascii="仿宋" w:hAnsi="仿宋" w:eastAsia="仿宋" w:cs="仿宋"/>
                <w:color w:val="FF0000"/>
                <w:kern w:val="2"/>
                <w:sz w:val="21"/>
                <w:szCs w:val="21"/>
                <w:highlight w:val="yellow"/>
                <w:u w:val="single"/>
                <w:lang w:val="en-US" w:eastAsia="zh-CN" w:bidi="ar-SA"/>
              </w:rPr>
            </w:pPr>
            <w:r>
              <w:rPr>
                <w:rFonts w:hint="default" w:ascii="仿宋" w:hAnsi="仿宋" w:eastAsia="仿宋" w:cs="仿宋"/>
                <w:kern w:val="2"/>
                <w:sz w:val="21"/>
                <w:szCs w:val="21"/>
                <w:highlight w:val="yellow"/>
                <w:u w:val="single"/>
                <w:lang w:val="en-US" w:eastAsia="zh-CN" w:bidi="ar-SA"/>
              </w:rPr>
              <w:t>经评审，有X个投标人被否决投标，名单及具体原因是：XXX公司，未通过原因是XXX……（列明每个投标人被否决的详细理由及依据）。各投标人得票数和评语详见评标表。（适用于定性评审）</w:t>
            </w:r>
          </w:p>
          <w:p>
            <w:pPr>
              <w:pStyle w:val="11"/>
              <w:ind w:firstLine="0"/>
              <w:rPr>
                <w:rFonts w:hint="default" w:ascii="仿宋" w:hAnsi="仿宋" w:eastAsia="仿宋" w:cs="仿宋"/>
                <w:kern w:val="2"/>
                <w:sz w:val="21"/>
                <w:szCs w:val="21"/>
                <w:u w:val="single"/>
                <w:lang w:val="en-US" w:eastAsia="zh-CN" w:bidi="ar-SA"/>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jc w:val="center"/>
        </w:trPr>
        <w:tc>
          <w:tcPr>
            <w:tcW w:w="702" w:type="dxa"/>
            <w:vMerge w:val="continue"/>
            <w:tcBorders>
              <w:left w:val="doub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981" w:type="dxa"/>
            <w:vMerge w:val="continue"/>
            <w:tcBorders>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vMerge w:val="continue"/>
            <w:tcBorders>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5857" w:type="dxa"/>
            <w:tcBorders>
              <w:top w:val="single" w:color="auto" w:sz="4" w:space="0"/>
              <w:left w:val="single" w:color="auto" w:sz="4" w:space="0"/>
              <w:bottom w:val="single" w:color="auto" w:sz="4" w:space="0"/>
              <w:right w:val="double" w:color="auto" w:sz="4" w:space="0"/>
            </w:tcBorders>
            <w:vAlign w:val="center"/>
          </w:tcPr>
          <w:p>
            <w:pPr>
              <w:pStyle w:val="11"/>
              <w:ind w:firstLine="0" w:firstLineChars="0"/>
              <w:rPr>
                <w:rFonts w:hint="eastAsia" w:ascii="仿宋" w:hAnsi="仿宋" w:cs="仿宋" w:eastAsiaTheme="minorEastAsia"/>
                <w:kern w:val="2"/>
                <w:sz w:val="21"/>
                <w:szCs w:val="21"/>
                <w:highlight w:val="yellow"/>
                <w:u w:val="single"/>
                <w:lang w:val="en-US" w:eastAsia="zh-CN" w:bidi="ar-SA"/>
              </w:rPr>
            </w:pPr>
            <w:r>
              <w:rPr>
                <w:rFonts w:hint="eastAsia" w:ascii="仿宋" w:hAnsi="仿宋" w:eastAsia="仿宋" w:cs="仿宋"/>
                <w:kern w:val="2"/>
                <w:sz w:val="21"/>
                <w:szCs w:val="21"/>
                <w:highlight w:val="yellow"/>
                <w:u w:val="single"/>
              </w:rPr>
              <w:t>定标办法：采用</w:t>
            </w:r>
            <w:r>
              <w:rPr>
                <w:rFonts w:hint="eastAsia" w:ascii="仿宋" w:hAnsi="仿宋" w:eastAsia="仿宋" w:cs="仿宋"/>
                <w:kern w:val="2"/>
                <w:sz w:val="21"/>
                <w:szCs w:val="21"/>
                <w:highlight w:val="yellow"/>
                <w:u w:val="single"/>
                <w:lang w:val="en-US" w:eastAsia="zh-CN"/>
              </w:rPr>
              <w:t>票决方式定标方法（</w:t>
            </w:r>
            <w:r>
              <w:rPr>
                <w:rFonts w:hint="eastAsia" w:ascii="仿宋" w:hAnsi="仿宋" w:eastAsia="仿宋" w:cs="仿宋"/>
                <w:kern w:val="2"/>
                <w:sz w:val="21"/>
                <w:szCs w:val="21"/>
                <w:highlight w:val="yellow"/>
                <w:u w:val="single"/>
              </w:rPr>
              <w:t>记名投票+撰写评语</w:t>
            </w:r>
            <w:r>
              <w:rPr>
                <w:rFonts w:hint="eastAsia" w:ascii="仿宋" w:hAnsi="仿宋" w:eastAsia="仿宋" w:cs="仿宋"/>
                <w:kern w:val="2"/>
                <w:sz w:val="21"/>
                <w:szCs w:val="21"/>
                <w:highlight w:val="yellow"/>
                <w:u w:val="single"/>
                <w:lang w:eastAsia="zh-CN"/>
              </w:rPr>
              <w:t>）</w:t>
            </w:r>
            <w:r>
              <w:rPr>
                <w:rFonts w:hint="eastAsia" w:asciiTheme="minorEastAsia" w:hAnsiTheme="minorEastAsia"/>
                <w:kern w:val="2"/>
                <w:sz w:val="21"/>
                <w:szCs w:val="21"/>
                <w:highlight w:val="yellow"/>
                <w:u w:val="single"/>
                <w:lang w:eastAsia="zh-CN"/>
              </w:rPr>
              <w:t>。</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773"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zCs w:val="21"/>
              </w:rPr>
              <w:t>2</w:t>
            </w:r>
            <w:r>
              <w:rPr>
                <w:rFonts w:hint="eastAsia" w:ascii="仿宋" w:hAnsi="仿宋" w:eastAsia="仿宋" w:cs="仿宋"/>
                <w:szCs w:val="21"/>
                <w:lang w:val="en-US" w:eastAsia="zh-CN"/>
              </w:rPr>
              <w:t>2</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履约担保</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trike/>
                <w:szCs w:val="21"/>
                <w:u w:val="single"/>
              </w:rPr>
            </w:pPr>
            <w:r>
              <w:rPr>
                <w:rFonts w:hint="eastAsia" w:ascii="仿宋" w:hAnsi="仿宋" w:eastAsia="仿宋" w:cs="仿宋"/>
                <w:u w:val="single"/>
              </w:rPr>
              <w:t>合同签订后30天内或第一笔付款申请前（两者时间取孰早）提供合同额10%的履约保函。</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default" w:ascii="仿宋" w:hAnsi="仿宋" w:eastAsia="仿宋" w:cs="仿宋"/>
                <w:szCs w:val="21"/>
                <w:lang w:val="en-US" w:eastAsia="zh-CN"/>
              </w:rPr>
            </w:pPr>
            <w:r>
              <w:rPr>
                <w:rFonts w:hint="eastAsia" w:ascii="仿宋" w:hAnsi="仿宋" w:eastAsia="仿宋" w:cs="仿宋"/>
                <w:szCs w:val="21"/>
                <w:lang w:val="en-US" w:eastAsia="zh-CN"/>
              </w:rPr>
              <w:t>23</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最高投标限价</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szCs w:val="21"/>
              </w:rPr>
              <w:t>本项目最高投标限价为人民币</w:t>
            </w:r>
            <w:r>
              <w:rPr>
                <w:rFonts w:hint="eastAsia" w:ascii="仿宋" w:hAnsi="仿宋" w:eastAsia="仿宋" w:cs="仿宋"/>
                <w:szCs w:val="21"/>
                <w:u w:val="single"/>
                <w:lang w:val="en-US" w:eastAsia="zh-CN"/>
              </w:rPr>
              <w:t>/</w:t>
            </w:r>
            <w:r>
              <w:rPr>
                <w:rFonts w:hint="eastAsia" w:ascii="仿宋" w:hAnsi="仿宋" w:eastAsia="仿宋" w:cs="仿宋"/>
                <w:szCs w:val="21"/>
              </w:rPr>
              <w:t>元。</w:t>
            </w:r>
            <w:r>
              <w:rPr>
                <w:rFonts w:hint="eastAsia" w:ascii="仿宋" w:hAnsi="仿宋" w:eastAsia="仿宋" w:cs="仿宋"/>
                <w:szCs w:val="21"/>
                <w:u w:val="single"/>
              </w:rPr>
              <w:t>详见《最高投标限价公布函》</w:t>
            </w:r>
            <w:r>
              <w:rPr>
                <w:rFonts w:hint="eastAsia" w:ascii="仿宋" w:hAnsi="仿宋" w:eastAsia="仿宋" w:cs="仿宋"/>
                <w:szCs w:val="21"/>
              </w:rPr>
              <w:t>。</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zCs w:val="21"/>
              </w:rPr>
              <w:t>2</w:t>
            </w:r>
            <w:r>
              <w:rPr>
                <w:rFonts w:hint="eastAsia" w:ascii="仿宋" w:hAnsi="仿宋" w:eastAsia="仿宋" w:cs="仿宋"/>
                <w:szCs w:val="21"/>
                <w:lang w:val="en-US" w:eastAsia="zh-CN"/>
              </w:rPr>
              <w:t>4</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非竞争费用</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b/>
                <w:bCs/>
                <w:szCs w:val="21"/>
                <w:u w:val="single"/>
              </w:rPr>
              <w:t>非竞争费用为</w:t>
            </w:r>
            <w:r>
              <w:rPr>
                <w:rFonts w:hint="eastAsia" w:ascii="仿宋" w:hAnsi="仿宋" w:eastAsia="仿宋" w:cs="仿宋"/>
                <w:b/>
                <w:bCs/>
                <w:szCs w:val="21"/>
                <w:u w:val="single"/>
                <w:lang w:val="en-US" w:eastAsia="zh-CN"/>
              </w:rPr>
              <w:t>/</w:t>
            </w:r>
            <w:r>
              <w:rPr>
                <w:rFonts w:hint="eastAsia" w:ascii="仿宋" w:hAnsi="仿宋" w:eastAsia="仿宋" w:cs="仿宋"/>
                <w:b/>
                <w:bCs/>
                <w:szCs w:val="21"/>
                <w:u w:val="single"/>
              </w:rPr>
              <w:t>元（含税），包括绿色施工安全防护措施费、暂列金额、赶工措施费、工程优质费、专业工程暂估价，具体金额</w:t>
            </w:r>
            <w:r>
              <w:rPr>
                <w:rFonts w:hint="eastAsia" w:ascii="仿宋" w:hAnsi="仿宋" w:eastAsia="仿宋" w:cs="仿宋"/>
                <w:szCs w:val="21"/>
                <w:u w:val="single"/>
              </w:rPr>
              <w:t>详见《最高投标限价公布函》。</w:t>
            </w:r>
            <w:r>
              <w:rPr>
                <w:rFonts w:hint="eastAsia" w:ascii="仿宋" w:hAnsi="仿宋" w:eastAsia="仿宋" w:cs="仿宋"/>
                <w:szCs w:val="21"/>
              </w:rPr>
              <w:t>（未按招标文件规定的金额填写的，由评标委员会按照招标文件规定的金额进行修正）</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689"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trike/>
                <w:szCs w:val="21"/>
                <w:lang w:val="en-US" w:eastAsia="zh-CN"/>
              </w:rPr>
            </w:pPr>
            <w:r>
              <w:rPr>
                <w:rFonts w:hint="eastAsia" w:ascii="仿宋" w:hAnsi="仿宋" w:eastAsia="仿宋" w:cs="仿宋"/>
                <w:szCs w:val="21"/>
              </w:rPr>
              <w:t>2</w:t>
            </w:r>
            <w:r>
              <w:rPr>
                <w:rFonts w:hint="eastAsia" w:ascii="仿宋" w:hAnsi="仿宋" w:eastAsia="仿宋" w:cs="仿宋"/>
                <w:szCs w:val="21"/>
                <w:lang w:val="en-US" w:eastAsia="zh-CN"/>
              </w:rPr>
              <w:t>5</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pStyle w:val="11"/>
              <w:ind w:firstLine="0"/>
              <w:rPr>
                <w:rFonts w:hint="eastAsia" w:ascii="仿宋" w:hAnsi="仿宋" w:eastAsia="仿宋" w:cs="仿宋"/>
                <w:kern w:val="2"/>
                <w:sz w:val="21"/>
                <w:szCs w:val="21"/>
              </w:rPr>
            </w:pPr>
            <w:r>
              <w:rPr>
                <w:rFonts w:hint="eastAsia" w:ascii="仿宋" w:hAnsi="仿宋" w:eastAsia="仿宋" w:cs="仿宋"/>
                <w:kern w:val="2"/>
                <w:sz w:val="21"/>
                <w:szCs w:val="21"/>
              </w:rPr>
              <w:t>保修期</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szCs w:val="21"/>
              </w:rPr>
              <w:t>按照《建设工程质量管理条例》规定。</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trike/>
                <w:szCs w:val="21"/>
                <w:lang w:val="en-US" w:eastAsia="zh-CN"/>
              </w:rPr>
            </w:pPr>
            <w:r>
              <w:rPr>
                <w:rFonts w:hint="eastAsia" w:ascii="仿宋" w:hAnsi="仿宋" w:eastAsia="仿宋" w:cs="仿宋"/>
                <w:strike/>
                <w:szCs w:val="21"/>
              </w:rPr>
              <w:t>2</w:t>
            </w:r>
            <w:r>
              <w:rPr>
                <w:rFonts w:hint="eastAsia" w:ascii="仿宋" w:hAnsi="仿宋" w:eastAsia="仿宋" w:cs="仿宋"/>
                <w:strike/>
                <w:szCs w:val="21"/>
                <w:lang w:val="en-US" w:eastAsia="zh-CN"/>
              </w:rPr>
              <w:t>6</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u w:val="single"/>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计算评标参考价的等分点值</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计算评标参考价的等分点值X从[0,100] 的整数中随机抽取。</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trike/>
                <w:szCs w:val="21"/>
              </w:rPr>
              <w:t>2</w:t>
            </w:r>
            <w:r>
              <w:rPr>
                <w:rFonts w:hint="eastAsia" w:ascii="仿宋" w:hAnsi="仿宋" w:eastAsia="仿宋" w:cs="仿宋"/>
                <w:strike/>
                <w:szCs w:val="21"/>
                <w:lang w:val="en-US" w:eastAsia="zh-CN"/>
              </w:rPr>
              <w:t>7</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进入第二阶段评审的家数</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①通过技术有效性审查的投标人均进入第二阶段（适用于通过技术有效性审查家数在[3,  ]中的）。</w:t>
            </w:r>
          </w:p>
          <w:p>
            <w:pPr>
              <w:rPr>
                <w:rFonts w:hint="eastAsia" w:ascii="仿宋" w:hAnsi="仿宋" w:eastAsia="仿宋" w:cs="仿宋"/>
                <w:strike/>
                <w:szCs w:val="21"/>
              </w:rPr>
            </w:pPr>
            <w:r>
              <w:rPr>
                <w:rFonts w:hint="eastAsia" w:ascii="仿宋" w:hAnsi="仿宋" w:eastAsia="仿宋" w:cs="仿宋"/>
                <w:strike/>
                <w:szCs w:val="21"/>
              </w:rPr>
              <w:t>②将第一阶段得分由高至低排序，前   名投标人进入第二阶段评审（适用于通过技术有效性审查家数大于  家的，招标人可根据工程具体情况，确定不少于   家进入第二阶段）。</w:t>
            </w:r>
          </w:p>
          <w:p>
            <w:pPr>
              <w:rPr>
                <w:rFonts w:hint="eastAsia" w:ascii="仿宋" w:hAnsi="仿宋" w:eastAsia="仿宋" w:cs="仿宋"/>
                <w:strike/>
                <w:szCs w:val="21"/>
              </w:rPr>
            </w:pPr>
            <w:r>
              <w:rPr>
                <w:rFonts w:hint="eastAsia" w:ascii="仿宋" w:hAnsi="仿宋" w:eastAsia="仿宋" w:cs="仿宋"/>
                <w:strike/>
                <w:szCs w:val="21"/>
              </w:rPr>
              <w:t>注：本款适用于选择评标办法一至评标办法六。进入第二阶段的投标人家数应符合行政监管部门的要求。</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trike/>
                <w:szCs w:val="21"/>
                <w:lang w:val="en-US" w:eastAsia="zh-CN"/>
              </w:rPr>
            </w:pPr>
            <w:r>
              <w:rPr>
                <w:rFonts w:hint="eastAsia" w:ascii="仿宋" w:hAnsi="仿宋" w:eastAsia="仿宋" w:cs="仿宋"/>
                <w:szCs w:val="21"/>
              </w:rPr>
              <w:t>2</w:t>
            </w:r>
            <w:r>
              <w:rPr>
                <w:rFonts w:hint="eastAsia" w:ascii="仿宋" w:hAnsi="仿宋" w:eastAsia="仿宋" w:cs="仿宋"/>
                <w:szCs w:val="21"/>
                <w:lang w:val="en-US" w:eastAsia="zh-CN"/>
              </w:rPr>
              <w:t>8</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工程成本警戒价</w:t>
            </w:r>
          </w:p>
        </w:tc>
        <w:tc>
          <w:tcPr>
            <w:tcW w:w="5857" w:type="dxa"/>
            <w:tcBorders>
              <w:top w:val="single" w:color="auto" w:sz="4" w:space="0"/>
              <w:left w:val="single" w:color="auto" w:sz="4" w:space="0"/>
              <w:bottom w:val="single" w:color="auto" w:sz="4" w:space="0"/>
              <w:right w:val="double" w:color="auto" w:sz="4" w:space="0"/>
            </w:tcBorders>
            <w:vAlign w:val="center"/>
          </w:tcPr>
          <w:p>
            <w:pPr>
              <w:numPr>
                <w:ilvl w:val="0"/>
                <w:numId w:val="1"/>
              </w:numPr>
              <w:rPr>
                <w:rFonts w:hint="eastAsia" w:ascii="仿宋" w:hAnsi="仿宋" w:eastAsia="仿宋" w:cs="仿宋"/>
                <w:b/>
                <w:bCs/>
                <w:szCs w:val="21"/>
                <w:u w:val="single"/>
              </w:rPr>
            </w:pPr>
            <w:r>
              <w:rPr>
                <w:rFonts w:hint="eastAsia" w:ascii="仿宋" w:hAnsi="仿宋" w:eastAsia="仿宋" w:cs="仿宋"/>
                <w:b/>
                <w:bCs/>
                <w:szCs w:val="21"/>
                <w:u w:val="single"/>
              </w:rPr>
              <w:t>投标报价工程成本警戒价为</w:t>
            </w:r>
            <w:r>
              <w:rPr>
                <w:rFonts w:hint="eastAsia" w:ascii="仿宋" w:hAnsi="仿宋" w:eastAsia="仿宋" w:cs="仿宋"/>
                <w:b/>
                <w:bCs/>
                <w:szCs w:val="21"/>
                <w:u w:val="single"/>
                <w:lang w:val="en-US" w:eastAsia="zh-CN"/>
              </w:rPr>
              <w:t>/</w:t>
            </w:r>
            <w:r>
              <w:rPr>
                <w:rFonts w:hint="eastAsia" w:ascii="仿宋" w:hAnsi="仿宋" w:eastAsia="仿宋" w:cs="仿宋"/>
                <w:b/>
                <w:bCs/>
                <w:szCs w:val="21"/>
                <w:u w:val="single"/>
              </w:rPr>
              <w:t>元【含非竞争费用（含税），该工程成本警戒价=（最高投标限价-非竞争费用（含税））×90%+非竞争费用（含税）】。</w:t>
            </w:r>
          </w:p>
          <w:p>
            <w:pPr>
              <w:rPr>
                <w:rFonts w:hint="eastAsia" w:ascii="仿宋" w:hAnsi="仿宋" w:eastAsia="仿宋" w:cs="仿宋"/>
                <w:szCs w:val="21"/>
              </w:rPr>
            </w:pPr>
            <w:r>
              <w:rPr>
                <w:rFonts w:hint="eastAsia" w:ascii="仿宋" w:hAnsi="仿宋" w:eastAsia="仿宋" w:cs="仿宋"/>
                <w:szCs w:val="21"/>
              </w:rPr>
              <w:t>对低于上述规定的工程成本警戒价的投标报价，投标人必须提供详细的施工组织设计、单价、措施性费用、单价分析表、主要材料价格表、投标人成本分析供评标委员会评审，由评标委员会判定其是否低于企业自身成本。在评标过程中，评标委员会发现投标人的报价明显低于其他投标报价或者低于成本警戒价，使得其投标报价可能低于其个别成本的，应当要求该投标人作出书面说明并提供相关证明材料。投标人不能合理说明或者不能提供相关证明材料的，由评标委员会认定该投标人以低于成本报价竞标，应当否决其投标。</w:t>
            </w:r>
          </w:p>
          <w:p>
            <w:pPr>
              <w:rPr>
                <w:rFonts w:hint="eastAsia" w:ascii="仿宋" w:hAnsi="仿宋" w:eastAsia="仿宋" w:cs="仿宋"/>
                <w:szCs w:val="21"/>
              </w:rPr>
            </w:pPr>
            <w:r>
              <w:rPr>
                <w:rFonts w:hint="eastAsia" w:ascii="仿宋" w:hAnsi="仿宋" w:eastAsia="仿宋" w:cs="仿宋"/>
                <w:szCs w:val="21"/>
              </w:rPr>
              <w:t>注：为充分体现招标人意愿及落实项目招标人负责制，警戒价由招标人决定。</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default" w:ascii="仿宋" w:hAnsi="仿宋" w:eastAsia="仿宋" w:cs="仿宋"/>
                <w:szCs w:val="21"/>
                <w:lang w:val="en-US" w:eastAsia="zh-CN"/>
              </w:rPr>
            </w:pPr>
            <w:r>
              <w:rPr>
                <w:rFonts w:hint="eastAsia" w:ascii="仿宋" w:hAnsi="仿宋" w:eastAsia="仿宋" w:cs="仿宋"/>
                <w:strike/>
                <w:dstrike w:val="0"/>
                <w:szCs w:val="21"/>
                <w:lang w:val="en-US" w:eastAsia="zh-CN"/>
              </w:rPr>
              <w:t>29</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第一阶段各分值的权重</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第一阶段各分值的权重：技术分权重为%，综合诚信评价分数权重为%。</w:t>
            </w:r>
          </w:p>
          <w:p>
            <w:pPr>
              <w:rPr>
                <w:rFonts w:hint="eastAsia" w:ascii="仿宋" w:hAnsi="仿宋" w:eastAsia="仿宋" w:cs="仿宋"/>
                <w:szCs w:val="21"/>
              </w:rPr>
            </w:pPr>
            <w:r>
              <w:rPr>
                <w:rFonts w:hint="eastAsia" w:ascii="仿宋" w:hAnsi="仿宋" w:eastAsia="仿宋" w:cs="仿宋"/>
                <w:strike/>
                <w:szCs w:val="21"/>
              </w:rPr>
              <w:t>注：综合诚信评价得分权重按</w:t>
            </w:r>
            <w:r>
              <w:rPr>
                <w:rFonts w:hint="eastAsia" w:ascii="仿宋" w:hAnsi="仿宋" w:eastAsia="仿宋" w:cs="仿宋"/>
                <w:b/>
                <w:strike/>
                <w:szCs w:val="21"/>
              </w:rPr>
              <w:t>《关于诚信综合评价在招标投标环节中应用的指引》（招标投标指引2020年第6期）</w:t>
            </w:r>
            <w:r>
              <w:rPr>
                <w:rFonts w:hint="eastAsia" w:ascii="仿宋" w:hAnsi="仿宋" w:eastAsia="仿宋" w:cs="仿宋"/>
                <w:strike/>
                <w:szCs w:val="21"/>
              </w:rPr>
              <w:t>规定执行，招标人可在[0,20%]选择。技术分权重=100%-综合诚信评价得分权重</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zCs w:val="21"/>
              </w:rPr>
              <w:t>3</w:t>
            </w:r>
            <w:r>
              <w:rPr>
                <w:rFonts w:hint="eastAsia" w:ascii="仿宋" w:hAnsi="仿宋" w:eastAsia="仿宋" w:cs="仿宋"/>
                <w:szCs w:val="21"/>
                <w:lang w:val="en-US" w:eastAsia="zh-CN"/>
              </w:rPr>
              <w:t>0</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进入定标阶段的合格中标候选人</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通过技术标和经济标有效性审查的投标人均进入定标阶段。</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jc w:val="center"/>
        </w:trPr>
        <w:tc>
          <w:tcPr>
            <w:tcW w:w="702" w:type="dxa"/>
            <w:vMerge w:val="restart"/>
            <w:tcBorders>
              <w:top w:val="single" w:color="auto" w:sz="4" w:space="0"/>
              <w:left w:val="doub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zCs w:val="21"/>
              </w:rPr>
              <w:t>3</w:t>
            </w:r>
            <w:r>
              <w:rPr>
                <w:rFonts w:hint="eastAsia" w:ascii="仿宋" w:hAnsi="仿宋" w:eastAsia="仿宋" w:cs="仿宋"/>
                <w:szCs w:val="21"/>
                <w:lang w:val="en-US" w:eastAsia="zh-CN"/>
              </w:rPr>
              <w:t>1</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评标委员会人数</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szCs w:val="21"/>
              </w:rPr>
              <w:t>评标委员会由招标人依法组建。</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vMerge w:val="continue"/>
            <w:tcBorders>
              <w:left w:val="double" w:color="auto" w:sz="4" w:space="0"/>
              <w:bottom w:val="single" w:color="auto" w:sz="4" w:space="0"/>
              <w:right w:val="single" w:color="auto" w:sz="4" w:space="0"/>
            </w:tcBorders>
            <w:vAlign w:val="center"/>
          </w:tcPr>
          <w:p>
            <w:pPr>
              <w:rPr>
                <w:rFonts w:hint="eastAsia" w:ascii="仿宋" w:hAnsi="仿宋" w:eastAsia="仿宋" w:cs="仿宋"/>
                <w:strike/>
                <w:szCs w:val="21"/>
              </w:rPr>
            </w:pP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定标委员会人数</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u w:val="single"/>
              </w:rPr>
            </w:pPr>
            <w:r>
              <w:rPr>
                <w:rFonts w:hint="eastAsia" w:ascii="仿宋" w:hAnsi="仿宋" w:eastAsia="仿宋" w:cs="仿宋"/>
                <w:szCs w:val="21"/>
                <w:u w:val="single"/>
              </w:rPr>
              <w:t>定标委员会由招标人根据相关规定组建。</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trike/>
                <w:szCs w:val="21"/>
                <w:lang w:val="en-US" w:eastAsia="zh-CN"/>
              </w:rPr>
            </w:pPr>
            <w:r>
              <w:rPr>
                <w:rFonts w:hint="eastAsia" w:ascii="仿宋" w:hAnsi="仿宋" w:eastAsia="仿宋" w:cs="仿宋"/>
                <w:strike/>
                <w:szCs w:val="21"/>
              </w:rPr>
              <w:t>3</w:t>
            </w:r>
            <w:r>
              <w:rPr>
                <w:rFonts w:hint="eastAsia" w:ascii="仿宋" w:hAnsi="仿宋" w:eastAsia="仿宋" w:cs="仿宋"/>
                <w:strike/>
                <w:szCs w:val="21"/>
                <w:lang w:val="en-US" w:eastAsia="zh-CN"/>
              </w:rPr>
              <w:t>2</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企业综合诚信评价分数</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本项目的企业综合诚信评价分数，以排名为准。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trike/>
                <w:szCs w:val="21"/>
                <w:lang w:val="en-US" w:eastAsia="zh-CN"/>
              </w:rPr>
            </w:pPr>
            <w:r>
              <w:rPr>
                <w:rFonts w:hint="eastAsia" w:ascii="仿宋" w:hAnsi="仿宋" w:eastAsia="仿宋" w:cs="仿宋"/>
                <w:strike/>
                <w:szCs w:val="21"/>
              </w:rPr>
              <w:t>3</w:t>
            </w:r>
            <w:r>
              <w:rPr>
                <w:rFonts w:hint="eastAsia" w:ascii="仿宋" w:hAnsi="仿宋" w:eastAsia="仿宋" w:cs="仿宋"/>
                <w:strike/>
                <w:szCs w:val="21"/>
                <w:lang w:val="en-US" w:eastAsia="zh-CN"/>
              </w:rPr>
              <w:t>3</w:t>
            </w:r>
          </w:p>
        </w:tc>
        <w:tc>
          <w:tcPr>
            <w:tcW w:w="981" w:type="dxa"/>
            <w:tcBorders>
              <w:top w:val="single" w:color="auto" w:sz="4" w:space="0"/>
              <w:left w:val="single" w:color="auto" w:sz="4" w:space="0"/>
              <w:bottom w:val="single" w:color="auto" w:sz="4" w:space="0"/>
              <w:right w:val="single" w:color="auto" w:sz="4" w:space="0"/>
            </w:tcBorders>
            <w:vAlign w:val="center"/>
          </w:tcPr>
          <w:p>
            <w:pPr>
              <w:ind w:firstLine="458"/>
              <w:rPr>
                <w:rFonts w:hint="eastAsia" w:ascii="仿宋" w:hAnsi="仿宋" w:eastAsia="仿宋" w:cs="仿宋"/>
                <w:strike/>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ind w:firstLine="458"/>
              <w:rPr>
                <w:rFonts w:hint="eastAsia" w:ascii="仿宋" w:hAnsi="仿宋" w:eastAsia="仿宋" w:cs="仿宋"/>
                <w:strike/>
                <w:szCs w:val="21"/>
              </w:rPr>
            </w:pPr>
            <w:r>
              <w:rPr>
                <w:rFonts w:hint="eastAsia" w:ascii="仿宋" w:hAnsi="仿宋" w:eastAsia="仿宋" w:cs="仿宋"/>
                <w:strike/>
                <w:szCs w:val="21"/>
              </w:rPr>
              <w:t>第二阶段投标人名次的排序方法（适用于办法一、办法二）</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 xml:space="preserve">选取方法     </w:t>
            </w:r>
          </w:p>
          <w:p>
            <w:pPr>
              <w:rPr>
                <w:rFonts w:hint="eastAsia" w:ascii="仿宋" w:hAnsi="仿宋" w:eastAsia="仿宋" w:cs="仿宋"/>
                <w:strike/>
                <w:szCs w:val="21"/>
              </w:rPr>
            </w:pPr>
            <w:r>
              <w:rPr>
                <w:rFonts w:hint="eastAsia" w:ascii="仿宋" w:hAnsi="仿宋" w:eastAsia="仿宋" w:cs="仿宋"/>
                <w:strike/>
                <w:szCs w:val="21"/>
              </w:rPr>
              <w:t xml:space="preserve">方法一：将进入第二阶段投标人的投标报价由低至高进行排序。报价相同的投标文件，以技术分较高的排前；报价与技术得分均相同的投标文件，以综合诚信评价分数高的排前；如仍存在相同情况，则对具有相同情况的投标人，由评标委员会采用随机方式，确定投标人的排序。 </w:t>
            </w:r>
          </w:p>
          <w:p>
            <w:pPr>
              <w:rPr>
                <w:rFonts w:hint="eastAsia" w:ascii="仿宋" w:hAnsi="仿宋" w:eastAsia="仿宋" w:cs="仿宋"/>
                <w:strike/>
                <w:szCs w:val="21"/>
              </w:rPr>
            </w:pPr>
            <w:r>
              <w:rPr>
                <w:rFonts w:hint="eastAsia" w:ascii="仿宋" w:hAnsi="仿宋" w:eastAsia="仿宋" w:cs="仿宋"/>
                <w:strike/>
                <w:szCs w:val="21"/>
              </w:rPr>
              <w:t>方法二：将进入第二阶段投标人的投标报价按大于或小于等于工程成本警戒价的标准分为2组。首先，对于小于或等于工程成本警戒价的，评标委员会从序号1开始随机确定投标人的排序，若仅有1名投标报价小于等于工程成本警戒价的，该投标人为第1名；其次，对于大于工程成本警戒价的投标报价由低至高进行排序，序号接上一组。</w:t>
            </w:r>
          </w:p>
          <w:p>
            <w:pPr>
              <w:rPr>
                <w:rFonts w:hint="eastAsia" w:ascii="仿宋" w:hAnsi="仿宋" w:eastAsia="仿宋" w:cs="仿宋"/>
                <w:strike/>
                <w:szCs w:val="21"/>
              </w:rPr>
            </w:pPr>
            <w:r>
              <w:rPr>
                <w:rFonts w:hint="eastAsia" w:ascii="仿宋" w:hAnsi="仿宋" w:eastAsia="仿宋" w:cs="仿宋"/>
                <w:strike/>
                <w:szCs w:val="21"/>
              </w:rPr>
              <w:t>方法三： （由招标人自行确定）</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trike/>
                <w:szCs w:val="21"/>
                <w:lang w:val="en-US" w:eastAsia="zh-CN"/>
              </w:rPr>
            </w:pPr>
            <w:r>
              <w:rPr>
                <w:rFonts w:hint="eastAsia" w:ascii="仿宋" w:hAnsi="仿宋" w:eastAsia="仿宋" w:cs="仿宋"/>
                <w:strike/>
                <w:szCs w:val="21"/>
              </w:rPr>
              <w:t>3</w:t>
            </w:r>
            <w:r>
              <w:rPr>
                <w:rFonts w:hint="eastAsia" w:ascii="仿宋" w:hAnsi="仿宋" w:eastAsia="仿宋" w:cs="仿宋"/>
                <w:strike/>
                <w:szCs w:val="21"/>
                <w:lang w:val="en-US" w:eastAsia="zh-CN"/>
              </w:rPr>
              <w:t>4</w:t>
            </w:r>
          </w:p>
        </w:tc>
        <w:tc>
          <w:tcPr>
            <w:tcW w:w="981" w:type="dxa"/>
            <w:tcBorders>
              <w:top w:val="single" w:color="auto" w:sz="4" w:space="0"/>
              <w:left w:val="single" w:color="auto" w:sz="4" w:space="0"/>
              <w:bottom w:val="single" w:color="auto" w:sz="4" w:space="0"/>
              <w:right w:val="single" w:color="auto" w:sz="4" w:space="0"/>
            </w:tcBorders>
            <w:vAlign w:val="center"/>
          </w:tcPr>
          <w:p>
            <w:pPr>
              <w:ind w:firstLine="458"/>
              <w:rPr>
                <w:rFonts w:hint="eastAsia" w:ascii="仿宋" w:hAnsi="仿宋" w:eastAsia="仿宋" w:cs="仿宋"/>
                <w:strike/>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经济分相同情况下的排序方法（适用于办法三、办法四）</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 xml:space="preserve">选取方法     </w:t>
            </w:r>
          </w:p>
          <w:p>
            <w:pPr>
              <w:rPr>
                <w:rFonts w:hint="eastAsia" w:ascii="仿宋" w:hAnsi="仿宋" w:eastAsia="仿宋" w:cs="仿宋"/>
                <w:strike/>
                <w:szCs w:val="21"/>
              </w:rPr>
            </w:pPr>
            <w:r>
              <w:rPr>
                <w:rFonts w:hint="eastAsia" w:ascii="仿宋" w:hAnsi="仿宋" w:eastAsia="仿宋" w:cs="仿宋"/>
                <w:strike/>
                <w:szCs w:val="21"/>
              </w:rPr>
              <w:t>方法一：经济分相同的投标文件，以报价较低的排前；经济分与报价均相同的投标文件，以技术分较高的排前；经济分、报价与技术得分均相同或经济分、报价均相同但未评技术分的投标文件，以综合诚信评价分数高的排前；如仍存在相同情况，则对具有相同情况的投标人，由评标委员会采用随机方式，确定投标人的排序。</w:t>
            </w:r>
          </w:p>
          <w:p>
            <w:pPr>
              <w:rPr>
                <w:rFonts w:hint="eastAsia" w:ascii="仿宋" w:hAnsi="仿宋" w:eastAsia="仿宋" w:cs="仿宋"/>
                <w:strike/>
                <w:szCs w:val="21"/>
              </w:rPr>
            </w:pPr>
            <w:r>
              <w:rPr>
                <w:rFonts w:hint="eastAsia" w:ascii="仿宋" w:hAnsi="仿宋" w:eastAsia="仿宋" w:cs="仿宋"/>
                <w:strike/>
                <w:szCs w:val="21"/>
              </w:rPr>
              <w:t>方法二：经济分相同的投标文件，由评标委员会采用随机方式，确定投标人的排序。</w:t>
            </w:r>
          </w:p>
          <w:p>
            <w:pPr>
              <w:rPr>
                <w:rFonts w:hint="eastAsia" w:ascii="仿宋" w:hAnsi="仿宋" w:eastAsia="仿宋" w:cs="仿宋"/>
                <w:strike/>
                <w:szCs w:val="21"/>
              </w:rPr>
            </w:pPr>
            <w:r>
              <w:rPr>
                <w:rFonts w:hint="eastAsia" w:ascii="仿宋" w:hAnsi="仿宋" w:eastAsia="仿宋" w:cs="仿宋"/>
                <w:strike/>
                <w:szCs w:val="21"/>
              </w:rPr>
              <w:t>方法三：  （由招标人自行确定）</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trike/>
                <w:szCs w:val="21"/>
              </w:rPr>
              <w:t>3</w:t>
            </w:r>
            <w:r>
              <w:rPr>
                <w:rFonts w:hint="eastAsia" w:ascii="仿宋" w:hAnsi="仿宋" w:eastAsia="仿宋" w:cs="仿宋"/>
                <w:strike/>
                <w:szCs w:val="21"/>
                <w:lang w:val="en-US" w:eastAsia="zh-CN"/>
              </w:rPr>
              <w:t>5</w:t>
            </w:r>
          </w:p>
        </w:tc>
        <w:tc>
          <w:tcPr>
            <w:tcW w:w="981" w:type="dxa"/>
            <w:tcBorders>
              <w:top w:val="single" w:color="auto" w:sz="4" w:space="0"/>
              <w:left w:val="single" w:color="auto" w:sz="4" w:space="0"/>
              <w:bottom w:val="single" w:color="auto" w:sz="4" w:space="0"/>
              <w:right w:val="single" w:color="auto" w:sz="4" w:space="0"/>
            </w:tcBorders>
            <w:vAlign w:val="center"/>
          </w:tcPr>
          <w:p>
            <w:pPr>
              <w:ind w:firstLine="458"/>
              <w:rPr>
                <w:rFonts w:hint="eastAsia" w:ascii="仿宋" w:hAnsi="仿宋" w:eastAsia="仿宋" w:cs="仿宋"/>
                <w:strike/>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第二阶段投标人名次的排序方法（适用于办法五、办法六）</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trike/>
                <w:szCs w:val="21"/>
              </w:rPr>
            </w:pPr>
            <w:r>
              <w:rPr>
                <w:rFonts w:hint="eastAsia" w:ascii="仿宋" w:hAnsi="仿宋" w:eastAsia="仿宋" w:cs="仿宋"/>
                <w:strike/>
                <w:szCs w:val="21"/>
              </w:rPr>
              <w:t>选取方法</w:t>
            </w:r>
          </w:p>
          <w:p>
            <w:pPr>
              <w:rPr>
                <w:rFonts w:hint="eastAsia" w:ascii="仿宋" w:hAnsi="仿宋" w:eastAsia="仿宋" w:cs="仿宋"/>
                <w:strike/>
                <w:szCs w:val="21"/>
              </w:rPr>
            </w:pPr>
            <w:r>
              <w:rPr>
                <w:rFonts w:hint="eastAsia" w:ascii="仿宋" w:hAnsi="仿宋" w:eastAsia="仿宋" w:cs="仿宋"/>
                <w:strike/>
                <w:szCs w:val="21"/>
              </w:rPr>
              <w:t>方法一：评标委员会按照“总分=的公式，计算各有效投标文件的总分，并按照总分从高到低排序。总得分相同的投标文件，以报价较低的排前；总得分与报价均相同的投标文件，以较高的排前；总得分、报价与均相同的投标文件，以诚信综合评价分数高的排前；如仍存在相同情况，则对具有相同情况的投标人，由评标委员会采用随机方式，确定投标人的排序。</w:t>
            </w:r>
          </w:p>
          <w:p>
            <w:pPr>
              <w:rPr>
                <w:rFonts w:hint="eastAsia" w:ascii="仿宋" w:hAnsi="仿宋" w:eastAsia="仿宋" w:cs="仿宋"/>
                <w:strike/>
                <w:szCs w:val="21"/>
              </w:rPr>
            </w:pPr>
            <w:r>
              <w:rPr>
                <w:rFonts w:hint="eastAsia" w:ascii="仿宋" w:hAnsi="仿宋" w:eastAsia="仿宋" w:cs="仿宋"/>
                <w:strike/>
                <w:szCs w:val="21"/>
              </w:rPr>
              <w:t>方法二：  （由招标人自行确定）</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800"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zCs w:val="21"/>
              </w:rPr>
              <w:t>3</w:t>
            </w:r>
            <w:r>
              <w:rPr>
                <w:rFonts w:hint="eastAsia" w:ascii="仿宋" w:hAnsi="仿宋" w:eastAsia="仿宋" w:cs="仿宋"/>
                <w:szCs w:val="21"/>
                <w:lang w:val="en-US" w:eastAsia="zh-CN"/>
              </w:rPr>
              <w:t>6</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szCs w:val="21"/>
              </w:rPr>
              <w:t>合同价款的调整办法</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u w:val="single"/>
              </w:rPr>
            </w:pPr>
            <w:r>
              <w:rPr>
                <w:rFonts w:hint="eastAsia" w:ascii="仿宋" w:hAnsi="仿宋" w:eastAsia="仿宋" w:cs="仿宋"/>
                <w:bCs/>
                <w:szCs w:val="21"/>
                <w:u w:val="single"/>
              </w:rPr>
              <w:t>按合同条款相关约定调整。</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zCs w:val="21"/>
              </w:rPr>
              <w:t>3</w:t>
            </w:r>
            <w:r>
              <w:rPr>
                <w:rFonts w:hint="eastAsia" w:ascii="仿宋" w:hAnsi="仿宋" w:eastAsia="仿宋" w:cs="仿宋"/>
                <w:szCs w:val="21"/>
                <w:lang w:val="en-US" w:eastAsia="zh-CN"/>
              </w:rPr>
              <w:t>7</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r>
              <w:rPr>
                <w:rFonts w:hint="eastAsia" w:ascii="仿宋" w:hAnsi="仿宋" w:eastAsia="仿宋" w:cs="仿宋"/>
                <w:kern w:val="0"/>
                <w:szCs w:val="21"/>
                <w:lang w:val="zh-CN"/>
              </w:rPr>
              <w:t>建设工程质量检测管理办法</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kern w:val="0"/>
                <w:szCs w:val="21"/>
                <w:lang w:val="zh-CN"/>
              </w:rPr>
            </w:pPr>
            <w:r>
              <w:rPr>
                <w:rFonts w:hint="eastAsia" w:ascii="仿宋" w:hAnsi="仿宋" w:eastAsia="仿宋" w:cs="仿宋"/>
                <w:szCs w:val="21"/>
                <w:lang w:val="zh-CN"/>
              </w:rPr>
              <w:t>根据《建设工程质量检测管理办法》（建设部令第141号）第十二条规定，建设工程质量、安全检测业务应由建设单位依法委托，不列入本次招标范围。招标文件中与此条不一致的，以此条为准。建设单位和中标人均不得委托近二年（从招标公告发布年度起逆推2年的1月1日起至投标截止时间止）因伪造检测数据、出具虚假检测报告被各级建设行政主管部门或市场监督管理部门行政处罚或通报的检测单位负责本项目的检测工作。</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zCs w:val="21"/>
              </w:rPr>
              <w:t>3</w:t>
            </w:r>
            <w:r>
              <w:rPr>
                <w:rFonts w:hint="eastAsia" w:ascii="仿宋" w:hAnsi="仿宋" w:eastAsia="仿宋" w:cs="仿宋"/>
                <w:szCs w:val="21"/>
                <w:lang w:val="en-US" w:eastAsia="zh-CN"/>
              </w:rPr>
              <w:t>8</w:t>
            </w:r>
          </w:p>
        </w:tc>
        <w:tc>
          <w:tcPr>
            <w:tcW w:w="981"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kern w:val="0"/>
                <w:szCs w:val="21"/>
                <w:lang w:val="zh-CN"/>
              </w:rPr>
            </w:pPr>
            <w:r>
              <w:rPr>
                <w:rFonts w:hint="eastAsia" w:ascii="仿宋" w:hAnsi="仿宋" w:eastAsia="仿宋" w:cs="仿宋"/>
                <w:kern w:val="0"/>
                <w:szCs w:val="21"/>
                <w:lang w:val="zh-CN"/>
              </w:rPr>
              <w:t>分包</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szCs w:val="21"/>
              </w:rPr>
              <w:t>□不允许；</w:t>
            </w:r>
          </w:p>
          <w:p>
            <w:pPr>
              <w:rPr>
                <w:rFonts w:hint="eastAsia" w:ascii="仿宋" w:hAnsi="仿宋" w:eastAsia="仿宋" w:cs="仿宋"/>
                <w:szCs w:val="21"/>
              </w:rPr>
            </w:pPr>
            <w:r>
              <w:rPr>
                <w:rFonts w:hint="eastAsia" w:ascii="仿宋" w:hAnsi="仿宋" w:eastAsia="仿宋" w:cs="仿宋"/>
                <w:szCs w:val="21"/>
                <w:lang w:eastAsia="zh-CN"/>
              </w:rPr>
              <w:t>□</w:t>
            </w:r>
            <w:r>
              <w:rPr>
                <w:rFonts w:hint="eastAsia" w:ascii="仿宋" w:hAnsi="仿宋" w:eastAsia="仿宋" w:cs="仿宋"/>
                <w:szCs w:val="21"/>
              </w:rPr>
              <w:t>允许，分包内容要求：对于非主体、非关键性工程，投标人不具备相应资质的，需经招标人审核批准后分包给具有相应资质和能力的专业单位实施。</w:t>
            </w:r>
          </w:p>
          <w:p>
            <w:pPr>
              <w:rPr>
                <w:rFonts w:hint="eastAsia" w:ascii="仿宋" w:hAnsi="仿宋" w:eastAsia="仿宋" w:cs="仿宋"/>
                <w:szCs w:val="21"/>
              </w:rPr>
            </w:pPr>
            <w:r>
              <w:rPr>
                <w:rFonts w:hint="eastAsia" w:ascii="仿宋" w:hAnsi="仿宋" w:eastAsia="仿宋" w:cs="仿宋"/>
                <w:szCs w:val="21"/>
              </w:rPr>
              <w:t>分包金额要求：按国家现行规定执行。</w:t>
            </w:r>
          </w:p>
          <w:p>
            <w:pPr>
              <w:rPr>
                <w:rFonts w:hint="eastAsia" w:ascii="仿宋" w:hAnsi="仿宋" w:eastAsia="仿宋" w:cs="仿宋"/>
                <w:kern w:val="0"/>
                <w:szCs w:val="21"/>
                <w:lang w:val="zh-CN"/>
              </w:rPr>
            </w:pPr>
            <w:r>
              <w:rPr>
                <w:rFonts w:hint="eastAsia" w:ascii="仿宋" w:hAnsi="仿宋" w:eastAsia="仿宋" w:cs="仿宋"/>
                <w:szCs w:val="21"/>
              </w:rPr>
              <w:t>对分包人的资格要求：按国家资质管理规定执行。</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default" w:ascii="仿宋" w:hAnsi="仿宋" w:eastAsia="仿宋" w:cs="仿宋"/>
                <w:szCs w:val="21"/>
                <w:lang w:val="en-US" w:eastAsia="zh-CN"/>
              </w:rPr>
            </w:pPr>
            <w:r>
              <w:rPr>
                <w:rFonts w:hint="eastAsia" w:ascii="仿宋" w:hAnsi="仿宋" w:eastAsia="仿宋" w:cs="仿宋"/>
                <w:szCs w:val="21"/>
                <w:lang w:val="en-US" w:eastAsia="zh-CN"/>
              </w:rPr>
              <w:t>39</w:t>
            </w:r>
          </w:p>
        </w:tc>
        <w:tc>
          <w:tcPr>
            <w:tcW w:w="981"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 w:hAnsi="仿宋" w:eastAsia="仿宋" w:cs="仿宋"/>
                <w:szCs w:val="21"/>
                <w:u w:val="single"/>
              </w:rPr>
            </w:pPr>
          </w:p>
        </w:tc>
        <w:tc>
          <w:tcPr>
            <w:tcW w:w="1810"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 w:hAnsi="仿宋" w:eastAsia="仿宋" w:cs="仿宋"/>
                <w:szCs w:val="21"/>
              </w:rPr>
            </w:pPr>
            <w:r>
              <w:rPr>
                <w:rFonts w:hint="eastAsia" w:ascii="仿宋" w:hAnsi="仿宋" w:eastAsia="仿宋" w:cs="仿宋"/>
                <w:szCs w:val="21"/>
              </w:rPr>
              <w:t>电子招标投标解密失败及突发情况的补救</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szCs w:val="21"/>
              </w:rPr>
            </w:pPr>
            <w:r>
              <w:rPr>
                <w:rFonts w:hint="eastAsia" w:ascii="仿宋" w:hAnsi="仿宋" w:eastAsia="仿宋" w:cs="仿宋"/>
                <w:szCs w:val="21"/>
              </w:rPr>
              <w:t>1、按照交易平台关于全流程电子化项目的相关指南进行操作。详见：</w:t>
            </w:r>
            <w:r>
              <w:rPr>
                <w:rFonts w:hint="eastAsia" w:ascii="仿宋" w:hAnsi="仿宋" w:eastAsia="仿宋" w:cs="仿宋"/>
                <w:bCs/>
                <w:kern w:val="0"/>
                <w:szCs w:val="21"/>
                <w:u w:val="single"/>
              </w:rPr>
              <w:t>广州公共资源交易中心网站</w:t>
            </w:r>
            <w:r>
              <w:rPr>
                <w:rFonts w:hint="eastAsia" w:ascii="仿宋" w:hAnsi="仿宋" w:eastAsia="仿宋" w:cs="仿宋"/>
                <w:szCs w:val="21"/>
              </w:rPr>
              <w:t xml:space="preserve">。  </w:t>
            </w:r>
          </w:p>
          <w:p>
            <w:pPr>
              <w:rPr>
                <w:rFonts w:hint="eastAsia" w:ascii="仿宋" w:hAnsi="仿宋" w:eastAsia="仿宋" w:cs="仿宋"/>
                <w:szCs w:val="21"/>
              </w:rPr>
            </w:pPr>
            <w:r>
              <w:rPr>
                <w:rFonts w:hint="eastAsia" w:ascii="仿宋" w:hAnsi="仿宋" w:eastAsia="仿宋" w:cs="仿宋"/>
                <w:szCs w:val="21"/>
              </w:rPr>
              <w:t>2、提交投标文件U盘备用</w:t>
            </w:r>
          </w:p>
          <w:p>
            <w:pPr>
              <w:rPr>
                <w:rFonts w:hint="eastAsia" w:ascii="仿宋" w:hAnsi="仿宋" w:eastAsia="仿宋" w:cs="仿宋"/>
                <w:b/>
                <w:szCs w:val="21"/>
                <w:u w:val="single"/>
              </w:rPr>
            </w:pPr>
            <w:r>
              <w:rPr>
                <w:rFonts w:hint="eastAsia" w:ascii="仿宋" w:hAnsi="仿宋" w:eastAsia="仿宋" w:cs="仿宋"/>
                <w:szCs w:val="21"/>
              </w:rPr>
              <w:t>投标人可制作非加密的电子投标文件（PDF格式）存入U盘（1份），在投标须知前附表第18项规定的时间、地点提交备用。投标文件U盘密封在密封袋中，并在封口处加盖投标人单位公章。密封袋上应写明项目名称和招标人名称。递交的U盘不得加密。U盘无法读取或导入的，则视为未提交备用投标文件U盘。如果投标人没有按规定通过交易平台网上递交电子投标文件的，不再读取提交的U盘。投标人也可不提交备用U盘。</w:t>
            </w:r>
          </w:p>
          <w:p>
            <w:pPr>
              <w:rPr>
                <w:rFonts w:hint="eastAsia" w:ascii="仿宋" w:hAnsi="仿宋" w:eastAsia="仿宋" w:cs="仿宋"/>
                <w:szCs w:val="21"/>
              </w:rPr>
            </w:pPr>
            <w:r>
              <w:rPr>
                <w:rFonts w:hint="eastAsia" w:ascii="仿宋" w:hAnsi="仿宋" w:eastAsia="仿宋" w:cs="仿宋"/>
                <w:szCs w:val="21"/>
              </w:rPr>
              <w:t xml:space="preserve"> 3、补救方案</w:t>
            </w:r>
          </w:p>
          <w:p>
            <w:pPr>
              <w:rPr>
                <w:rFonts w:hint="eastAsia" w:ascii="仿宋" w:hAnsi="仿宋" w:eastAsia="仿宋" w:cs="仿宋"/>
                <w:szCs w:val="21"/>
              </w:rPr>
            </w:pPr>
            <w:r>
              <w:rPr>
                <w:rFonts w:hint="eastAsia" w:ascii="仿宋" w:hAnsi="仿宋" w:eastAsia="仿宋" w:cs="仿宋"/>
                <w:szCs w:val="21"/>
              </w:rPr>
              <w:t>（1）投标文件解密失败的补救方案：</w:t>
            </w:r>
          </w:p>
          <w:p>
            <w:pPr>
              <w:rPr>
                <w:rFonts w:hint="eastAsia" w:ascii="仿宋" w:hAnsi="仿宋" w:eastAsia="仿宋" w:cs="仿宋"/>
                <w:szCs w:val="21"/>
              </w:rPr>
            </w:pPr>
            <w:r>
              <w:rPr>
                <w:rFonts w:hint="eastAsia" w:ascii="仿宋" w:hAnsi="仿宋" w:eastAsia="仿宋" w:cs="仿宋"/>
                <w:szCs w:val="21"/>
              </w:rPr>
              <w:t>在规定时间内，因投标人之外原因(指网络瘫痪、服务器损坏、交易系统故障短期无法恢复)导致的电子投标文件解密失败，在开标现场读取U盘内容，继续开标程序。评标委员会对其投标文件的评审以U盘内容为准。因投标人之外原因解密失败且未递交电子U盘的，视为撤回投标文件。</w:t>
            </w:r>
          </w:p>
          <w:p>
            <w:pPr>
              <w:rPr>
                <w:rFonts w:hint="eastAsia" w:ascii="仿宋" w:hAnsi="仿宋" w:eastAsia="仿宋" w:cs="仿宋"/>
                <w:szCs w:val="21"/>
              </w:rPr>
            </w:pPr>
            <w:r>
              <w:rPr>
                <w:rFonts w:hint="eastAsia" w:ascii="仿宋" w:hAnsi="仿宋" w:eastAsia="仿宋" w:cs="仿宋"/>
                <w:szCs w:val="21"/>
              </w:rPr>
              <w:t>（2）评标时突发情况的补救方案</w:t>
            </w:r>
          </w:p>
          <w:p>
            <w:pPr>
              <w:rPr>
                <w:rFonts w:hint="eastAsia" w:ascii="仿宋" w:hAnsi="仿宋" w:eastAsia="仿宋" w:cs="仿宋"/>
                <w:szCs w:val="21"/>
              </w:rPr>
            </w:pPr>
            <w:r>
              <w:rPr>
                <w:rFonts w:hint="eastAsia" w:ascii="仿宋" w:hAnsi="仿宋" w:eastAsia="仿宋" w:cs="仿宋"/>
                <w:szCs w:val="21"/>
              </w:rPr>
              <w:t>若遇不可抗力发生（指网络瘫痪、服务器损坏、交易系统故障短期无法恢复等因素），由评标委员会开启投标人递交的全部投标文件U盘，并按U盘内容进行评审。</w:t>
            </w:r>
          </w:p>
          <w:p>
            <w:pPr>
              <w:rPr>
                <w:rFonts w:hint="eastAsia" w:ascii="仿宋" w:hAnsi="仿宋" w:eastAsia="仿宋" w:cs="仿宋"/>
                <w:szCs w:val="21"/>
              </w:rPr>
            </w:pPr>
            <w:r>
              <w:rPr>
                <w:rFonts w:hint="eastAsia" w:ascii="仿宋" w:hAnsi="仿宋" w:eastAsia="仿宋" w:cs="仿宋"/>
                <w:szCs w:val="21"/>
              </w:rPr>
              <w:t>（3）除发生上述情况外，开标、评标均以投标人通过交易平台网上递交的电子投标文件为准。</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trHeight w:val="915" w:hRule="atLeast"/>
          <w:jc w:val="center"/>
        </w:trPr>
        <w:tc>
          <w:tcPr>
            <w:tcW w:w="702" w:type="dxa"/>
            <w:tcBorders>
              <w:top w:val="single" w:color="auto" w:sz="4" w:space="0"/>
              <w:left w:val="double" w:color="auto" w:sz="4" w:space="0"/>
              <w:bottom w:val="single" w:color="auto" w:sz="4" w:space="0"/>
              <w:right w:val="single" w:color="auto" w:sz="4" w:space="0"/>
            </w:tcBorders>
            <w:vAlign w:val="center"/>
          </w:tcPr>
          <w:p>
            <w:pPr>
              <w:rPr>
                <w:rFonts w:hint="eastAsia" w:ascii="仿宋" w:hAnsi="仿宋" w:eastAsia="仿宋" w:cs="仿宋"/>
                <w:szCs w:val="21"/>
                <w:lang w:val="en-US" w:eastAsia="zh-CN"/>
              </w:rPr>
            </w:pPr>
            <w:r>
              <w:rPr>
                <w:rFonts w:hint="eastAsia" w:ascii="仿宋" w:hAnsi="仿宋" w:eastAsia="仿宋" w:cs="仿宋"/>
                <w:szCs w:val="21"/>
              </w:rPr>
              <w:t>4</w:t>
            </w:r>
            <w:r>
              <w:rPr>
                <w:rFonts w:hint="eastAsia" w:ascii="仿宋" w:hAnsi="仿宋" w:eastAsia="仿宋" w:cs="仿宋"/>
                <w:szCs w:val="21"/>
                <w:lang w:val="en-US" w:eastAsia="zh-CN"/>
              </w:rPr>
              <w:t>0</w:t>
            </w:r>
          </w:p>
        </w:tc>
        <w:tc>
          <w:tcPr>
            <w:tcW w:w="981"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 w:hAnsi="仿宋" w:eastAsia="仿宋" w:cs="仿宋"/>
                <w:szCs w:val="21"/>
              </w:rPr>
            </w:pPr>
          </w:p>
        </w:tc>
        <w:tc>
          <w:tcPr>
            <w:tcW w:w="1810" w:type="dxa"/>
            <w:tcBorders>
              <w:top w:val="single" w:color="auto" w:sz="4" w:space="0"/>
              <w:left w:val="single" w:color="auto" w:sz="4" w:space="0"/>
              <w:bottom w:val="single" w:color="auto" w:sz="4" w:space="0"/>
              <w:right w:val="single" w:color="auto" w:sz="4" w:space="0"/>
            </w:tcBorders>
            <w:vAlign w:val="center"/>
          </w:tcPr>
          <w:p>
            <w:pPr>
              <w:rPr>
                <w:rFonts w:hint="eastAsia" w:ascii="仿宋" w:hAnsi="仿宋" w:eastAsia="仿宋" w:cs="仿宋"/>
                <w:kern w:val="0"/>
                <w:szCs w:val="21"/>
                <w:lang w:val="zh-CN"/>
              </w:rPr>
            </w:pPr>
            <w:r>
              <w:rPr>
                <w:rFonts w:hint="eastAsia" w:ascii="仿宋" w:hAnsi="仿宋" w:eastAsia="仿宋" w:cs="仿宋"/>
                <w:kern w:val="0"/>
                <w:szCs w:val="21"/>
                <w:lang w:val="zh-CN"/>
              </w:rPr>
              <w:t>工人工资分账管理</w:t>
            </w:r>
          </w:p>
        </w:tc>
        <w:tc>
          <w:tcPr>
            <w:tcW w:w="5857" w:type="dxa"/>
            <w:tcBorders>
              <w:top w:val="single" w:color="auto" w:sz="4" w:space="0"/>
              <w:left w:val="single" w:color="auto" w:sz="4" w:space="0"/>
              <w:bottom w:val="single" w:color="auto" w:sz="4" w:space="0"/>
              <w:right w:val="double" w:color="auto" w:sz="4" w:space="0"/>
            </w:tcBorders>
            <w:vAlign w:val="center"/>
          </w:tcPr>
          <w:p>
            <w:pPr>
              <w:rPr>
                <w:rFonts w:hint="eastAsia" w:ascii="仿宋" w:hAnsi="仿宋" w:eastAsia="仿宋" w:cs="仿宋"/>
                <w:kern w:val="0"/>
                <w:szCs w:val="21"/>
                <w:lang w:val="zh-CN"/>
              </w:rPr>
            </w:pPr>
            <w:r>
              <w:rPr>
                <w:rFonts w:hint="eastAsia" w:ascii="仿宋" w:hAnsi="仿宋" w:eastAsia="仿宋" w:cs="仿宋"/>
                <w:bCs/>
                <w:kern w:val="0"/>
                <w:szCs w:val="21"/>
              </w:rPr>
              <w:t>本项目按照《关于印发广州市建设领域工人工资支付分账管理实施细则的通知》（穗建规字〔2020〕37号）实行工人工资分账管理。</w:t>
            </w:r>
          </w:p>
        </w:tc>
      </w:tr>
    </w:tbl>
    <w:p>
      <w:pPr>
        <w:rPr>
          <w:rFonts w:hint="eastAsia"/>
        </w:rPr>
      </w:pPr>
    </w:p>
    <w:p>
      <w:pPr>
        <w:widowControl/>
        <w:snapToGrid w:val="0"/>
        <w:spacing w:line="360" w:lineRule="auto"/>
        <w:ind w:right="102"/>
        <w:jc w:val="left"/>
        <w:outlineLvl w:val="1"/>
        <w:rPr>
          <w:rFonts w:hint="eastAsia" w:asciiTheme="minorEastAsia" w:hAnsiTheme="minorEastAsia" w:eastAsiaTheme="minorEastAsia"/>
          <w:szCs w:val="21"/>
        </w:rPr>
      </w:pPr>
    </w:p>
    <w:p>
      <w:pPr>
        <w:widowControl/>
        <w:snapToGrid w:val="0"/>
        <w:spacing w:line="360" w:lineRule="auto"/>
        <w:ind w:right="102"/>
        <w:jc w:val="left"/>
        <w:outlineLvl w:val="1"/>
        <w:rPr>
          <w:rFonts w:hint="eastAsia" w:asciiTheme="minorEastAsia" w:hAnsiTheme="minorEastAsia" w:eastAsiaTheme="minorEastAsia"/>
          <w:szCs w:val="21"/>
        </w:rPr>
      </w:pPr>
    </w:p>
    <w:p>
      <w:pPr>
        <w:widowControl/>
        <w:snapToGrid w:val="0"/>
        <w:spacing w:line="360" w:lineRule="auto"/>
        <w:ind w:right="102"/>
        <w:jc w:val="left"/>
        <w:outlineLvl w:val="1"/>
        <w:rPr>
          <w:rFonts w:hint="eastAsia" w:asciiTheme="minorEastAsia" w:hAnsiTheme="minorEastAsia" w:eastAsiaTheme="minorEastAsia"/>
          <w:szCs w:val="21"/>
        </w:rPr>
      </w:pPr>
    </w:p>
    <w:p>
      <w:pPr>
        <w:widowControl/>
        <w:snapToGrid w:val="0"/>
        <w:spacing w:line="360" w:lineRule="auto"/>
        <w:ind w:right="102"/>
        <w:jc w:val="left"/>
        <w:outlineLvl w:val="1"/>
        <w:rPr>
          <w:rFonts w:asciiTheme="minorEastAsia" w:hAnsiTheme="minorEastAsia" w:eastAsiaTheme="minorEastAsia"/>
          <w:szCs w:val="21"/>
        </w:rPr>
      </w:pPr>
      <w:r>
        <w:rPr>
          <w:rFonts w:hint="eastAsia" w:asciiTheme="minorEastAsia" w:hAnsiTheme="minorEastAsia" w:eastAsiaTheme="minorEastAsia"/>
          <w:szCs w:val="21"/>
        </w:rPr>
        <w:t>附表一：</w:t>
      </w:r>
    </w:p>
    <w:p>
      <w:pPr>
        <w:jc w:val="center"/>
        <w:outlineLvl w:val="1"/>
        <w:rPr>
          <w:rFonts w:asciiTheme="minorEastAsia" w:hAnsiTheme="minorEastAsia" w:eastAsiaTheme="minorEastAsia"/>
          <w:b/>
          <w:sz w:val="32"/>
          <w:szCs w:val="32"/>
        </w:rPr>
      </w:pPr>
      <w:r>
        <w:rPr>
          <w:rFonts w:hint="eastAsia" w:asciiTheme="minorEastAsia" w:hAnsiTheme="minorEastAsia" w:eastAsiaTheme="minorEastAsia"/>
          <w:b/>
          <w:sz w:val="32"/>
          <w:szCs w:val="32"/>
        </w:rPr>
        <w:t>资格审查表</w:t>
      </w:r>
    </w:p>
    <w:p>
      <w:pPr>
        <w:spacing w:line="480" w:lineRule="auto"/>
        <w:jc w:val="center"/>
        <w:rPr>
          <w:rFonts w:asciiTheme="minorEastAsia" w:hAnsiTheme="minorEastAsia" w:eastAsiaTheme="minorEastAsia"/>
          <w:sz w:val="24"/>
          <w:szCs w:val="24"/>
        </w:rPr>
      </w:pPr>
      <w:r>
        <w:rPr>
          <w:rFonts w:hint="eastAsia" w:asciiTheme="minorEastAsia" w:hAnsiTheme="minorEastAsia" w:eastAsiaTheme="minorEastAsia"/>
          <w:sz w:val="24"/>
          <w:szCs w:val="24"/>
        </w:rPr>
        <w:t>工程名称：                                               投标人名称：</w:t>
      </w:r>
    </w:p>
    <w:tbl>
      <w:tblPr>
        <w:tblStyle w:val="13"/>
        <w:tblW w:w="102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4536"/>
        <w:gridCol w:w="4253"/>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b/>
                <w:bCs/>
              </w:rPr>
            </w:pPr>
            <w:r>
              <w:rPr>
                <w:rFonts w:hint="eastAsia" w:asciiTheme="minorEastAsia" w:hAnsiTheme="minorEastAsia" w:eastAsiaTheme="minorEastAsia"/>
                <w:b/>
                <w:bCs/>
              </w:rPr>
              <w:t>序号</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b/>
                <w:bCs/>
              </w:rPr>
            </w:pPr>
            <w:r>
              <w:rPr>
                <w:rFonts w:hint="eastAsia" w:asciiTheme="minorEastAsia" w:hAnsiTheme="minorEastAsia" w:eastAsiaTheme="minorEastAsia"/>
                <w:b/>
                <w:bCs/>
              </w:rPr>
              <w:t>审查项目</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b/>
                <w:bCs/>
              </w:rPr>
            </w:pPr>
            <w:r>
              <w:rPr>
                <w:rFonts w:hint="eastAsia" w:asciiTheme="minorEastAsia" w:hAnsiTheme="minorEastAsia" w:eastAsiaTheme="minorEastAsia"/>
                <w:b/>
                <w:bCs/>
              </w:rPr>
              <w:t>须审查的资料</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b/>
                <w:bCs/>
              </w:rPr>
            </w:pPr>
            <w:r>
              <w:rPr>
                <w:rFonts w:hint="eastAsia" w:asciiTheme="minorEastAsia" w:hAnsiTheme="minorEastAsia" w:eastAsiaTheme="minorEastAsia"/>
                <w:b/>
                <w:bCs/>
              </w:rPr>
              <w:t>审查结果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1</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投标人参加投标的意思表达清楚，投标人代表被授权有效</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投标人声明、法定代表人证明书；委托投标的还应提供法人授权委托证明书</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2</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投标人具有独立法人资格，按国家法律经营</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szCs w:val="21"/>
              </w:rPr>
              <w:t>营业执照在广州市住建行业信用管理平台内上传件</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3</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hint="default" w:asciiTheme="minorEastAsia" w:hAnsiTheme="minorEastAsia" w:eastAsiaTheme="minorEastAsia"/>
                <w:lang w:val="en-US"/>
              </w:rPr>
            </w:pPr>
            <w:r>
              <w:rPr>
                <w:rFonts w:hint="eastAsia" w:asciiTheme="minorEastAsia" w:hAnsiTheme="minorEastAsia" w:eastAsiaTheme="minorEastAsia"/>
                <w:lang w:val="en-US" w:eastAsia="zh-CN"/>
              </w:rPr>
              <w:t>投标人</w:t>
            </w:r>
            <w:r>
              <w:rPr>
                <w:rFonts w:hint="eastAsia" w:asciiTheme="minorEastAsia" w:hAnsiTheme="minorEastAsia"/>
                <w:lang w:val="en-US" w:eastAsia="zh-CN"/>
              </w:rPr>
              <w:t>持</w:t>
            </w:r>
            <w:r>
              <w:rPr>
                <w:rFonts w:hint="eastAsia" w:asciiTheme="minorEastAsia" w:hAnsiTheme="minorEastAsia" w:eastAsiaTheme="minorEastAsia"/>
                <w:lang w:val="en-US" w:eastAsia="zh-CN"/>
              </w:rPr>
              <w:t>有</w:t>
            </w:r>
            <w:r>
              <w:rPr>
                <w:rFonts w:hint="eastAsia" w:asciiTheme="minorEastAsia" w:hAnsiTheme="minorEastAsia"/>
                <w:lang w:val="en-US" w:eastAsia="zh-CN"/>
              </w:rPr>
              <w:t>建设行政</w:t>
            </w:r>
            <w:r>
              <w:rPr>
                <w:rFonts w:hint="eastAsia" w:asciiTheme="minorEastAsia" w:hAnsiTheme="minorEastAsia" w:eastAsiaTheme="minorEastAsia"/>
                <w:lang w:val="en-US" w:eastAsia="zh-CN"/>
              </w:rPr>
              <w:t>主管部门颁发的香港/澳门建筑及相关工程咨询企业备案认可书</w:t>
            </w:r>
            <w:r>
              <w:rPr>
                <w:rFonts w:hint="eastAsia" w:asciiTheme="minorEastAsia" w:hAnsiTheme="minorEastAsia"/>
                <w:lang w:val="en-US" w:eastAsia="zh-CN"/>
              </w:rPr>
              <w:t>（港澳投标人适用）</w:t>
            </w:r>
          </w:p>
          <w:p>
            <w:pPr>
              <w:spacing w:before="120" w:after="60"/>
              <w:jc w:val="center"/>
              <w:rPr>
                <w:rFonts w:hint="default" w:asciiTheme="minorEastAsia" w:hAnsiTheme="minorEastAsia" w:eastAsiaTheme="minorEastAsia"/>
                <w:lang w:val="en-US" w:eastAsia="zh-CN"/>
              </w:rPr>
            </w:pPr>
            <w:r>
              <w:rPr>
                <w:rFonts w:hint="eastAsia" w:asciiTheme="minorEastAsia" w:hAnsiTheme="minorEastAsia" w:eastAsiaTheme="minorEastAsia"/>
              </w:rPr>
              <w:t>投标人持有建设行政主管部门颁发的企业资质证书及安全生产许可证</w:t>
            </w:r>
            <w:r>
              <w:rPr>
                <w:rFonts w:hint="eastAsia" w:asciiTheme="minorEastAsia" w:hAnsiTheme="minorEastAsia"/>
                <w:lang w:eastAsia="zh-CN"/>
              </w:rPr>
              <w:t>（</w:t>
            </w:r>
            <w:r>
              <w:rPr>
                <w:rFonts w:hint="eastAsia" w:asciiTheme="minorEastAsia" w:hAnsiTheme="minorEastAsia"/>
                <w:lang w:val="en-US" w:eastAsia="zh-CN"/>
              </w:rPr>
              <w:t>内地投标人适用）</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szCs w:val="21"/>
              </w:rPr>
              <w:t>资质证书及安全生产许可证在广州市住建行业信用管理平台内上传件；</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4</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hint="eastAsia"/>
              </w:rPr>
            </w:pPr>
            <w:r>
              <w:rPr>
                <w:rFonts w:hint="eastAsia"/>
                <w:highlight w:val="yellow"/>
              </w:rPr>
              <w:t>投标人拟担任本工程项目负责人符合公告要求</w:t>
            </w:r>
          </w:p>
          <w:p>
            <w:pPr>
              <w:pStyle w:val="2"/>
              <w:rPr>
                <w:rFonts w:hint="default" w:eastAsiaTheme="minorEastAsia"/>
                <w:lang w:val="en-US" w:eastAsia="zh-CN"/>
              </w:rPr>
            </w:pPr>
            <w:r>
              <w:rPr>
                <w:rFonts w:hint="eastAsia" w:asciiTheme="minorEastAsia" w:hAnsiTheme="minorEastAsia"/>
                <w:sz w:val="21"/>
                <w:szCs w:val="21"/>
                <w:lang w:eastAsia="zh-CN"/>
              </w:rPr>
              <w:t>（</w:t>
            </w:r>
            <w:r>
              <w:rPr>
                <w:rFonts w:hint="eastAsia" w:asciiTheme="minorEastAsia" w:hAnsiTheme="minorEastAsia"/>
                <w:sz w:val="21"/>
                <w:szCs w:val="21"/>
                <w:lang w:val="en-US" w:eastAsia="zh-CN"/>
              </w:rPr>
              <w:t>注：特定项目建议考虑设置采用港澳专业人士（如：项目总监、项目设计师等），以此细化投标要求。）</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hint="eastAsia" w:asciiTheme="minorEastAsia" w:hAnsiTheme="minorEastAsia" w:eastAsiaTheme="minorEastAsia"/>
                <w:szCs w:val="21"/>
              </w:rPr>
            </w:pPr>
            <w:r>
              <w:rPr>
                <w:rFonts w:hint="eastAsia" w:asciiTheme="minorEastAsia" w:hAnsiTheme="minorEastAsia" w:eastAsiaTheme="minorEastAsia"/>
                <w:szCs w:val="21"/>
              </w:rPr>
              <w:t>使用有效期内的注册建造师注册证书在广州市住建行业信用平台内上传件。</w:t>
            </w:r>
          </w:p>
          <w:p>
            <w:pPr>
              <w:pStyle w:val="2"/>
              <w:rPr>
                <w:b w:val="0"/>
                <w:bCs w:val="0"/>
                <w:sz w:val="21"/>
                <w:szCs w:val="21"/>
                <w:highlight w:val="yellow"/>
              </w:rPr>
            </w:pPr>
            <w:r>
              <w:rPr>
                <w:rFonts w:hint="eastAsia"/>
                <w:b w:val="0"/>
                <w:bCs w:val="0"/>
                <w:sz w:val="21"/>
                <w:szCs w:val="21"/>
                <w:highlight w:val="yellow"/>
                <w:lang w:val="en-US" w:eastAsia="zh-CN"/>
              </w:rPr>
              <w:t>（注1：具有广州市（区）各行业主管部门颁发的港澳建筑及相关工程专业人士执业资格备案认可书，备案业务范围为注册建造师（香港企业适用）。或具有相应业绩（澳门企业适用）。）</w:t>
            </w:r>
          </w:p>
          <w:p>
            <w:pPr>
              <w:spacing w:before="120" w:after="60"/>
              <w:jc w:val="center"/>
              <w:rPr>
                <w:rFonts w:asciiTheme="minorEastAsia" w:hAnsiTheme="minorEastAsia" w:eastAsiaTheme="minorEastAsia"/>
              </w:rPr>
            </w:pPr>
            <w:r>
              <w:rPr>
                <w:rFonts w:hint="eastAsia" w:asciiTheme="minorEastAsia" w:hAnsiTheme="minorEastAsia" w:eastAsiaTheme="minorEastAsia"/>
                <w:szCs w:val="21"/>
              </w:rPr>
              <w:t>（注</w:t>
            </w:r>
            <w:r>
              <w:rPr>
                <w:rFonts w:hint="eastAsia" w:asciiTheme="minorEastAsia" w:hAnsiTheme="minorEastAsia"/>
                <w:szCs w:val="21"/>
                <w:lang w:val="en-US" w:eastAsia="zh-CN"/>
              </w:rPr>
              <w:t>2</w:t>
            </w:r>
            <w:r>
              <w:rPr>
                <w:rFonts w:hint="eastAsia" w:asciiTheme="minorEastAsia" w:hAnsiTheme="minorEastAsia" w:eastAsiaTheme="minorEastAsia"/>
                <w:szCs w:val="21"/>
              </w:rPr>
              <w:t>：打印建造师电子证书后，应在个人签名处手写本人签名再上传广州市住建行业信用平台，上传件未手写签名或与签名图像笔迹不一致的，该电子证书无效。）</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5</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项目负责人</w:t>
            </w:r>
            <w:r>
              <w:rPr>
                <w:rFonts w:hint="eastAsia" w:cs="宋体" w:asciiTheme="minorEastAsia" w:hAnsiTheme="minorEastAsia" w:eastAsiaTheme="minorEastAsia"/>
                <w:szCs w:val="21"/>
              </w:rPr>
              <w:t>持有在有效期内的安全生产考核合格证书（B类）或建筑施工企业项目负责人安全生产考核合格证书</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szCs w:val="21"/>
              </w:rPr>
              <w:t>项目负责人安全培训考核合格证（B证）或建筑施工企业项目负责人安全生产考核合格证在广州市住建行业信用管理平台内上传件</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6</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投标人拟担任本工程技术负责人符合公告要求</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拟委托技术负责人的</w:t>
            </w:r>
            <w:r>
              <w:rPr>
                <w:rFonts w:hint="eastAsia" w:asciiTheme="minorEastAsia" w:hAnsiTheme="minorEastAsia" w:eastAsiaTheme="minorEastAsia"/>
                <w:u w:val="single"/>
              </w:rPr>
              <w:t>职称证书</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7</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专职安全员须具有</w:t>
            </w:r>
            <w:r>
              <w:rPr>
                <w:rFonts w:hint="eastAsia" w:cs="宋体" w:asciiTheme="minorEastAsia" w:hAnsiTheme="minorEastAsia" w:eastAsiaTheme="minorEastAsia"/>
                <w:szCs w:val="21"/>
              </w:rPr>
              <w:t>在有效期内的安全生产考核合格证书（C类）或能够提供建筑施工企业专职安全生产管理人员安全生产考核合格证书（C3）</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szCs w:val="21"/>
              </w:rPr>
              <w:t>专职安全员的安全生产考核合格证（</w:t>
            </w:r>
            <w:r>
              <w:rPr>
                <w:rFonts w:asciiTheme="minorEastAsia" w:hAnsiTheme="minorEastAsia" w:eastAsiaTheme="minorEastAsia"/>
                <w:szCs w:val="21"/>
              </w:rPr>
              <w:t>C</w:t>
            </w:r>
            <w:r>
              <w:rPr>
                <w:rFonts w:hint="eastAsia" w:asciiTheme="minorEastAsia" w:hAnsiTheme="minorEastAsia" w:eastAsiaTheme="minorEastAsia"/>
                <w:szCs w:val="21"/>
              </w:rPr>
              <w:t>证）或能够提供建筑施工企业专职安全生产管理人员安全生产考核合格证书（C3）在广州市住建行业信用管理平台内上传件</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8</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hint="eastAsia"/>
                <w:highlight w:val="yellow"/>
              </w:rPr>
            </w:pPr>
            <w:r>
              <w:rPr>
                <w:rFonts w:hint="eastAsia"/>
                <w:highlight w:val="yellow"/>
              </w:rPr>
              <w:t>投标人完成过的类似工程业绩符合公告要求</w:t>
            </w:r>
          </w:p>
          <w:p>
            <w:pPr>
              <w:pStyle w:val="2"/>
              <w:rPr>
                <w:rFonts w:hint="default" w:eastAsiaTheme="minorEastAsia"/>
                <w:lang w:val="en-US" w:eastAsia="zh-CN"/>
              </w:rPr>
            </w:pPr>
            <w:r>
              <w:rPr>
                <w:rFonts w:hint="eastAsia"/>
                <w:sz w:val="21"/>
                <w:szCs w:val="21"/>
                <w:lang w:eastAsia="zh-CN"/>
              </w:rPr>
              <w:t>（</w:t>
            </w:r>
            <w:r>
              <w:rPr>
                <w:rFonts w:hint="eastAsia"/>
                <w:sz w:val="21"/>
                <w:szCs w:val="21"/>
                <w:lang w:val="en-US" w:eastAsia="zh-CN"/>
              </w:rPr>
              <w:t>注：若公司无同类型工程业绩，建议不设置业绩要求。若公司有较多同类型工程，建议设置相应业绩要求。）</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Style w:val="18"/>
                <w:rFonts w:asciiTheme="minorEastAsia" w:hAnsiTheme="minorEastAsia" w:eastAsiaTheme="minorEastAsia"/>
                <w:strike w:val="0"/>
                <w:highlight w:val="yellow"/>
              </w:rPr>
            </w:pPr>
            <w:r>
              <w:rPr>
                <w:rFonts w:hint="eastAsia" w:ascii="宋体" w:hAnsi="宋体"/>
                <w:strike w:val="0"/>
                <w:szCs w:val="21"/>
                <w:highlight w:val="yellow"/>
              </w:rPr>
              <w:t>业绩在广州市住建行业信用管理平台内的相关上传件</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strik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9</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szCs w:val="21"/>
              </w:rPr>
              <w:t>投标人提供的投标人声明符合公告要求</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投标人声明</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10</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投标人声明中签字的项目负责人和技术负责人与本项目拟派的项目负责人和技术负责人一致</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网上投标时选择拟投标的项目负责人、资格审查文件中拟委派的技术负责人及投标人声明</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11</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关于联合体投标</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本项目不接受联合体投标</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12</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szCs w:val="21"/>
              </w:rPr>
              <w:t>资格审查前，投标人须</w:t>
            </w:r>
            <w:r>
              <w:rPr>
                <w:rFonts w:asciiTheme="minorEastAsia" w:hAnsiTheme="minorEastAsia" w:eastAsiaTheme="minorEastAsia"/>
                <w:szCs w:val="21"/>
              </w:rPr>
              <w:t>在</w:t>
            </w:r>
            <w:r>
              <w:rPr>
                <w:rFonts w:hint="eastAsia" w:asciiTheme="minorEastAsia" w:hAnsiTheme="minorEastAsia" w:eastAsiaTheme="minorEastAsia"/>
                <w:szCs w:val="21"/>
              </w:rPr>
              <w:t>广州市住房和城乡建设局建立企业信用档案及拟担任本工程项目负责人、专职安全员须是本企业中的在册人员</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szCs w:val="21"/>
              </w:rPr>
              <w:t>投标人在广州市住建行业信用管理平台内企业信用档案的企业和人员信息</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13</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szCs w:val="21"/>
              </w:rPr>
            </w:pPr>
            <w:r>
              <w:rPr>
                <w:rFonts w:hint="eastAsia" w:asciiTheme="minorEastAsia" w:hAnsiTheme="minorEastAsia" w:eastAsiaTheme="minorEastAsia"/>
                <w:szCs w:val="21"/>
              </w:rPr>
              <w:t>投标人未出现以下情形：与其它投标人的单位负责人为同一人或者存在控股、管理关系的（按投标人提供的《投标人声明》第八条内容进行评审）。</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szCs w:val="21"/>
              </w:rPr>
            </w:pPr>
            <w:r>
              <w:rPr>
                <w:rFonts w:hint="eastAsia" w:asciiTheme="minorEastAsia" w:hAnsiTheme="minorEastAsia" w:eastAsiaTheme="minorEastAsia"/>
                <w:szCs w:val="21"/>
              </w:rPr>
              <w:t>投标人声明</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4" w:type="dxa"/>
            <w:tcBorders>
              <w:top w:val="single" w:color="auto" w:sz="4" w:space="0"/>
              <w:left w:val="single" w:color="auto" w:sz="4" w:space="0"/>
              <w:bottom w:val="single" w:color="auto" w:sz="4" w:space="0"/>
              <w:right w:val="single" w:color="auto" w:sz="4" w:space="0"/>
            </w:tcBorders>
            <w:vAlign w:val="center"/>
          </w:tcPr>
          <w:p>
            <w:pPr>
              <w:spacing w:before="120" w:after="60"/>
              <w:jc w:val="center"/>
              <w:rPr>
                <w:rFonts w:asciiTheme="minorEastAsia" w:hAnsiTheme="minorEastAsia" w:eastAsiaTheme="minorEastAsia"/>
              </w:rPr>
            </w:pPr>
            <w:r>
              <w:rPr>
                <w:rFonts w:hint="eastAsia" w:asciiTheme="minorEastAsia" w:hAnsiTheme="minorEastAsia" w:eastAsiaTheme="minorEastAsia"/>
              </w:rPr>
              <w:t>14</w:t>
            </w:r>
          </w:p>
        </w:tc>
        <w:tc>
          <w:tcPr>
            <w:tcW w:w="4536"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szCs w:val="21"/>
              </w:rPr>
            </w:pPr>
            <w:r>
              <w:rPr>
                <w:rFonts w:hint="eastAsia" w:ascii="宋体" w:hAnsi="宋体"/>
                <w:sz w:val="21"/>
                <w:szCs w:val="21"/>
              </w:rPr>
              <w:t>未被列入拖欠农民工工资失信联合惩戒对象名单</w:t>
            </w:r>
          </w:p>
        </w:tc>
        <w:tc>
          <w:tcPr>
            <w:tcW w:w="4253"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szCs w:val="21"/>
              </w:rPr>
            </w:pPr>
            <w:r>
              <w:rPr>
                <w:rFonts w:hint="eastAsia" w:asciiTheme="minorEastAsia" w:hAnsiTheme="minorEastAsia" w:eastAsiaTheme="minorEastAsia"/>
                <w:szCs w:val="21"/>
              </w:rPr>
              <w:t>投标人无需提供资料，按交易系统比对的结果进行评审</w:t>
            </w:r>
          </w:p>
        </w:tc>
        <w:tc>
          <w:tcPr>
            <w:tcW w:w="708" w:type="dxa"/>
            <w:tcBorders>
              <w:top w:val="single" w:color="auto" w:sz="4" w:space="0"/>
              <w:left w:val="nil"/>
              <w:bottom w:val="single" w:color="auto" w:sz="4" w:space="0"/>
              <w:right w:val="single" w:color="auto" w:sz="4" w:space="0"/>
            </w:tcBorders>
            <w:vAlign w:val="center"/>
          </w:tcPr>
          <w:p>
            <w:pPr>
              <w:spacing w:before="120" w:after="60"/>
              <w:jc w:val="center"/>
              <w:rPr>
                <w:rFonts w:asciiTheme="minorEastAsia" w:hAnsiTheme="minorEastAsia" w:eastAsiaTheme="minorEastAsia"/>
              </w:rPr>
            </w:pPr>
          </w:p>
        </w:tc>
      </w:tr>
    </w:tbl>
    <w:p>
      <w:pPr>
        <w:spacing w:line="480" w:lineRule="auto"/>
        <w:rPr>
          <w:rFonts w:asciiTheme="minorEastAsia" w:hAnsiTheme="minorEastAsia" w:eastAsiaTheme="minorEastAsia"/>
          <w:szCs w:val="21"/>
        </w:rPr>
      </w:pPr>
    </w:p>
    <w:p>
      <w:pPr>
        <w:spacing w:line="480" w:lineRule="auto"/>
        <w:ind w:firstLine="470" w:firstLineChars="224"/>
        <w:rPr>
          <w:rFonts w:asciiTheme="minorEastAsia" w:hAnsiTheme="minorEastAsia" w:eastAsiaTheme="minorEastAsia"/>
          <w:szCs w:val="21"/>
        </w:rPr>
      </w:pPr>
      <w:r>
        <w:rPr>
          <w:rFonts w:hint="eastAsia" w:asciiTheme="minorEastAsia" w:hAnsiTheme="minorEastAsia" w:eastAsiaTheme="minorEastAsia"/>
          <w:szCs w:val="21"/>
        </w:rPr>
        <w:t>备注：</w:t>
      </w:r>
    </w:p>
    <w:p>
      <w:pPr>
        <w:spacing w:line="480" w:lineRule="auto"/>
        <w:ind w:firstLine="470" w:firstLineChars="224"/>
        <w:rPr>
          <w:rFonts w:asciiTheme="minorEastAsia" w:hAnsiTheme="minorEastAsia" w:eastAsiaTheme="minorEastAsia"/>
          <w:szCs w:val="21"/>
        </w:rPr>
      </w:pPr>
      <w:r>
        <w:rPr>
          <w:rFonts w:asciiTheme="minorEastAsia" w:hAnsiTheme="minorEastAsia" w:eastAsiaTheme="minorEastAsia"/>
          <w:szCs w:val="21"/>
        </w:rPr>
        <w:t>1</w:t>
      </w:r>
      <w:r>
        <w:rPr>
          <w:rFonts w:hint="eastAsia" w:asciiTheme="minorEastAsia" w:hAnsiTheme="minorEastAsia" w:eastAsiaTheme="minorEastAsia"/>
          <w:szCs w:val="21"/>
        </w:rPr>
        <w:t>、若评委意见不一致时，则按少数服从多数的原则，作出评审结论。</w:t>
      </w:r>
    </w:p>
    <w:p>
      <w:pPr>
        <w:rPr>
          <w:rFonts w:hint="eastAsia"/>
        </w:rPr>
      </w:pPr>
    </w:p>
    <w:p>
      <w:pPr>
        <w:pStyle w:val="7"/>
        <w:rPr>
          <w:rFonts w:hint="default"/>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7A"/>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rPr>
        <w:lang w:val="zh-CN"/>
      </w:rPr>
      <w:t>5</w:t>
    </w:r>
    <w:r>
      <w:rPr>
        <w:lang w:val="zh-CN"/>
      </w:rPr>
      <w:fldChar w:fldCharType="end"/>
    </w:r>
  </w:p>
  <w:p>
    <w:pPr>
      <w:pStyle w:val="9"/>
      <w:ind w:firstLine="392"/>
      <w:jc w:val="right"/>
      <w:rPr>
        <w:rStyle w:val="16"/>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1B5EAD"/>
    <w:multiLevelType w:val="singleLevel"/>
    <w:tmpl w:val="B61B5EA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JlYmM1ZDRkNjQ5NWI4OThjODQwMGFmMDM3OWYwYjcifQ=="/>
  </w:docVars>
  <w:rsids>
    <w:rsidRoot w:val="02940C6B"/>
    <w:rsid w:val="008D7146"/>
    <w:rsid w:val="02940C6B"/>
    <w:rsid w:val="02FD6506"/>
    <w:rsid w:val="0A5678D9"/>
    <w:rsid w:val="14227192"/>
    <w:rsid w:val="3B345375"/>
    <w:rsid w:val="44D0435B"/>
    <w:rsid w:val="4521341D"/>
    <w:rsid w:val="709C6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2">
    <w:name w:val="Body Text"/>
    <w:basedOn w:val="1"/>
    <w:next w:val="1"/>
    <w:unhideWhenUsed/>
    <w:qFormat/>
    <w:uiPriority w:val="99"/>
    <w:pPr>
      <w:spacing w:after="120"/>
    </w:pPr>
    <w:rPr>
      <w:rFonts w:ascii="Calibri" w:hAnsi="Calibri"/>
      <w:kern w:val="0"/>
      <w:sz w:val="20"/>
      <w:szCs w:val="20"/>
    </w:rPr>
  </w:style>
  <w:style w:type="paragraph" w:styleId="4">
    <w:name w:val="Normal Indent"/>
    <w:basedOn w:val="1"/>
    <w:next w:val="1"/>
    <w:qFormat/>
    <w:uiPriority w:val="0"/>
    <w:pPr>
      <w:ind w:firstLine="420"/>
    </w:pPr>
    <w:rPr>
      <w:rFonts w:ascii="Times New Roman" w:hAnsi="Times New Roman"/>
      <w:szCs w:val="20"/>
    </w:rPr>
  </w:style>
  <w:style w:type="paragraph" w:styleId="5">
    <w:name w:val="Body Text Indent"/>
    <w:basedOn w:val="1"/>
    <w:next w:val="6"/>
    <w:qFormat/>
    <w:uiPriority w:val="0"/>
    <w:pPr>
      <w:ind w:firstLine="570"/>
    </w:pPr>
    <w:rPr>
      <w:rFonts w:ascii="Times New Roman" w:hAnsi="Times New Roman"/>
      <w:kern w:val="0"/>
      <w:sz w:val="28"/>
      <w:szCs w:val="20"/>
    </w:rPr>
  </w:style>
  <w:style w:type="paragraph" w:styleId="6">
    <w:name w:val="envelope return"/>
    <w:basedOn w:val="1"/>
    <w:qFormat/>
    <w:uiPriority w:val="0"/>
    <w:pPr>
      <w:snapToGrid w:val="0"/>
    </w:pPr>
    <w:rPr>
      <w:rFonts w:ascii="Arial" w:hAnsi="Arial"/>
      <w:szCs w:val="24"/>
    </w:rPr>
  </w:style>
  <w:style w:type="paragraph" w:styleId="7">
    <w:name w:val="Plain Text"/>
    <w:basedOn w:val="1"/>
    <w:next w:val="1"/>
    <w:qFormat/>
    <w:uiPriority w:val="0"/>
    <w:rPr>
      <w:rFonts w:ascii="宋体" w:hAnsi="Courier New"/>
      <w:szCs w:val="20"/>
    </w:rPr>
  </w:style>
  <w:style w:type="paragraph" w:styleId="8">
    <w:name w:val="Date"/>
    <w:basedOn w:val="1"/>
    <w:next w:val="1"/>
    <w:qFormat/>
    <w:uiPriority w:val="0"/>
    <w:rPr>
      <w:rFonts w:ascii="Times New Roman" w:hAnsi="Times New Roman"/>
      <w:kern w:val="0"/>
      <w:sz w:val="20"/>
      <w:szCs w:val="20"/>
    </w:rPr>
  </w:style>
  <w:style w:type="paragraph" w:styleId="9">
    <w:name w:val="footer"/>
    <w:basedOn w:val="1"/>
    <w:unhideWhenUsed/>
    <w:qFormat/>
    <w:uiPriority w:val="99"/>
    <w:pPr>
      <w:tabs>
        <w:tab w:val="center" w:pos="4153"/>
        <w:tab w:val="right" w:pos="8306"/>
      </w:tabs>
      <w:snapToGrid w:val="0"/>
      <w:jc w:val="left"/>
    </w:pPr>
    <w:rPr>
      <w:kern w:val="0"/>
      <w:sz w:val="18"/>
      <w:szCs w:val="18"/>
    </w:rPr>
  </w:style>
  <w:style w:type="paragraph" w:styleId="10">
    <w:name w:val="header"/>
    <w:basedOn w:val="1"/>
    <w:unhideWhenUsed/>
    <w:qFormat/>
    <w:uiPriority w:val="0"/>
    <w:pPr>
      <w:pBdr>
        <w:bottom w:val="single" w:color="auto" w:sz="6" w:space="1"/>
      </w:pBdr>
      <w:tabs>
        <w:tab w:val="center" w:pos="4153"/>
        <w:tab w:val="right" w:pos="8306"/>
      </w:tabs>
      <w:snapToGrid w:val="0"/>
      <w:jc w:val="center"/>
    </w:pPr>
    <w:rPr>
      <w:kern w:val="0"/>
      <w:sz w:val="18"/>
      <w:szCs w:val="18"/>
    </w:rPr>
  </w:style>
  <w:style w:type="paragraph" w:styleId="11">
    <w:name w:val="Body Text First Indent"/>
    <w:basedOn w:val="2"/>
    <w:qFormat/>
    <w:uiPriority w:val="0"/>
    <w:pPr>
      <w:ind w:firstLine="420"/>
    </w:pPr>
    <w:rPr>
      <w:rFonts w:ascii="Times New Roman" w:hAnsi="Times New Roman"/>
    </w:rPr>
  </w:style>
  <w:style w:type="paragraph" w:styleId="12">
    <w:name w:val="Body Text First Indent 2"/>
    <w:basedOn w:val="5"/>
    <w:qFormat/>
    <w:uiPriority w:val="0"/>
    <w:pPr>
      <w:spacing w:after="120"/>
      <w:ind w:left="200" w:leftChars="200" w:firstLine="200" w:firstLineChars="200"/>
    </w:pPr>
    <w:rPr>
      <w:rFonts w:ascii="Calibri" w:hAnsi="Calibri"/>
      <w:color w:val="0D0D0D"/>
      <w:kern w:val="2"/>
      <w:sz w:val="21"/>
      <w:szCs w:val="24"/>
      <w:lang w:eastAsia="en-US"/>
    </w:rPr>
  </w:style>
  <w:style w:type="table" w:styleId="14">
    <w:name w:val="Table Grid"/>
    <w:basedOn w:val="13"/>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qFormat/>
    <w:uiPriority w:val="0"/>
    <w:rPr>
      <w:rFonts w:cs="Times New Roman"/>
    </w:rPr>
  </w:style>
  <w:style w:type="paragraph" w:customStyle="1" w:styleId="17">
    <w:name w:val="文一"/>
    <w:basedOn w:val="1"/>
    <w:qFormat/>
    <w:uiPriority w:val="0"/>
    <w:pPr>
      <w:topLinePunct/>
      <w:adjustRightInd w:val="0"/>
      <w:snapToGrid w:val="0"/>
      <w:spacing w:line="360" w:lineRule="auto"/>
      <w:ind w:firstLine="200" w:firstLineChars="200"/>
    </w:pPr>
    <w:rPr>
      <w:rFonts w:ascii="Times New Roman" w:hAnsi="Times New Roman"/>
      <w:spacing w:val="4"/>
      <w:kern w:val="0"/>
      <w:sz w:val="24"/>
      <w:szCs w:val="24"/>
    </w:rPr>
  </w:style>
  <w:style w:type="character" w:customStyle="1" w:styleId="18">
    <w:name w:val="17"/>
    <w:qFormat/>
    <w:uiPriority w:val="0"/>
    <w:rPr>
      <w:rFonts w:hint="default" w:ascii="Times New Roman" w:hAnsi="Times New Roman" w:cs="Times New Roman"/>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8528</Words>
  <Characters>8726</Characters>
  <Lines>0</Lines>
  <Paragraphs>0</Paragraphs>
  <TotalTime>0</TotalTime>
  <ScaleCrop>false</ScaleCrop>
  <LinksUpToDate>false</LinksUpToDate>
  <CharactersWithSpaces>9345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2023-08-17T06:59:00Z</dcterms:created>
  <dc:creator> 马丁</dc:creator>
  <cp:lastModifiedBy> 马丁</cp:lastModifiedBy>
  <dcterms:modified xsi:type="dcterms:W3CDTF">2023-08-18T02:18:32Z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95D39CD7A3424186AB9E3300582E309C_11</vt:lpwstr>
  </property>
</Properties>
</file>