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a reasonable value for $k$ using the "elbow method", we calculated the inertia for a range of cluster counts from 2 to 30. Inertia measures how tightly clustered the data points are; lower inertia indicates that points are closer to their respective centroids.</w:t>
      </w:r>
    </w:p>
    <w:p w:rsidR="00000000" w:rsidDel="00000000" w:rsidP="00000000" w:rsidRDefault="00000000" w:rsidRPr="00000000" w14:paraId="00000002">
      <w:pPr>
        <w:pStyle w:val="Heading3"/>
        <w:keepNext w:val="0"/>
        <w:keepLines w:val="0"/>
        <w:widowControl w:val="0"/>
        <w:spacing w:before="0" w:lineRule="auto"/>
        <w:ind w:left="11.678924560546875" w:hanging="10.319976806640625"/>
        <w:rPr>
          <w:rFonts w:ascii="Times New Roman" w:cs="Times New Roman" w:eastAsia="Times New Roman" w:hAnsi="Times New Roman"/>
          <w:sz w:val="24"/>
          <w:szCs w:val="24"/>
        </w:rPr>
      </w:pPr>
      <w:bookmarkStart w:colFirst="0" w:colLast="0" w:name="_4jscfwe5gh8j" w:id="0"/>
      <w:bookmarkEnd w:id="0"/>
      <w:r w:rsidDel="00000000" w:rsidR="00000000" w:rsidRPr="00000000">
        <w:rPr>
          <w:rFonts w:ascii="Times New Roman" w:cs="Times New Roman" w:eastAsia="Times New Roman" w:hAnsi="Times New Roman"/>
          <w:sz w:val="24"/>
          <w:szCs w:val="24"/>
          <w:rtl w:val="0"/>
        </w:rPr>
        <w:t xml:space="preserve">Observations and Analysis</w:t>
      </w:r>
    </w:p>
    <w:p w:rsidR="00000000" w:rsidDel="00000000" w:rsidP="00000000" w:rsidRDefault="00000000" w:rsidRPr="00000000" w14:paraId="00000003">
      <w:pPr>
        <w:widowControl w:val="0"/>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Inertia Trend</w:t>
      </w:r>
      <w:r w:rsidDel="00000000" w:rsidR="00000000" w:rsidRPr="00000000">
        <w:rPr>
          <w:rFonts w:ascii="Times New Roman" w:cs="Times New Roman" w:eastAsia="Times New Roman" w:hAnsi="Times New Roman"/>
          <w:sz w:val="24"/>
          <w:szCs w:val="24"/>
          <w:rtl w:val="0"/>
        </w:rPr>
        <w:t xml:space="preserve">: The inertia decreases as k increases, which is expected since more clusters will naturally be closer to their member points.</w:t>
      </w:r>
    </w:p>
    <w:p w:rsidR="00000000" w:rsidDel="00000000" w:rsidP="00000000" w:rsidRDefault="00000000" w:rsidRPr="00000000" w14:paraId="00000004">
      <w:pPr>
        <w:widowControl w:val="0"/>
        <w:numPr>
          <w:ilvl w:val="0"/>
          <w:numId w:val="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Identifying the "Elbow"</w:t>
      </w:r>
      <w:r w:rsidDel="00000000" w:rsidR="00000000" w:rsidRPr="00000000">
        <w:rPr>
          <w:rFonts w:ascii="Times New Roman" w:cs="Times New Roman" w:eastAsia="Times New Roman" w:hAnsi="Times New Roman"/>
          <w:sz w:val="24"/>
          <w:szCs w:val="24"/>
          <w:rtl w:val="0"/>
        </w:rPr>
        <w:t xml:space="preserve">: The "elbow" is the point on the graph where the rate of decrease in inertia slows down significantly. In this dataset, there isn't one singular sharp elbow, but we can see noticeable changes in the slope:</w:t>
      </w:r>
    </w:p>
    <w:p w:rsidR="00000000" w:rsidDel="00000000" w:rsidP="00000000" w:rsidRDefault="00000000" w:rsidRPr="00000000" w14:paraId="00000005">
      <w:pPr>
        <w:widowControl w:val="0"/>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significant drop from k=2 to k=3.</w:t>
      </w:r>
    </w:p>
    <w:p w:rsidR="00000000" w:rsidDel="00000000" w:rsidP="00000000" w:rsidRDefault="00000000" w:rsidRPr="00000000" w14:paraId="00000006">
      <w:pPr>
        <w:widowControl w:val="0"/>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noticeable shift occurs around k=8 to k=10.</w:t>
      </w:r>
    </w:p>
    <w:p w:rsidR="00000000" w:rsidDel="00000000" w:rsidP="00000000" w:rsidRDefault="00000000" w:rsidRPr="00000000" w14:paraId="00000007">
      <w:pPr>
        <w:widowControl w:val="0"/>
        <w:numPr>
          <w:ilvl w:val="1"/>
          <w:numId w:val="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k=15, the curve becomes much flatter, suggesting that adding more clusters beyond this point provides diminishing returns in explaining the variance of the data.</w:t>
      </w:r>
    </w:p>
    <w:p w:rsidR="00000000" w:rsidDel="00000000" w:rsidP="00000000" w:rsidRDefault="00000000" w:rsidRPr="00000000" w14:paraId="00000008">
      <w:pPr>
        <w:pStyle w:val="Heading3"/>
        <w:keepNext w:val="0"/>
        <w:keepLines w:val="0"/>
        <w:widowControl w:val="0"/>
        <w:spacing w:before="0" w:lineRule="auto"/>
        <w:ind w:left="11.678924560546875" w:hanging="10.319976806640625"/>
        <w:rPr>
          <w:rFonts w:ascii="Times New Roman" w:cs="Times New Roman" w:eastAsia="Times New Roman" w:hAnsi="Times New Roman"/>
          <w:sz w:val="24"/>
          <w:szCs w:val="24"/>
        </w:rPr>
      </w:pPr>
      <w:bookmarkStart w:colFirst="0" w:colLast="0" w:name="_ndy3dm7dp64i" w:id="1"/>
      <w:bookmarkEnd w:id="1"/>
      <w:r w:rsidDel="00000000" w:rsidR="00000000" w:rsidRPr="00000000">
        <w:rPr>
          <w:rFonts w:ascii="Times New Roman" w:cs="Times New Roman" w:eastAsia="Times New Roman" w:hAnsi="Times New Roman"/>
          <w:sz w:val="24"/>
          <w:szCs w:val="24"/>
          <w:rtl w:val="0"/>
        </w:rPr>
        <w:t xml:space="preserve">Selecting k</w:t>
      </w:r>
    </w:p>
    <w:p w:rsidR="00000000" w:rsidDel="00000000" w:rsidP="00000000" w:rsidRDefault="00000000" w:rsidRPr="00000000" w14:paraId="00000009">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plot, a value of </w:t>
      </w:r>
      <w:r w:rsidDel="00000000" w:rsidR="00000000" w:rsidRPr="00000000">
        <w:rPr>
          <w:rFonts w:ascii="Times New Roman" w:cs="Times New Roman" w:eastAsia="Times New Roman" w:hAnsi="Times New Roman"/>
          <w:b w:val="1"/>
          <w:bCs w:val="1"/>
          <w:sz w:val="24"/>
          <w:szCs w:val="24"/>
          <w:rtl w:val="0"/>
        </w:rPr>
        <w:t xml:space="preserve">k=8</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k=13</w:t>
      </w:r>
      <w:r w:rsidDel="00000000" w:rsidR="00000000" w:rsidRPr="00000000">
        <w:rPr>
          <w:rFonts w:ascii="Times New Roman" w:cs="Times New Roman" w:eastAsia="Times New Roman" w:hAnsi="Times New Roman"/>
          <w:sz w:val="24"/>
          <w:szCs w:val="24"/>
          <w:rtl w:val="0"/>
        </w:rPr>
        <w:t xml:space="preserve"> would be a reasonable choice. These points represent areas where the "elbow" begins to form, balancing model complexity (number of clusters) with the tightness of the clusters (inertia).</w:t>
      </w:r>
    </w:p>
    <w:p w:rsidR="00000000" w:rsidDel="00000000" w:rsidP="00000000" w:rsidRDefault="00000000" w:rsidRPr="00000000" w14:paraId="0000000A">
      <w:pPr>
        <w:pStyle w:val="Heading3"/>
        <w:keepNext w:val="0"/>
        <w:keepLines w:val="0"/>
        <w:widowControl w:val="0"/>
        <w:spacing w:before="0" w:lineRule="auto"/>
        <w:ind w:left="11.678924560546875" w:hanging="10.319976806640625"/>
        <w:rPr>
          <w:rFonts w:ascii="Times New Roman" w:cs="Times New Roman" w:eastAsia="Times New Roman" w:hAnsi="Times New Roman"/>
          <w:sz w:val="24"/>
          <w:szCs w:val="24"/>
        </w:rPr>
      </w:pPr>
      <w:bookmarkStart w:colFirst="0" w:colLast="0" w:name="_81439ooddryg" w:id="2"/>
      <w:bookmarkEnd w:id="2"/>
      <w:r w:rsidDel="00000000" w:rsidR="00000000" w:rsidRPr="00000000">
        <w:rPr>
          <w:rFonts w:ascii="Times New Roman" w:cs="Times New Roman" w:eastAsia="Times New Roman" w:hAnsi="Times New Roman"/>
          <w:sz w:val="24"/>
          <w:szCs w:val="24"/>
          <w:rtl w:val="0"/>
        </w:rPr>
        <w:t xml:space="preserve">Summary of Results</w:t>
      </w:r>
    </w:p>
    <w:p w:rsidR="00000000" w:rsidDel="00000000" w:rsidP="00000000" w:rsidRDefault="00000000" w:rsidRPr="00000000" w14:paraId="0000000B">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inertia values for each k are provided in the table below (abbreviated):</w:t>
      </w:r>
    </w:p>
    <w:tbl>
      <w:tblPr>
        <w:tblStyle w:val="Table1"/>
        <w:tblW w:w="1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0"/>
        <w:gridCol w:w="1460"/>
        <w:tblGridChange w:id="0">
          <w:tblGrid>
            <w:gridCol w:w="530"/>
            <w:gridCol w:w="1460"/>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Inertia</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391,327.87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299,330.01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250,986.97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233,653.10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204,334.65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187,175.88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after="480" w:lineRule="auto"/>
              <w:ind w:left="11.678924560546875" w:hanging="10.3199768066406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162,039.05</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11.678924560546875" w:right="0" w:hanging="10.319976806640625"/>
        <w:jc w:val="left"/>
        <w:rPr>
          <w:rFonts w:ascii="Times New Roman" w:cs="Times New Roman" w:eastAsia="Times New Roman" w:hAnsi="Times New Roman"/>
          <w:sz w:val="24"/>
          <w:szCs w:val="24"/>
        </w:rPr>
      </w:pPr>
      <w:r w:rsidDel="00000000" w:rsidR="00000000" w:rsidRPr="00000000">
        <w:rPr>
          <w:rtl w:val="0"/>
        </w:rPr>
      </w:r>
    </w:p>
    <w:sectPr>
      <w:footerReference r:id="rId6" w:type="default"/>
      <w:pgSz w:h="15840" w:w="12240" w:orient="portrait"/>
      <w:pgMar w:bottom="8162.76611328125" w:top="1444.613037109375" w:left="1459.81201171875" w:right="1618.77807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drawing>
        <wp:inline distB="114300" distT="114300" distL="114300" distR="114300">
          <wp:extent cx="5817495" cy="3492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17495" cy="34925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