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color w:val="607D8B"/>
          <w:sz w:val="24"/>
          <w:szCs w:val="24"/>
        </w:rPr>
        <w:t xml:space="preserve">Brand voice audit — addendum</w:t>
      </w:r>
    </w:p>
    <w:p>
      <w:pPr>
        <w:spacing w:after="60" w:before="0"/>
      </w:pPr>
      <w:r>
        <w:rPr>
          <w:b/>
          <w:bCs/>
          <w:sz w:val="36"/>
          <w:szCs w:val="36"/>
        </w:rPr>
        <w:t xml:space="preserve">Martlet AI competitive positioning, differentiators, and visual brand language</w:t>
      </w:r>
    </w:p>
    <w:p>
      <w:pPr>
        <w:spacing w:after="320" w:before="0"/>
      </w:pPr>
      <w:r>
        <w:rPr>
          <w:i/>
          <w:iCs/>
          <w:color w:val="424242"/>
        </w:rPr>
        <w:t xml:space="preserve">Companion to the original Martlet AI brand voice audit. This addendum sharpens what Martlet AI should say about itself based on a fresh review of the competitive landscape, then provides recommendations for the visual brand language. The page-by-page copy and component spec for the rebuild lives in a separate companion document.</w:t>
      </w:r>
    </w:p>
    <w:p>
      <w:pPr>
        <w:pStyle w:val="Heading1"/>
        <w:spacing w:after="180" w:before="360"/>
      </w:pPr>
      <w:r>
        <w:t xml:space="preserve">The competitive landscape in risk adjustment</w:t>
      </w:r>
    </w:p>
    <w:p>
      <w:pPr>
        <w:spacing w:after="80" w:before="80"/>
      </w:pPr>
      <w:r>
        <w:t xml:space="preserve">The risk adjustment software market is crowded, fragmented, and undergoing a generational transition. Three categories of competitor matter for Martlet AI's positioning, each making a different bet on what "AI-powered risk adjustment" means.</w:t>
      </w:r>
    </w:p>
    <w:p>
      <w:pPr>
        <w:pStyle w:val="Heading2"/>
        <w:spacing w:after="140" w:before="280"/>
      </w:pPr>
      <w:r>
        <w:t xml:space="preserve">Category 1 — Legacy enterprise vendors</w:t>
      </w:r>
    </w:p>
    <w:p>
      <w:pPr>
        <w:spacing w:after="80" w:before="80"/>
      </w:pPr>
      <w:r>
        <w:t xml:space="preserve">These are the incumbents that risk-adjustment buyers have used for a decade or more. They are large, deeply integrated into payer and provider workflows, and primarily SaaS / cloud-hosted.</w:t>
      </w:r>
    </w:p>
    <w:p>
      <w:pPr>
        <w:pStyle w:val="Heading3"/>
        <w:spacing w:after="100" w:before="220"/>
      </w:pPr>
      <w:r>
        <w:t xml:space="preserve">Optum (Episource + Risk Analytics)</w:t>
      </w:r>
    </w:p>
    <w:p>
      <w:pPr>
        <w:pStyle w:val="ListParagraph"/>
        <w:numPr>
          <w:ilvl w:val="0"/>
          <w:numId w:val="2"/>
        </w:numPr>
        <w:spacing w:after="40" w:before="40"/>
      </w:pPr>
      <w:r>
        <w:t xml:space="preserve">Owned by UnitedHealth Group. Largest Medicare Advantage dataset in the industry.</w:t>
      </w:r>
    </w:p>
    <w:p>
      <w:pPr>
        <w:pStyle w:val="ListParagraph"/>
        <w:numPr>
          <w:ilvl w:val="0"/>
          <w:numId w:val="2"/>
        </w:numPr>
        <w:spacing w:after="40" w:before="40"/>
      </w:pPr>
      <w:r>
        <w:t xml:space="preserve">Pitches "AI-driven coding support paired with deep analytics for RAF score optimization."</w:t>
      </w:r>
    </w:p>
    <w:p>
      <w:pPr>
        <w:pStyle w:val="ListParagraph"/>
        <w:numPr>
          <w:ilvl w:val="0"/>
          <w:numId w:val="2"/>
        </w:numPr>
        <w:spacing w:after="40" w:before="40"/>
      </w:pPr>
      <w:r>
        <w:t xml:space="preserve">Positions on scale and incumbency. Does prospective + retrospective + suspecting from one application.</w:t>
      </w:r>
    </w:p>
    <w:p>
      <w:pPr>
        <w:pStyle w:val="ListParagraph"/>
        <w:numPr>
          <w:ilvl w:val="0"/>
          <w:numId w:val="2"/>
        </w:numPr>
        <w:spacing w:after="40" w:before="40"/>
      </w:pPr>
      <w:r>
        <w:rPr>
          <w:b/>
          <w:bCs/>
        </w:rPr>
        <w:t xml:space="preserve">Real weakness for Martlet to attack: </w:t>
      </w:r>
      <w:r>
        <w:t xml:space="preserve">owned by a competitor (UnitedHealth/Optum is itself a payer). Many non-UHG payers and provider systems are uncomfortable handing PHI and risk-adjustment intelligence to a direct competitor's parent company. This is a quiet but real source of churn.</w:t>
      </w:r>
    </w:p>
    <w:p>
      <w:pPr>
        <w:pStyle w:val="Heading3"/>
        <w:spacing w:after="100" w:before="220"/>
      </w:pPr>
      <w:r>
        <w:t xml:space="preserve">Solventum (formerly 3M Health Information Systems)</w:t>
      </w:r>
    </w:p>
    <w:p>
      <w:pPr>
        <w:pStyle w:val="ListParagraph"/>
        <w:numPr>
          <w:ilvl w:val="0"/>
          <w:numId w:val="2"/>
        </w:numPr>
        <w:spacing w:after="40" w:before="40"/>
      </w:pPr>
      <w:r>
        <w:t xml:space="preserve">Spun out of 3M as an independent company in April 2024.</w:t>
      </w:r>
    </w:p>
    <w:p>
      <w:pPr>
        <w:pStyle w:val="ListParagraph"/>
        <w:numPr>
          <w:ilvl w:val="0"/>
          <w:numId w:val="2"/>
        </w:numPr>
        <w:spacing w:after="40" w:before="40"/>
      </w:pPr>
      <w:r>
        <w:t xml:space="preserve">"Four decades of coding expertise." Pitches reliability, enterprise scale, standardized documentation.</w:t>
      </w:r>
    </w:p>
    <w:p>
      <w:pPr>
        <w:pStyle w:val="ListParagraph"/>
        <w:numPr>
          <w:ilvl w:val="0"/>
          <w:numId w:val="2"/>
        </w:numPr>
        <w:spacing w:after="40" w:before="40"/>
      </w:pPr>
      <w:r>
        <w:t xml:space="preserve">360 Encompass System supports both CMS-HCC and HHS-HCC.</w:t>
      </w:r>
    </w:p>
    <w:p>
      <w:pPr>
        <w:pStyle w:val="ListParagraph"/>
        <w:numPr>
          <w:ilvl w:val="0"/>
          <w:numId w:val="2"/>
        </w:numPr>
        <w:spacing w:after="40" w:before="40"/>
      </w:pPr>
      <w:r>
        <w:rPr>
          <w:b/>
          <w:bCs/>
        </w:rPr>
        <w:t xml:space="preserve">Real weakness for Martlet to attack: </w:t>
      </w:r>
      <w:r>
        <w:t xml:space="preserve">their own marketing language now concedes the gap — industry analysts describe Solventum as "best suited for organizations that value proven enterprise reliability" while "organizations seeking cutting-edge AI autonomy may find newer entrants offer more advanced automation." The honest read: Solventum is what risk-adjustment teams use because they always have, not because it's the most accurate AI today.</w:t>
      </w:r>
    </w:p>
    <w:p>
      <w:pPr>
        <w:pStyle w:val="Heading3"/>
        <w:spacing w:after="100" w:before="220"/>
      </w:pPr>
      <w:r>
        <w:t xml:space="preserve">Inovalon</w:t>
      </w:r>
    </w:p>
    <w:p>
      <w:pPr>
        <w:pStyle w:val="ListParagraph"/>
        <w:numPr>
          <w:ilvl w:val="0"/>
          <w:numId w:val="2"/>
        </w:numPr>
        <w:spacing w:after="40" w:before="40"/>
      </w:pPr>
      <w:r>
        <w:t xml:space="preserve">Cloud-based, data-rich. Markets the size of its longitudinal dataset.</w:t>
      </w:r>
    </w:p>
    <w:p>
      <w:pPr>
        <w:pStyle w:val="ListParagraph"/>
        <w:numPr>
          <w:ilvl w:val="0"/>
          <w:numId w:val="2"/>
        </w:numPr>
        <w:spacing w:after="40" w:before="40"/>
      </w:pPr>
      <w:r>
        <w:t xml:space="preserve">Population-level analytics oriented; broad value-based-care suite.</w:t>
      </w:r>
    </w:p>
    <w:p>
      <w:pPr>
        <w:pStyle w:val="ListParagraph"/>
        <w:numPr>
          <w:ilvl w:val="0"/>
          <w:numId w:val="2"/>
        </w:numPr>
        <w:spacing w:after="40" w:before="40"/>
      </w:pPr>
      <w:r>
        <w:rPr>
          <w:b/>
          <w:bCs/>
        </w:rPr>
        <w:t xml:space="preserve">Real weakness for Martlet to attack: </w:t>
      </w:r>
      <w:r>
        <w:t xml:space="preserve">data-platform-first, NLP-second. The clinical NLP underneath their HCC suggestions is not best-in-class and they don't claim it is.</w:t>
      </w:r>
    </w:p>
    <w:p>
      <w:pPr>
        <w:pStyle w:val="Heading3"/>
        <w:spacing w:after="100" w:before="220"/>
      </w:pPr>
      <w:r>
        <w:t xml:space="preserve">Datavant</w:t>
      </w:r>
    </w:p>
    <w:p>
      <w:pPr>
        <w:pStyle w:val="ListParagraph"/>
        <w:numPr>
          <w:ilvl w:val="0"/>
          <w:numId w:val="2"/>
        </w:numPr>
        <w:spacing w:after="40" w:before="40"/>
      </w:pPr>
      <w:r>
        <w:t xml:space="preserve">Strong on interoperability and chart retrieval — sits between payer and provider systems.</w:t>
      </w:r>
    </w:p>
    <w:p>
      <w:pPr>
        <w:pStyle w:val="ListParagraph"/>
        <w:numPr>
          <w:ilvl w:val="0"/>
          <w:numId w:val="2"/>
        </w:numPr>
        <w:spacing w:after="40" w:before="40"/>
      </w:pPr>
      <w:r>
        <w:rPr>
          <w:b/>
          <w:bCs/>
        </w:rPr>
        <w:t xml:space="preserve">Real weakness for Martlet to attack: </w:t>
      </w:r>
      <w:r>
        <w:t xml:space="preserve">primarily a data-movement and tokenization story. The HCC-coding accuracy is not their lead.</w:t>
      </w:r>
    </w:p>
    <w:p>
      <w:pPr>
        <w:pStyle w:val="Heading2"/>
        <w:spacing w:after="140" w:before="280"/>
      </w:pPr>
      <w:r>
        <w:t xml:space="preserve">Category 2 — AI-native pure plays</w:t>
      </w:r>
    </w:p>
    <w:p>
      <w:pPr>
        <w:spacing w:after="80" w:before="80"/>
      </w:pPr>
      <w:r>
        <w:t xml:space="preserve">These are the companies that built specifically for AI-driven HCC coding, mostly post-2018. They are Martlet AI's most direct competitors and deserve the most attention.</w:t>
      </w:r>
    </w:p>
    <w:p>
      <w:pPr>
        <w:pStyle w:val="Heading3"/>
        <w:spacing w:after="100" w:before="220"/>
      </w:pPr>
      <w:r>
        <w:t xml:space="preserve">Apixio</w:t>
      </w:r>
    </w:p>
    <w:p>
      <w:pPr>
        <w:pStyle w:val="ListParagraph"/>
        <w:numPr>
          <w:ilvl w:val="0"/>
          <w:numId w:val="2"/>
        </w:numPr>
        <w:spacing w:after="40" w:before="40"/>
      </w:pPr>
      <w:r>
        <w:t xml:space="preserve">Founded 2009. "Patented NLP and machine learning." Trained on "millions of charts."</w:t>
      </w:r>
    </w:p>
    <w:p>
      <w:pPr>
        <w:pStyle w:val="ListParagraph"/>
        <w:numPr>
          <w:ilvl w:val="0"/>
          <w:numId w:val="2"/>
        </w:numPr>
        <w:spacing w:after="40" w:before="40"/>
      </w:pPr>
      <w:r>
        <w:t xml:space="preserve">HCC Complete (retrospective coding) and HCC Auditor (compliance review) are their core risk adjustment products.</w:t>
      </w:r>
    </w:p>
    <w:p>
      <w:pPr>
        <w:pStyle w:val="ListParagraph"/>
        <w:numPr>
          <w:ilvl w:val="0"/>
          <w:numId w:val="2"/>
        </w:numPr>
        <w:spacing w:after="40" w:before="40"/>
      </w:pPr>
      <w:r>
        <w:t xml:space="preserve">Cloud-only SaaS deployment. No on-prem option.</w:t>
      </w:r>
    </w:p>
    <w:p>
      <w:pPr>
        <w:pStyle w:val="ListParagraph"/>
        <w:numPr>
          <w:ilvl w:val="0"/>
          <w:numId w:val="2"/>
        </w:numPr>
        <w:spacing w:after="40" w:before="40"/>
      </w:pPr>
      <w:r>
        <w:rPr>
          <w:b/>
          <w:bCs/>
        </w:rPr>
        <w:t xml:space="preserve">Real weaknesses for Martlet to attack: </w:t>
      </w:r>
      <w:r>
        <w:t xml:space="preserve">(1) cloud-only — they cannot run inside a customer's environment. (2) the AI is older-generation NLP, not LLM-based. (3) implementation is described as "lengthy due to the complexity of integrating disparate enterprise data sources." (4) ownership is now with The Rawlings Group / payment integrity holding company, not a healthcare-AI-first entity.</w:t>
      </w:r>
    </w:p>
    <w:p>
      <w:pPr>
        <w:pStyle w:val="Heading3"/>
        <w:spacing w:after="100" w:before="220"/>
      </w:pPr>
      <w:r>
        <w:t xml:space="preserve">Reveleer</w:t>
      </w:r>
    </w:p>
    <w:p>
      <w:pPr>
        <w:pStyle w:val="ListParagraph"/>
        <w:numPr>
          <w:ilvl w:val="0"/>
          <w:numId w:val="2"/>
        </w:numPr>
        <w:spacing w:after="40" w:before="40"/>
      </w:pPr>
      <w:r>
        <w:t xml:space="preserve">"EVE" (Evidence Validation Engine). Claims "up to 99% accuracy" identifying missed diagnoses.</w:t>
      </w:r>
    </w:p>
    <w:p>
      <w:pPr>
        <w:pStyle w:val="ListParagraph"/>
        <w:numPr>
          <w:ilvl w:val="0"/>
          <w:numId w:val="2"/>
        </w:numPr>
        <w:spacing w:after="40" w:before="40"/>
      </w:pPr>
      <w:r>
        <w:t xml:space="preserve">Processed "1.1 billion pages of medical charts" in a recent year. Claims 42.5% reduction in coding duration.</w:t>
      </w:r>
    </w:p>
    <w:p>
      <w:pPr>
        <w:pStyle w:val="ListParagraph"/>
        <w:numPr>
          <w:ilvl w:val="0"/>
          <w:numId w:val="2"/>
        </w:numPr>
        <w:spacing w:after="40" w:before="40"/>
      </w:pPr>
      <w:r>
        <w:t xml:space="preserve">Strong retrospective and audit-readiness positioning. Single platform for retrospective + prospective + quality + member management.</w:t>
      </w:r>
    </w:p>
    <w:p>
      <w:pPr>
        <w:pStyle w:val="ListParagraph"/>
        <w:numPr>
          <w:ilvl w:val="0"/>
          <w:numId w:val="2"/>
        </w:numPr>
        <w:spacing w:after="40" w:before="40"/>
      </w:pPr>
      <w:r>
        <w:rPr>
          <w:b/>
          <w:bCs/>
        </w:rPr>
        <w:t xml:space="preserve">Real weaknesses for Martlet to attack: </w:t>
      </w:r>
      <w:r>
        <w:t xml:space="preserve">(1) cloud SaaS only. (2) "AI-assisted workflows" — their own language. The Reveleer model still relies heavily on human coders working inside the platform. (3) accuracy claims are vendor-published; not peer-reviewed.</w:t>
      </w:r>
    </w:p>
    <w:p>
      <w:pPr>
        <w:pStyle w:val="Heading3"/>
        <w:spacing w:after="100" w:before="220"/>
      </w:pPr>
      <w:r>
        <w:t xml:space="preserve">RAAPID</w:t>
      </w:r>
    </w:p>
    <w:p>
      <w:pPr>
        <w:pStyle w:val="ListParagraph"/>
        <w:numPr>
          <w:ilvl w:val="0"/>
          <w:numId w:val="2"/>
        </w:numPr>
        <w:spacing w:after="40" w:before="40"/>
      </w:pPr>
      <w:r>
        <w:t xml:space="preserve">"Neuro-Symbolic AI" is the entire pitch — combining neural pattern recognition with symbolic clinical reasoning to get explainable HCC suggestions.</w:t>
      </w:r>
    </w:p>
    <w:p>
      <w:pPr>
        <w:pStyle w:val="ListParagraph"/>
        <w:numPr>
          <w:ilvl w:val="0"/>
          <w:numId w:val="2"/>
        </w:numPr>
        <w:spacing w:after="40" w:before="40"/>
      </w:pPr>
      <w:r>
        <w:t xml:space="preserve">Aggressive thought-leadership content marketing (the search results above include four RAAPID-published competitive analyses).</w:t>
      </w:r>
    </w:p>
    <w:p>
      <w:pPr>
        <w:pStyle w:val="ListParagraph"/>
        <w:numPr>
          <w:ilvl w:val="0"/>
          <w:numId w:val="2"/>
        </w:numPr>
        <w:spacing w:after="40" w:before="40"/>
      </w:pPr>
      <w:r>
        <w:t xml:space="preserve">Claims program timeline reduction "from months to days" and 40%+ cost reduction.</w:t>
      </w:r>
    </w:p>
    <w:p>
      <w:pPr>
        <w:pStyle w:val="ListParagraph"/>
        <w:numPr>
          <w:ilvl w:val="0"/>
          <w:numId w:val="2"/>
        </w:numPr>
        <w:spacing w:after="40" w:before="40"/>
      </w:pPr>
      <w:r>
        <w:rPr>
          <w:b/>
          <w:bCs/>
        </w:rPr>
        <w:t xml:space="preserve">Real weaknesses for Martlet to attack: </w:t>
      </w:r>
      <w:r>
        <w:t xml:space="preserve">(1) the "neuro-symbolic" framing is a marketing wrapper around what is functionally NLP + rules engines — Martlet's healthcare-specific LLMs do the same job natively. (2) cloud-hosted; on-prem is limited. (3) less established customer base than the legacy vendors.</w:t>
      </w:r>
    </w:p>
    <w:p>
      <w:pPr>
        <w:pStyle w:val="Heading3"/>
        <w:spacing w:after="100" w:before="220"/>
      </w:pPr>
      <w:r>
        <w:t xml:space="preserve">Navina</w:t>
      </w:r>
    </w:p>
    <w:p>
      <w:pPr>
        <w:pStyle w:val="ListParagraph"/>
        <w:numPr>
          <w:ilvl w:val="0"/>
          <w:numId w:val="2"/>
        </w:numPr>
        <w:spacing w:after="40" w:before="40"/>
      </w:pPr>
      <w:r>
        <w:t xml:space="preserve">Prospective / point-of-care first. Lives inside the EHR as a clinician copilot.</w:t>
      </w:r>
    </w:p>
    <w:p>
      <w:pPr>
        <w:pStyle w:val="ListParagraph"/>
        <w:numPr>
          <w:ilvl w:val="0"/>
          <w:numId w:val="2"/>
        </w:numPr>
        <w:spacing w:after="40" w:before="40"/>
      </w:pPr>
      <w:r>
        <w:t xml:space="preserve">Strong on physician UX. Israeli founders, US headquarters.</w:t>
      </w:r>
    </w:p>
    <w:p>
      <w:pPr>
        <w:pStyle w:val="ListParagraph"/>
        <w:numPr>
          <w:ilvl w:val="0"/>
          <w:numId w:val="2"/>
        </w:numPr>
        <w:spacing w:after="40" w:before="40"/>
      </w:pPr>
      <w:r>
        <w:rPr>
          <w:b/>
          <w:bCs/>
        </w:rPr>
        <w:t xml:space="preserve">Real weaknesses for Martlet to attack: </w:t>
      </w:r>
      <w:r>
        <w:t xml:space="preserve">(1) prospective-only — does not handle retrospective or RADV at scale, which are the higher-revenue workflows. (2) cloud-hosted.</w:t>
      </w:r>
    </w:p>
    <w:p>
      <w:pPr>
        <w:pStyle w:val="Heading3"/>
        <w:spacing w:after="100" w:before="220"/>
      </w:pPr>
      <w:r>
        <w:t xml:space="preserve">CodaMetrix</w:t>
      </w:r>
    </w:p>
    <w:p>
      <w:pPr>
        <w:pStyle w:val="ListParagraph"/>
        <w:numPr>
          <w:ilvl w:val="0"/>
          <w:numId w:val="2"/>
        </w:numPr>
        <w:spacing w:after="40" w:before="40"/>
      </w:pPr>
      <w:r>
        <w:t xml:space="preserve">"Autonomous coding" pitch — claims to remove humans from the loop entirely. $40M Series B in 2024.</w:t>
      </w:r>
    </w:p>
    <w:p>
      <w:pPr>
        <w:pStyle w:val="ListParagraph"/>
        <w:numPr>
          <w:ilvl w:val="0"/>
          <w:numId w:val="2"/>
        </w:numPr>
        <w:spacing w:after="40" w:before="40"/>
      </w:pPr>
      <w:r>
        <w:rPr>
          <w:b/>
          <w:bCs/>
        </w:rPr>
        <w:t xml:space="preserve">Real weaknesses for Martlet to attack: </w:t>
      </w:r>
      <w:r>
        <w:t xml:space="preserve">the autonomous-coding claim does not survive RADV scrutiny — auditors increasingly demand reasoning trails, and pure deep-learning systems struggle to provide them. This is a real category-positioning risk for CodaMetrix that Martlet's MEAT-aware, citation-linked approach directly answers.</w:t>
      </w:r>
    </w:p>
    <w:p>
      <w:pPr>
        <w:pStyle w:val="Heading3"/>
        <w:spacing w:after="100" w:before="220"/>
      </w:pPr>
      <w:r>
        <w:t xml:space="preserve">ForeSee Medical</w:t>
      </w:r>
    </w:p>
    <w:p>
      <w:pPr>
        <w:pStyle w:val="ListParagraph"/>
        <w:numPr>
          <w:ilvl w:val="0"/>
          <w:numId w:val="2"/>
        </w:numPr>
        <w:spacing w:after="40" w:before="40"/>
      </w:pPr>
      <w:r>
        <w:t xml:space="preserve">Mid-market provider-focused. Disease-discovery framing ("finds 4× more new conditions than recapture alone").</w:t>
      </w:r>
    </w:p>
    <w:p>
      <w:pPr>
        <w:pStyle w:val="ListParagraph"/>
        <w:numPr>
          <w:ilvl w:val="0"/>
          <w:numId w:val="2"/>
        </w:numPr>
        <w:spacing w:after="40" w:before="40"/>
      </w:pPr>
      <w:r>
        <w:t xml:space="preserve">Solid on usability. Cloud SaaS.</w:t>
      </w:r>
    </w:p>
    <w:p>
      <w:pPr>
        <w:pStyle w:val="Heading3"/>
        <w:spacing w:after="100" w:before="220"/>
      </w:pPr>
      <w:r>
        <w:t xml:space="preserve">Aptarro</w:t>
      </w:r>
    </w:p>
    <w:p>
      <w:pPr>
        <w:pStyle w:val="ListParagraph"/>
        <w:numPr>
          <w:ilvl w:val="0"/>
          <w:numId w:val="2"/>
        </w:numPr>
        <w:spacing w:after="40" w:before="40"/>
      </w:pPr>
      <w:r>
        <w:t xml:space="preserve">"HCC Coding Engine" — AI + automation + analytics. Aggressive content marketing.</w:t>
      </w:r>
    </w:p>
    <w:p>
      <w:pPr>
        <w:pStyle w:val="ListParagraph"/>
        <w:numPr>
          <w:ilvl w:val="0"/>
          <w:numId w:val="2"/>
        </w:numPr>
        <w:spacing w:after="40" w:before="40"/>
      </w:pPr>
      <w:r>
        <w:t xml:space="preserve">Provider-focused, mid-market. Cloud SaaS.</w:t>
      </w:r>
    </w:p>
    <w:p>
      <w:pPr>
        <w:pStyle w:val="Heading2"/>
        <w:spacing w:after="140" w:before="280"/>
      </w:pPr>
      <w:r>
        <w:t xml:space="preserve">Category 3 — Hybrid services + software</w:t>
      </w:r>
    </w:p>
    <w:p>
      <w:pPr>
        <w:spacing w:after="80" w:before="80"/>
      </w:pPr>
      <w:r>
        <w:t xml:space="preserve">These vendors sell software wrapped in services — coders, in-office staff, retrieval teams. The pitch is that the buyer doesn't need to do anything; the vendor does it for them.</w:t>
      </w:r>
    </w:p>
    <w:p>
      <w:pPr>
        <w:pStyle w:val="Heading3"/>
        <w:spacing w:after="100" w:before="220"/>
      </w:pPr>
      <w:r>
        <w:t xml:space="preserve">Vatica Health</w:t>
      </w:r>
    </w:p>
    <w:p>
      <w:pPr>
        <w:pStyle w:val="ListParagraph"/>
        <w:numPr>
          <w:ilvl w:val="0"/>
          <w:numId w:val="2"/>
        </w:numPr>
        <w:spacing w:after="40" w:before="40"/>
      </w:pPr>
      <w:r>
        <w:t xml:space="preserve">Won "Best in KLAS for Risk Adjustment Software and Professional Services" three years running (2023, 2024, 2025).</w:t>
      </w:r>
    </w:p>
    <w:p>
      <w:pPr>
        <w:pStyle w:val="ListParagraph"/>
        <w:numPr>
          <w:ilvl w:val="0"/>
          <w:numId w:val="2"/>
        </w:numPr>
        <w:spacing w:after="40" w:before="40"/>
      </w:pPr>
      <w:r>
        <w:t xml:space="preserve">Hybrid model: software + licensed nurses + clinical validation auditors deployed into provider practices.</w:t>
      </w:r>
    </w:p>
    <w:p>
      <w:pPr>
        <w:pStyle w:val="ListParagraph"/>
        <w:numPr>
          <w:ilvl w:val="0"/>
          <w:numId w:val="2"/>
        </w:numPr>
        <w:spacing w:after="40" w:before="40"/>
      </w:pPr>
      <w:r>
        <w:t xml:space="preserve">Claims 12-16% accuracy/specificity lift.</w:t>
      </w:r>
    </w:p>
    <w:p>
      <w:pPr>
        <w:pStyle w:val="ListParagraph"/>
        <w:numPr>
          <w:ilvl w:val="0"/>
          <w:numId w:val="2"/>
        </w:numPr>
        <w:spacing w:after="40" w:before="40"/>
      </w:pPr>
      <w:r>
        <w:rPr>
          <w:b/>
          <w:bCs/>
        </w:rPr>
        <w:t xml:space="preserve">Real weakness for Martlet to attack: </w:t>
      </w:r>
      <w:r>
        <w:t xml:space="preserve">fundamentally a services business with software attached. Expensive, hard to scale, and creates the in-house-vs-outsource conflict described below.</w:t>
      </w:r>
    </w:p>
    <w:p>
      <w:pPr>
        <w:pStyle w:val="Heading3"/>
        <w:spacing w:after="100" w:before="220"/>
      </w:pPr>
      <w:r>
        <w:t xml:space="preserve">Episource (now part of Optum)</w:t>
      </w:r>
    </w:p>
    <w:p>
      <w:pPr>
        <w:pStyle w:val="ListParagraph"/>
        <w:numPr>
          <w:ilvl w:val="0"/>
          <w:numId w:val="2"/>
        </w:numPr>
        <w:spacing w:after="40" w:before="40"/>
      </w:pPr>
      <w:r>
        <w:t xml:space="preserve">Coding-services-first business now bundled into Optum.</w:t>
      </w:r>
    </w:p>
    <w:p>
      <w:pPr>
        <w:pStyle w:val="ListParagraph"/>
        <w:numPr>
          <w:ilvl w:val="0"/>
          <w:numId w:val="2"/>
        </w:numPr>
        <w:spacing w:after="40" w:before="40"/>
      </w:pPr>
      <w:r>
        <w:t xml:space="preserve">Like Vatica, fundamentally a coding-services vendor whose customers pay for human coders + workflow tooling.</w:t>
      </w:r>
    </w:p>
    <w:p>
      <w:pPr>
        <w:pStyle w:val="Heading3"/>
        <w:spacing w:after="100" w:before="220"/>
      </w:pPr>
      <w:r>
        <w:t xml:space="preserve">GeBBS Healthcare Solutions / HCC Coders</w:t>
      </w:r>
    </w:p>
    <w:p>
      <w:pPr>
        <w:pStyle w:val="ListParagraph"/>
        <w:numPr>
          <w:ilvl w:val="0"/>
          <w:numId w:val="2"/>
        </w:numPr>
        <w:spacing w:after="40" w:before="40"/>
      </w:pPr>
      <w:r>
        <w:t xml:space="preserve">Coding services bureaus that wrap their own software around contract labor (often offshore).</w:t>
      </w:r>
    </w:p>
    <w:p>
      <w:pPr>
        <w:pStyle w:val="ListParagraph"/>
        <w:numPr>
          <w:ilvl w:val="0"/>
          <w:numId w:val="2"/>
        </w:numPr>
        <w:spacing w:after="40" w:before="40"/>
      </w:pPr>
      <w:r>
        <w:rPr>
          <w:b/>
          <w:bCs/>
        </w:rPr>
        <w:t xml:space="preserve">Real weakness for Martlet to attack: </w:t>
      </w:r>
      <w:r>
        <w:t xml:space="preserve">the entire business model is the conflict of interest described in the next section. These vendors have a direct financial incentive to push HCCs aggressively because they're paid on volume or success commission.</w:t>
      </w:r>
    </w:p>
    <w:p>
      <w:pPr>
        <w:spacing w:after="60" w:before="60"/>
      </w:pPr>
      <w:r>
        <w:t xml:space="preserve"/>
      </w:r>
    </w:p>
    <w:p>
      <w:pPr>
        <w:spacing w:after="80" w:before="80"/>
      </w:pPr>
      <w:r>
        <w:t xml:space="preserve">Across all three categories, the pattern is consistent: nearly every competitor is either (a) cloud SaaS-only, (b) AI-assisted with humans still in the loop doing manual chart review, or (c) a services-first vendor wrapping software around coding labor. Almost no competitor combines healthcare-specific AI accuracy + on-premises/in-environment deployment + true workflow automation. That intersection is Martlet AI's defensible position.</w:t>
      </w:r>
    </w:p>
    <w:p>
      <w:r>
        <w:br w:type="page"/>
      </w:r>
    </w:p>
    <w:p>
      <w:pPr>
        <w:pStyle w:val="Heading1"/>
        <w:spacing w:after="180" w:before="360"/>
      </w:pPr>
      <w:r>
        <w:t xml:space="preserve">Sharpened differentiators for Martlet AI</w:t>
      </w:r>
    </w:p>
    <w:p>
      <w:pPr>
        <w:spacing w:after="80" w:before="80"/>
      </w:pPr>
      <w:r>
        <w:t xml:space="preserve">Based on the competitive map and the three differentiator themes you outlined, here is the recommended positioning. Each differentiator includes the underlying claim, the buyer pain it answers, the competitor it isolates, and proposed copy patterns the rebuild can use throughout the site.</w:t>
      </w:r>
    </w:p>
    <w:p>
      <w:pPr>
        <w:pStyle w:val="Heading2"/>
        <w:spacing w:after="140" w:before="280"/>
      </w:pPr>
      <w:r>
        <w:t xml:space="preserve">Differentiator 1 — Regulatory-grade accuracy from healthcare-specific AI</w:t>
      </w:r>
    </w:p>
    <w:p>
      <w:pPr>
        <w:pStyle w:val="Heading3"/>
        <w:spacing w:after="100" w:before="220"/>
      </w:pPr>
      <w:r>
        <w:t xml:space="preserve">The claim</w:t>
      </w:r>
    </w:p>
    <w:p>
      <w:pPr>
        <w:spacing w:after="80" w:before="80"/>
      </w:pPr>
      <w:r>
        <w:t xml:space="preserve">Martlet AI is built on healthcare-specific medical language models, developed and validated by John Snow Labs — the team that built the production Medical LLM and Healthcare NLP stack used by 500+ enterprise healthcare and life-sciences customers and ranked #1 on 12 of 13 medical benchmarks against frontier general-purpose LLMs. Risk adjustment is too high-stakes for general-purpose AI; it is also too high-volume for AI-assisted workflows that still require human coders to chase every suggestion.</w:t>
      </w:r>
    </w:p>
    <w:p>
      <w:pPr>
        <w:pStyle w:val="Heading3"/>
        <w:spacing w:after="100" w:before="220"/>
      </w:pPr>
      <w:r>
        <w:t xml:space="preserve">The buyer pain</w:t>
      </w:r>
    </w:p>
    <w:p>
      <w:pPr>
        <w:spacing w:after="80" w:before="80"/>
      </w:pPr>
      <w:r>
        <w:t xml:space="preserve">Risk-adjustment leaders are caught between two failure modes:</w:t>
      </w:r>
    </w:p>
    <w:p>
      <w:pPr>
        <w:pStyle w:val="ListParagraph"/>
        <w:numPr>
          <w:ilvl w:val="0"/>
          <w:numId w:val="2"/>
        </w:numPr>
        <w:spacing w:after="40" w:before="40"/>
      </w:pPr>
      <w:r>
        <w:t xml:space="preserve">Generic LLMs (GPT-4, Claude, Gemini) miss MEAT criteria, hallucinate dates and providers, and cannot be audited at the encounter level. They are not built for HCC v28 mappings or payment-year discipline.</w:t>
      </w:r>
    </w:p>
    <w:p>
      <w:pPr>
        <w:pStyle w:val="ListParagraph"/>
        <w:numPr>
          <w:ilvl w:val="0"/>
          <w:numId w:val="2"/>
        </w:numPr>
        <w:spacing w:after="40" w:before="40"/>
      </w:pPr>
      <w:r>
        <w:t xml:space="preserve">Older NLP + rules engines (most legacy vendors) work, but require so much manual review that the "AI" is mostly a faster way to put work in front of human coders. The accuracy gain is real; the cost and consistency gain is not.</w:t>
      </w:r>
    </w:p>
    <w:p>
      <w:pPr>
        <w:pStyle w:val="Heading3"/>
        <w:spacing w:after="100" w:before="220"/>
      </w:pPr>
      <w:r>
        <w:t xml:space="preserve">Why Martlet AI's position is defensible</w:t>
      </w:r>
    </w:p>
    <w:p>
      <w:pPr>
        <w:spacing w:after="80" w:before="80"/>
      </w:pPr>
      <w:r>
        <w:t xml:space="preserve">Healthcare-specific medical language models are different from "AI applied to healthcare." The models that drive Martlet AI are trained on real clinical documentation, validated by clinicians, peer-reviewed in published benchmarks, and engineered for the specific structure of risk-adjustment work — MEAT validation, payment-year HCC mapping, page-level evidence linking, audit logs that survive RADV scrutiny.</w:t>
      </w:r>
    </w:p>
    <w:p>
      <w:pPr>
        <w:spacing w:after="80" w:before="80"/>
      </w:pPr>
      <w:r>
        <w:t xml:space="preserve">This is the position that Apixio, Reveleer, RAAPID, Navina, and CodaMetrix cannot match without rebuilding their AI stack from the ground up, because they don't own the underlying medical language model — they license general-purpose AI from cloud providers and add a thin healthcare wrapper. Martlet AI inherits John Snow Labs' eight years of healthcare-specific model development.</w:t>
      </w:r>
    </w:p>
    <w:p>
      <w:pPr>
        <w:pStyle w:val="Heading3"/>
        <w:spacing w:after="100" w:before="220"/>
      </w:pPr>
      <w:r>
        <w:t xml:space="preserve">Recommended language</w:t>
      </w:r>
    </w:p>
    <w:p>
      <w:pPr>
        <w:pStyle w:val="ListParagraph"/>
        <w:numPr>
          <w:ilvl w:val="0"/>
          <w:numId w:val="2"/>
        </w:numPr>
        <w:spacing w:after="40" w:before="40"/>
      </w:pPr>
      <w:r>
        <w:rPr>
          <w:b/>
          <w:bCs/>
        </w:rPr>
        <w:t xml:space="preserve">Use: </w:t>
      </w:r>
      <w:r>
        <w:t xml:space="preserve">"regulatory-grade accuracy," "healthcare-specific medical language models," "trained on clinical documentation," "peer-reviewed," "clinically validated," "MEAT-aware," "audit-defensible," "page-level evidence," "engineered for risk adjustment," "built on the production stack used by [N]+ healthcare organizations."</w:t>
      </w:r>
    </w:p>
    <w:p>
      <w:pPr>
        <w:pStyle w:val="ListParagraph"/>
        <w:numPr>
          <w:ilvl w:val="0"/>
          <w:numId w:val="2"/>
        </w:numPr>
        <w:spacing w:after="40" w:before="40"/>
      </w:pPr>
      <w:r>
        <w:rPr>
          <w:b/>
          <w:bCs/>
        </w:rPr>
        <w:t xml:space="preserve">Avoid: </w:t>
      </w:r>
      <w:r>
        <w:t xml:space="preserve">"AI-powered" (empty modifier), "state-of-the-art" (claim with no evidence), "AI-assisted" (this is the language of vendors who still rely on human coders to do the work), "breakthrough," "revolutionary." These are exactly what the competitors say.</w:t>
      </w:r>
    </w:p>
    <w:p>
      <w:pPr>
        <w:pStyle w:val="Heading2"/>
        <w:spacing w:after="140" w:before="280"/>
      </w:pPr>
      <w:r>
        <w:t xml:space="preserve">Differentiator 2 — Take HCC coding in-house</w:t>
      </w:r>
    </w:p>
    <w:p>
      <w:pPr>
        <w:pStyle w:val="Heading3"/>
        <w:spacing w:after="100" w:before="220"/>
      </w:pPr>
      <w:r>
        <w:t xml:space="preserve">The claim</w:t>
      </w:r>
    </w:p>
    <w:p>
      <w:pPr>
        <w:spacing w:after="80" w:before="80"/>
      </w:pPr>
      <w:r>
        <w:t xml:space="preserve">Martlet AI runs entirely inside the customer's environment — on-premises, in private cloud, or air-gapped. It is the engine that lets a payer or provider take HCC coding back from outsourced services and run it as an internal capability, with their own people, their own data, and their own controls.</w:t>
      </w:r>
    </w:p>
    <w:p>
      <w:pPr>
        <w:pStyle w:val="Heading3"/>
        <w:spacing w:after="100" w:before="220"/>
      </w:pPr>
      <w:r>
        <w:t xml:space="preserve">The buyer pain</w:t>
      </w:r>
    </w:p>
    <w:p>
      <w:pPr>
        <w:spacing w:after="80" w:before="80"/>
      </w:pPr>
      <w:r>
        <w:t xml:space="preserve">Outsourcing HCC coding is expensive, opaque, and structurally conflicted:</w:t>
      </w:r>
    </w:p>
    <w:p>
      <w:pPr>
        <w:pStyle w:val="ListParagraph"/>
        <w:numPr>
          <w:ilvl w:val="0"/>
          <w:numId w:val="2"/>
        </w:numPr>
        <w:spacing w:after="40" w:before="40"/>
      </w:pPr>
      <w:r>
        <w:rPr>
          <w:b/>
          <w:bCs/>
        </w:rPr>
        <w:t xml:space="preserve">Cost. </w:t>
      </w:r>
      <w:r>
        <w:t xml:space="preserve">Coding-services vendors typically charge per chart reviewed, per HCC submitted, or as a percentage of recovered RAF. Across a Medicare Advantage book, this scales to seven- and eight-figure annual commitments.</w:t>
      </w:r>
    </w:p>
    <w:p>
      <w:pPr>
        <w:pStyle w:val="ListParagraph"/>
        <w:numPr>
          <w:ilvl w:val="0"/>
          <w:numId w:val="2"/>
        </w:numPr>
        <w:spacing w:after="40" w:before="40"/>
      </w:pPr>
      <w:r>
        <w:rPr>
          <w:b/>
          <w:bCs/>
        </w:rPr>
        <w:t xml:space="preserve">Conflict of interest. </w:t>
      </w:r>
      <w:r>
        <w:t xml:space="preserve">Vendors paid on success commission — a percentage of new RAF revenue captured — have a direct financial incentive to push the envelope on what they submit. The vendor takes their cut at submission. The health plan or risk-bearing provider takes the audit risk three years later, when CMS extrapolates a sample finding across the entire contract. The structural incentives point in opposite directions.</w:t>
      </w:r>
    </w:p>
    <w:p>
      <w:pPr>
        <w:pStyle w:val="ListParagraph"/>
        <w:numPr>
          <w:ilvl w:val="0"/>
          <w:numId w:val="2"/>
        </w:numPr>
        <w:spacing w:after="40" w:before="40"/>
      </w:pPr>
      <w:r>
        <w:rPr>
          <w:b/>
          <w:bCs/>
        </w:rPr>
        <w:t xml:space="preserve">Inconsistency. </w:t>
      </w:r>
      <w:r>
        <w:t xml:space="preserve">Outsourced coding teams turn over, change processes, and apply different documentation standards across vendors. Health plans running multiple vendors at once routinely see materially different HCC submission patterns by vendor. RADV auditors see the same patterns.</w:t>
      </w:r>
    </w:p>
    <w:p>
      <w:pPr>
        <w:pStyle w:val="ListParagraph"/>
        <w:numPr>
          <w:ilvl w:val="0"/>
          <w:numId w:val="2"/>
        </w:numPr>
        <w:spacing w:after="40" w:before="40"/>
      </w:pPr>
      <w:r>
        <w:rPr>
          <w:b/>
          <w:bCs/>
        </w:rPr>
        <w:t xml:space="preserve">Loss of institutional knowledge. </w:t>
      </w:r>
      <w:r>
        <w:t xml:space="preserve">Every clinical-documentation pattern, every provider-specific quirk, every validation rule lives in the vendor's tooling, not the customer's. When the contract ends, the knowledge leaves.</w:t>
      </w:r>
    </w:p>
    <w:p>
      <w:pPr>
        <w:pStyle w:val="Heading3"/>
        <w:spacing w:after="100" w:before="220"/>
      </w:pPr>
      <w:r>
        <w:t xml:space="preserve">Why Martlet AI's position is defensible</w:t>
      </w:r>
    </w:p>
    <w:p>
      <w:pPr>
        <w:spacing w:after="80" w:before="80"/>
      </w:pPr>
      <w:r>
        <w:t xml:space="preserve">Bringing HCC coding in-house is not a software preference — it is a structural strategic choice. The barriers that historically forced organizations to outsource (no qualified coders at scale, no AI capable of doing the work, no infrastructure for chart ingestion at volume) are exactly what Martlet AI removes. Cloud SaaS competitors cannot offer this. Their entire architecture assumes data leaves the customer's environment.</w:t>
      </w:r>
    </w:p>
    <w:p>
      <w:pPr>
        <w:pStyle w:val="Heading3"/>
        <w:spacing w:after="100" w:before="220"/>
      </w:pPr>
      <w:r>
        <w:t xml:space="preserve">Recommended language</w:t>
      </w:r>
    </w:p>
    <w:p>
      <w:pPr>
        <w:pStyle w:val="ListParagraph"/>
        <w:numPr>
          <w:ilvl w:val="0"/>
          <w:numId w:val="2"/>
        </w:numPr>
        <w:spacing w:after="40" w:before="40"/>
      </w:pPr>
      <w:r>
        <w:rPr>
          <w:b/>
          <w:bCs/>
        </w:rPr>
        <w:t xml:space="preserve">Use: </w:t>
      </w:r>
      <w:r>
        <w:t xml:space="preserve">"Take HCC coding in-house," "run inside your environment," "on-premises," "private cloud," "air-gapped," "data sovereignty," "PHI never leaves your network," "no external API dependencies," "your data, your rules, your audit trail," "no conflict of interest."</w:t>
      </w:r>
    </w:p>
    <w:p>
      <w:pPr>
        <w:pStyle w:val="ListParagraph"/>
        <w:numPr>
          <w:ilvl w:val="0"/>
          <w:numId w:val="2"/>
        </w:numPr>
        <w:spacing w:after="40" w:before="40"/>
      </w:pPr>
      <w:r>
        <w:rPr>
          <w:b/>
          <w:bCs/>
        </w:rPr>
        <w:t xml:space="preserve">Avoid: </w:t>
      </w:r>
      <w:r>
        <w:t xml:space="preserve">"cloud-native," "hosted," "managed service," "SaaS" — these are the words that signal "data leaves your environment" to a security or compliance buyer.</w:t>
      </w:r>
    </w:p>
    <w:p>
      <w:pPr>
        <w:pStyle w:val="Heading2"/>
        <w:spacing w:after="140" w:before="280"/>
      </w:pPr>
      <w:r>
        <w:t xml:space="preserve">Differentiator 3 — Workflow integration without added headcount</w:t>
      </w:r>
    </w:p>
    <w:p>
      <w:pPr>
        <w:pStyle w:val="Heading3"/>
        <w:spacing w:after="100" w:before="220"/>
      </w:pPr>
      <w:r>
        <w:t xml:space="preserve">The claim</w:t>
      </w:r>
    </w:p>
    <w:p>
      <w:pPr>
        <w:spacing w:after="80" w:before="80"/>
      </w:pPr>
      <w:r>
        <w:t xml:space="preserve">Because Martlet AI is fully automated end-to-end — ingestion, validation, MEAT-aware coding, evidence packaging, audit-trail recording — it integrates directly into existing operational workflows without requiring the customer to staff up. No coding team, no clinical documentation specialists added, no managed-service relationship.</w:t>
      </w:r>
    </w:p>
    <w:p>
      <w:pPr>
        <w:pStyle w:val="Heading3"/>
        <w:spacing w:after="100" w:before="220"/>
      </w:pPr>
      <w:r>
        <w:t xml:space="preserve">The buyer pain</w:t>
      </w:r>
    </w:p>
    <w:p>
      <w:pPr>
        <w:spacing w:after="80" w:before="80"/>
      </w:pPr>
      <w:r>
        <w:t xml:space="preserve">Most "AI risk adjustment" today is AI-assisted, not AI-native. The buyer ends up with:</w:t>
      </w:r>
    </w:p>
    <w:p>
      <w:pPr>
        <w:pStyle w:val="ListParagraph"/>
        <w:numPr>
          <w:ilvl w:val="0"/>
          <w:numId w:val="2"/>
        </w:numPr>
        <w:spacing w:after="40" w:before="40"/>
      </w:pPr>
      <w:r>
        <w:t xml:space="preserve">A new piece of software, plus</w:t>
      </w:r>
    </w:p>
    <w:p>
      <w:pPr>
        <w:pStyle w:val="ListParagraph"/>
        <w:numPr>
          <w:ilvl w:val="0"/>
          <w:numId w:val="2"/>
        </w:numPr>
        <w:spacing w:after="40" w:before="40"/>
      </w:pPr>
      <w:r>
        <w:t xml:space="preserve">A larger coding team to use it, or</w:t>
      </w:r>
    </w:p>
    <w:p>
      <w:pPr>
        <w:pStyle w:val="ListParagraph"/>
        <w:numPr>
          <w:ilvl w:val="0"/>
          <w:numId w:val="2"/>
        </w:numPr>
        <w:spacing w:after="40" w:before="40"/>
      </w:pPr>
      <w:r>
        <w:t xml:space="preserve">A managed-service contract with a coding vendor sitting on top of the software.</w:t>
      </w:r>
    </w:p>
    <w:p>
      <w:pPr>
        <w:spacing w:after="80" w:before="80"/>
      </w:pPr>
      <w:r>
        <w:t xml:space="preserve">Total cost of ownership goes up, not down. The organization is now paying for software AND people, with the same outsourcing dynamics described above. The AI does not actually replace the labor — it just makes the labor 30-40% faster. Which is why competitor pitches lead with "3× coding speed" and "42% reduction in coding duration": those numbers describe humans-with-AI, not AI.</w:t>
      </w:r>
    </w:p>
    <w:p>
      <w:pPr>
        <w:pStyle w:val="Heading3"/>
        <w:spacing w:after="100" w:before="220"/>
      </w:pPr>
      <w:r>
        <w:t xml:space="preserve">Why Martlet AI's position is defensible</w:t>
      </w:r>
    </w:p>
    <w:p>
      <w:pPr>
        <w:spacing w:after="80" w:before="80"/>
      </w:pPr>
      <w:r>
        <w:t xml:space="preserve">Healthcare-specific LLM accuracy + MEAT-aware validation + page-level evidence linking + audit logging is the combination that lets the AI handle the high-confidence majority of HCCs end-to-end, with humans focused only on the low-confidence exceptions. The EHR integration, the workflow exports, and the API surface all assume zero net new headcount on the customer's side. Competitors using older AI cannot make this claim because their accuracy floor isn't high enough.</w:t>
      </w:r>
    </w:p>
    <w:p>
      <w:pPr>
        <w:pStyle w:val="Heading3"/>
        <w:spacing w:after="100" w:before="220"/>
      </w:pPr>
      <w:r>
        <w:t xml:space="preserve">Recommended language</w:t>
      </w:r>
    </w:p>
    <w:p>
      <w:pPr>
        <w:pStyle w:val="ListParagraph"/>
        <w:numPr>
          <w:ilvl w:val="0"/>
          <w:numId w:val="2"/>
        </w:numPr>
        <w:spacing w:after="40" w:before="40"/>
      </w:pPr>
      <w:r>
        <w:rPr>
          <w:b/>
          <w:bCs/>
        </w:rPr>
        <w:t xml:space="preserve">Use: </w:t>
      </w:r>
      <w:r>
        <w:t xml:space="preserve">"fully automated," "workflow-integrated," "no added headcount," "exception-only review," "end-to-end," "behind your firewall," "two-way EHR integration," "high-confidence majority handled automatically," "reviewers focus on the exceptions."</w:t>
      </w:r>
    </w:p>
    <w:p>
      <w:pPr>
        <w:pStyle w:val="ListParagraph"/>
        <w:numPr>
          <w:ilvl w:val="0"/>
          <w:numId w:val="2"/>
        </w:numPr>
        <w:spacing w:after="40" w:before="40"/>
      </w:pPr>
      <w:r>
        <w:rPr>
          <w:b/>
          <w:bCs/>
        </w:rPr>
        <w:t xml:space="preserve">Avoid: </w:t>
      </w:r>
      <w:r>
        <w:t xml:space="preserve">"AI copilot," "AI-assisted," "productivity tool," "empowers your coders" — every one of these phrases concedes that humans are still doing most of the work. They're the language of the AI-assisted vendors Martlet AI is differentiating against.</w:t>
      </w:r>
    </w:p>
    <w:p>
      <w:pPr>
        <w:pStyle w:val="Heading2"/>
        <w:spacing w:after="140" w:before="280"/>
      </w:pPr>
      <w:r>
        <w:t xml:space="preserve">How the three differentiators work together</w:t>
      </w:r>
    </w:p>
    <w:p>
      <w:pPr>
        <w:spacing w:after="80" w:before="80"/>
      </w:pPr>
      <w:r>
        <w:t xml:space="preserve">Each differentiator answers a different vendor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Differentiator</w:t>
            </w:r>
          </w:p>
        </w:tc>
        <w:tc>
          <w:tcPr>
            <w:tcW w:type="dxa" w:w="312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Competitor it isolates</w:t>
            </w:r>
          </w:p>
        </w:tc>
        <w:tc>
          <w:tcPr>
            <w:tcW w:type="dxa" w:w="312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Buyer who responds</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Regulatory-grade accuracy from healthcare-specific AI</w:t>
            </w:r>
          </w:p>
        </w:tc>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Apixio, Reveleer, RAAPID, Navina, CodaMetrix (older AI or general-purpose LLMs)</w:t>
            </w:r>
          </w:p>
        </w:tc>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Compliance, AI governance, RADV-readiness leaders</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Take HCC coding in-house</w:t>
            </w:r>
          </w:p>
        </w:tc>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Optum / Episource, Vatica, GeBBS, HCC Coders, Apixio, Reveleer (cloud or services-first)</w:t>
            </w:r>
          </w:p>
        </w:tc>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CFOs, risk-adjustment VPs, security/IT</w:t>
            </w:r>
          </w:p>
        </w:tc>
      </w:tr>
      <w:tr>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Workflow integration without added headcount</w:t>
            </w:r>
          </w:p>
        </w:tc>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Vatica, Episource, GeBBS, Reveleer ("AI-assisted" with human coders in the loop)</w:t>
            </w:r>
          </w:p>
        </w:tc>
        <w:tc>
          <w:tcPr>
            <w:tcW w:type="dxa" w:w="312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COOs, operations leaders, risk-adjustment program owners</w:t>
            </w:r>
          </w:p>
        </w:tc>
      </w:tr>
    </w:tbl>
    <w:p>
      <w:pPr>
        <w:spacing w:after="60" w:before="60"/>
      </w:pPr>
      <w:r>
        <w:t xml:space="preserve"/>
      </w:r>
    </w:p>
    <w:p>
      <w:pPr>
        <w:spacing w:after="80" w:before="80"/>
      </w:pPr>
      <w:r>
        <w:t xml:space="preserve">The three are mutually reinforcing. The accuracy claim makes the in-house claim credible (you can only run coding in-house if the AI is good enough to actually code, not just suggest). The in-house claim makes the no-headcount claim credible (you only avoid headcount if the data and the workflow are inside your environment). The no-headcount claim is what makes the cost and conflict-of-interest argument bite.</w:t>
      </w:r>
    </w:p>
    <w:p>
      <w:pPr>
        <w:spacing w:after="80" w:before="80"/>
      </w:pPr>
      <w:r>
        <w:t xml:space="preserve">Together they describe a category Martlet AI can credibly own: regulatory-grade, in-house, fully automated risk adjustment. No competitor in any of the three buckets above can claim all three.</w:t>
      </w:r>
    </w:p>
    <w:p>
      <w:r>
        <w:br w:type="page"/>
      </w:r>
    </w:p>
    <w:p>
      <w:pPr>
        <w:pStyle w:val="Heading1"/>
        <w:spacing w:after="180" w:before="360"/>
      </w:pPr>
      <w:r>
        <w:t xml:space="preserve">Summary positioning statement</w:t>
      </w:r>
    </w:p>
    <w:p>
      <w:pPr>
        <w:spacing w:after="80" w:before="80"/>
      </w:pPr>
      <w:r>
        <w:t xml:space="preserve">This is the line the rest of the site can lean on. Use it (or a tightened variant) on the homepage hero, in the meta description, in the About page, and in the press boilerplate.</w:t>
      </w:r>
    </w:p>
    <w:p>
      <w:pPr>
        <w:spacing w:after="60" w:before="60"/>
      </w:pPr>
      <w:r>
        <w:t xml:space="preserve"/>
      </w:r>
    </w:p>
    <w:p>
      <w:pPr>
        <w:pBdr>
          <w:left w:val="single" w:color="1A365D" w:sz="24" w:space="8"/>
        </w:pBdr>
        <w:shd w:fill="F5F5F5" w:val="clear"/>
        <w:spacing w:after="120" w:before="120"/>
      </w:pPr>
      <w:r>
        <w:rPr>
          <w:i/>
          <w:iCs/>
          <w:sz w:val="26"/>
          <w:szCs w:val="26"/>
        </w:rPr>
        <w:t xml:space="preserve">Martlet AI is the regulatory-grade AI for risk adjustment. Built by John Snow Labs on the same healthcare-specific medical language models that power risk-adjustment, de-identification, and clinical NLP at 500+ healthcare organizations. Runs inside your environment — on-premises, private cloud, or air-gapped. Automates HCC coding end-to-end so health plans and risk-bearing providers can take risk adjustment back in-house, without adding coders, services contracts, or audit risk.</w:t>
      </w:r>
    </w:p>
    <w:p>
      <w:pPr>
        <w:spacing w:after="60" w:before="60"/>
      </w:pPr>
      <w:r>
        <w:t xml:space="preserve"/>
      </w:r>
    </w:p>
    <w:p>
      <w:pPr>
        <w:spacing w:after="80" w:before="80"/>
      </w:pPr>
      <w:r>
        <w:t xml:space="preserve">Tighter alternatives for shorter surfaces:</w:t>
      </w:r>
    </w:p>
    <w:p>
      <w:pPr>
        <w:pStyle w:val="ListParagraph"/>
        <w:numPr>
          <w:ilvl w:val="0"/>
          <w:numId w:val="2"/>
        </w:numPr>
        <w:spacing w:after="40" w:before="40"/>
      </w:pPr>
      <w:r>
        <w:rPr>
          <w:b/>
          <w:bCs/>
        </w:rPr>
        <w:t xml:space="preserve">Hero (one line): </w:t>
      </w:r>
      <w:r>
        <w:t xml:space="preserve">"Regulatory-grade risk adjustment, automated end-to-end and run inside your environment."</w:t>
      </w:r>
    </w:p>
    <w:p>
      <w:pPr>
        <w:pStyle w:val="ListParagraph"/>
        <w:numPr>
          <w:ilvl w:val="0"/>
          <w:numId w:val="2"/>
        </w:numPr>
        <w:spacing w:after="40" w:before="40"/>
      </w:pPr>
      <w:r>
        <w:rPr>
          <w:b/>
          <w:bCs/>
        </w:rPr>
        <w:t xml:space="preserve">Meta description: </w:t>
      </w:r>
      <w:r>
        <w:t xml:space="preserve">"Take HCC coding in-house. Martlet AI automates prospective, retrospective, and RADV workflows with healthcare-specific medical language models — running inside your environment, with audit-defensible evidence on every code."</w:t>
      </w:r>
    </w:p>
    <w:p>
      <w:pPr>
        <w:pStyle w:val="ListParagraph"/>
        <w:numPr>
          <w:ilvl w:val="0"/>
          <w:numId w:val="2"/>
        </w:numPr>
        <w:spacing w:after="40" w:before="40"/>
      </w:pPr>
      <w:r>
        <w:rPr>
          <w:b/>
          <w:bCs/>
        </w:rPr>
        <w:t xml:space="preserve">Press boilerplate: </w:t>
      </w:r>
      <w:r>
        <w:t xml:space="preserve">"Martlet AI automates HCC coding and risk-adjustment workflows for Medicare Advantage payers, ACOs, risk-bearing provider organizations, and revenue-cycle firms. A John Snow Labs company, Martlet AI is the only risk-adjustment platform that combines healthcare-specific medical language models, in-environment deployment, and end-to-end automation — letting customers take coding back in-house with audit-grade evidence on every HCC."</w:t>
      </w:r>
    </w:p>
    <w:p>
      <w:r>
        <w:br w:type="page"/>
      </w:r>
    </w:p>
    <w:p>
      <w:pPr>
        <w:pStyle w:val="Heading1"/>
        <w:spacing w:after="180" w:before="360"/>
      </w:pPr>
      <w:r>
        <w:t xml:space="preserve">Visual brand language</w:t>
      </w:r>
    </w:p>
    <w:p>
      <w:pPr>
        <w:spacing w:after="80" w:before="80"/>
      </w:pPr>
      <w:r>
        <w:t xml:space="preserve">The current site uses a generic healthcare-AI aesthetic — clinical blues, stylized illustrations of "AI brains" and "data flowing through systems," abstract decorative shapes, near-zero product imagery. This is the visual idiom every competitor is using, which means the visual brand is contributing roughly zero to differentiation. The brand voice work above gets undermined if the site looks like everyone else.</w:t>
      </w:r>
    </w:p>
    <w:p>
      <w:pPr>
        <w:spacing w:after="80" w:before="80"/>
      </w:pPr>
      <w:r>
        <w:t xml:space="preserve">These recommendations are scoped to keep the existing logo (the martlet bird) and adjust everything else: color, typography, photography, illustration, layout, motion, and component styling. The aim is to look like a serious technical infrastructure company — not a healthcare-AI startup.</w:t>
      </w:r>
    </w:p>
    <w:p>
      <w:pPr>
        <w:pStyle w:val="Heading2"/>
        <w:spacing w:after="140" w:before="280"/>
      </w:pPr>
      <w:r>
        <w:t xml:space="preserve">1. Color palette</w:t>
      </w:r>
    </w:p>
    <w:p>
      <w:pPr>
        <w:pStyle w:val="Heading3"/>
        <w:spacing w:after="100" w:before="220"/>
      </w:pPr>
      <w:r>
        <w:t xml:space="preserve">Move away from "healthcare blue"</w:t>
      </w:r>
    </w:p>
    <w:p>
      <w:pPr>
        <w:spacing w:after="80" w:before="80"/>
      </w:pPr>
      <w:r>
        <w:t xml:space="preserve">Pure cyan/healthcare-blue (#00ADEF, #0095D5 and similar) is the default of the category. Apixio, Reveleer, RAAPID, Navina, Inovalon all sit somewhere in that range. The Martlet logo uses a deep navy/indigo and a warm accent — that's already a more distinctive starting point than most competitors. Build on it.</w:t>
      </w:r>
    </w:p>
    <w:p>
      <w:pPr>
        <w:pStyle w:val="Heading3"/>
        <w:spacing w:after="100" w:before="220"/>
      </w:pPr>
      <w:r>
        <w:t xml:space="preserve">Recommended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300"/>
        <w:gridCol w:w="4360"/>
      </w:tblGrid>
      <w:tr>
        <w:trPr>
          <w:tblHeader/>
        </w:trPr>
        <w:tc>
          <w:tcPr>
            <w:tcW w:type="dxa" w:w="150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Role</w:t>
            </w:r>
          </w:p>
        </w:tc>
        <w:tc>
          <w:tcPr>
            <w:tcW w:type="dxa" w:w="220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Color</w:t>
            </w:r>
          </w:p>
        </w:tc>
        <w:tc>
          <w:tcPr>
            <w:tcW w:type="dxa" w:w="130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Hex</w:t>
            </w:r>
          </w:p>
        </w:tc>
        <w:tc>
          <w:tcPr>
            <w:tcW w:type="dxa" w:w="4360"/>
            <w:tcBorders>
              <w:top w:val="single" w:color="BDBDBD" w:sz="4"/>
              <w:left w:val="single" w:color="BDBDBD" w:sz="4"/>
              <w:bottom w:val="single" w:color="BDBDBD" w:sz="4"/>
              <w:right w:val="single" w:color="BDBDBD" w:sz="4"/>
            </w:tcBorders>
            <w:shd w:fill="263238" w:val="clear"/>
            <w:tcMar>
              <w:top w:type="dxa" w:w="120"/>
              <w:left w:type="dxa" w:w="140"/>
              <w:bottom w:type="dxa" w:w="120"/>
              <w:right w:type="dxa" w:w="140"/>
            </w:tcMar>
          </w:tcPr>
          <w:p>
            <w:r>
              <w:rPr>
                <w:b/>
                <w:bCs/>
                <w:color w:val="FFFFFF"/>
              </w:rPr>
              <w:t xml:space="preserve">When to use</w:t>
            </w:r>
          </w:p>
        </w:tc>
      </w:tr>
      <w:tr>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Primary brand</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Deep slate / dark navy</w:t>
            </w:r>
          </w:p>
        </w:tc>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#0F1F3A</w:t>
            </w:r>
          </w:p>
        </w:tc>
        <w:tc>
          <w:tcPr>
            <w:tcW w:type="dxa" w:w="43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Logo-adjacent backgrounds, primary text on light, hero gradients</w:t>
            </w:r>
          </w:p>
        </w:tc>
      </w:tr>
      <w:tr>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Secondary brand</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Warm amber (martlet-inspired)</w:t>
            </w:r>
          </w:p>
        </w:tc>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#D97706</w:t>
            </w:r>
          </w:p>
        </w:tc>
        <w:tc>
          <w:tcPr>
            <w:tcW w:type="dxa" w:w="43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Accent buttons, key statistic highlights, hover states</w:t>
            </w:r>
          </w:p>
        </w:tc>
      </w:tr>
      <w:tr>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Tertiary / data</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Forest green</w:t>
            </w:r>
          </w:p>
        </w:tc>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#0F766E</w:t>
            </w:r>
          </w:p>
        </w:tc>
        <w:tc>
          <w:tcPr>
            <w:tcW w:type="dxa" w:w="43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"Defensible" / "audit-passed" status, positive metrics</w:t>
            </w:r>
          </w:p>
        </w:tc>
      </w:tr>
      <w:tr>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Tertiary / alert</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Muted clay</w:t>
            </w:r>
          </w:p>
        </w:tc>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#B91C1C</w:t>
            </w:r>
          </w:p>
        </w:tc>
        <w:tc>
          <w:tcPr>
            <w:tcW w:type="dxa" w:w="43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"At-risk" / "unsupported" status, negative trends</w:t>
            </w:r>
          </w:p>
        </w:tc>
      </w:tr>
      <w:tr>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Neutral 1 (paper)</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Warm off-white</w:t>
            </w:r>
          </w:p>
        </w:tc>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#FAFAF7</w:t>
            </w:r>
          </w:p>
        </w:tc>
        <w:tc>
          <w:tcPr>
            <w:tcW w:type="dxa" w:w="43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Page background — softer than pure white, not sterile</w:t>
            </w:r>
          </w:p>
        </w:tc>
      </w:tr>
      <w:tr>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Neutral 2 (text)</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Near-black</w:t>
            </w:r>
          </w:p>
        </w:tc>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#0A0A0A</w:t>
            </w:r>
          </w:p>
        </w:tc>
        <w:tc>
          <w:tcPr>
            <w:tcW w:type="dxa" w:w="43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Body text</w:t>
            </w:r>
          </w:p>
        </w:tc>
      </w:tr>
      <w:tr>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Neutral 3 (rules)</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Stone gray</w:t>
            </w:r>
          </w:p>
        </w:tc>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#E7E5E4</w:t>
            </w:r>
          </w:p>
        </w:tc>
        <w:tc>
          <w:tcPr>
            <w:tcW w:type="dxa" w:w="43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Borders, dividers, table rules</w:t>
            </w:r>
          </w:p>
        </w:tc>
      </w:tr>
      <w:tr>
        <w:tc>
          <w:tcPr>
            <w:tcW w:type="dxa" w:w="15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Neutral 4 (subtle)</w:t>
            </w:r>
          </w:p>
        </w:tc>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Cool gray</w:t>
            </w:r>
          </w:p>
        </w:tc>
        <w:tc>
          <w:tcPr>
            <w:tcW w:type="dxa" w:w="130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#737373</w:t>
            </w:r>
          </w:p>
        </w:tc>
        <w:tc>
          <w:tcPr>
            <w:tcW w:type="dxa" w:w="4360"/>
            <w:tcBorders>
              <w:top w:val="single" w:color="BDBDBD" w:sz="4"/>
              <w:left w:val="single" w:color="BDBDBD" w:sz="4"/>
              <w:bottom w:val="single" w:color="BDBDBD" w:sz="4"/>
              <w:right w:val="single" w:color="BDBDBD" w:sz="4"/>
            </w:tcBorders>
            <w:tcMar>
              <w:top w:type="dxa" w:w="100"/>
              <w:left w:type="dxa" w:w="140"/>
              <w:bottom w:type="dxa" w:w="100"/>
              <w:right w:type="dxa" w:w="140"/>
            </w:tcMar>
          </w:tcPr>
          <w:p>
            <w:pPr>
              <w:spacing w:after="30" w:before="30"/>
            </w:pPr>
            <w:r>
              <w:t xml:space="preserve">Secondary text, captions, metadata</w:t>
            </w:r>
          </w:p>
        </w:tc>
      </w:tr>
    </w:tbl>
    <w:p>
      <w:pPr>
        <w:spacing w:after="60" w:before="60"/>
      </w:pPr>
      <w:r>
        <w:t xml:space="preserve"/>
      </w:r>
    </w:p>
    <w:p>
      <w:pPr>
        <w:spacing w:after="80" w:before="80"/>
      </w:pPr>
      <w:r>
        <w:t xml:space="preserve">Why this works: warm amber + dark slate is unusual in healthcare AI. It reads as "infrastructure" or "financial services" more than "hospital tech." That's the right read for a company whose customer is the CFO, the compliance officer, and the head of risk adjustment — not the CMIO. The forest green / muted clay pairing is borrowed from financial-trading and legal-tech UIs, which are exactly the visual neighborhoods Martlet AI wants to live in ("high-stakes, defensible, auditable").</w:t>
      </w:r>
    </w:p>
    <w:p>
      <w:pPr>
        <w:pStyle w:val="Heading2"/>
        <w:spacing w:after="140" w:before="280"/>
      </w:pPr>
      <w:r>
        <w:t xml:space="preserve">2. Typography</w:t>
      </w:r>
    </w:p>
    <w:p>
      <w:pPr>
        <w:pStyle w:val="Heading3"/>
        <w:spacing w:after="100" w:before="220"/>
      </w:pPr>
      <w:r>
        <w:t xml:space="preserve">Pair a serif headline with a clean sans body</w:t>
      </w:r>
    </w:p>
    <w:p>
      <w:pPr>
        <w:spacing w:after="80" w:before="80"/>
      </w:pPr>
      <w:r>
        <w:t xml:space="preserve">Almost every healthcare-AI competitor uses a single sans-serif throughout (Inter, Roboto, Manrope, Plus Jakarta Sans, or whatever's free on Google Fonts). It is the default of B2B SaaS in 2026. To differentiate visually, pair a serif display face for headlines with a precise sans for body and UI.</w:t>
      </w:r>
    </w:p>
    <w:p>
      <w:pPr>
        <w:pStyle w:val="Heading3"/>
        <w:spacing w:after="100" w:before="220"/>
      </w:pPr>
      <w:r>
        <w:t xml:space="preserve">Recommended pairing</w:t>
      </w:r>
    </w:p>
    <w:p>
      <w:pPr>
        <w:pStyle w:val="ListParagraph"/>
        <w:numPr>
          <w:ilvl w:val="0"/>
          <w:numId w:val="2"/>
        </w:numPr>
        <w:spacing w:after="40" w:before="40"/>
      </w:pPr>
      <w:r>
        <w:rPr>
          <w:b/>
          <w:bCs/>
        </w:rPr>
        <w:t xml:space="preserve">Display / H1, H2: </w:t>
      </w:r>
      <w:r>
        <w:t xml:space="preserve">Söhne Breit, GT Sectra, or Tiempos Headline (paid). Free alternative: Newsreader (Google Fonts) or Source Serif 4 — both are well-built, modern serifs that read as editorial / authoritative without being old-fashioned.</w:t>
      </w:r>
    </w:p>
    <w:p>
      <w:pPr>
        <w:pStyle w:val="ListParagraph"/>
        <w:numPr>
          <w:ilvl w:val="0"/>
          <w:numId w:val="2"/>
        </w:numPr>
        <w:spacing w:after="40" w:before="40"/>
      </w:pPr>
      <w:r>
        <w:rPr>
          <w:b/>
          <w:bCs/>
        </w:rPr>
        <w:t xml:space="preserve">Body / UI: </w:t>
      </w:r>
      <w:r>
        <w:t xml:space="preserve">Inter Tight or Söhne (paid). Free alternative: Inter (the standard) at a tightened tracking. Inter is overused but it is the right choice for technical UI density.</w:t>
      </w:r>
    </w:p>
    <w:p>
      <w:pPr>
        <w:pStyle w:val="ListParagraph"/>
        <w:numPr>
          <w:ilvl w:val="0"/>
          <w:numId w:val="2"/>
        </w:numPr>
        <w:spacing w:after="40" w:before="40"/>
      </w:pPr>
      <w:r>
        <w:rPr>
          <w:b/>
          <w:bCs/>
        </w:rPr>
        <w:t xml:space="preserve">Monospace / data: </w:t>
      </w:r>
      <w:r>
        <w:t xml:space="preserve">JetBrains Mono or IBM Plex Mono. Use for HCC codes, evidence references ("page 4, line 12"), API examples, and metric tables. The monospace appearance signals "technical, auditable, exact" — which is on-brand.</w:t>
      </w:r>
    </w:p>
    <w:p>
      <w:pPr>
        <w:pStyle w:val="Heading3"/>
        <w:spacing w:after="100" w:before="220"/>
      </w:pPr>
      <w:r>
        <w:t xml:space="preserve">Type scale and tone</w:t>
      </w:r>
    </w:p>
    <w:p>
      <w:pPr>
        <w:pStyle w:val="ListParagraph"/>
        <w:numPr>
          <w:ilvl w:val="0"/>
          <w:numId w:val="2"/>
        </w:numPr>
        <w:spacing w:after="40" w:before="40"/>
      </w:pPr>
      <w:r>
        <w:t xml:space="preserve">Set headlines unusually large — 56-72px on desktop hero, 40-48px on H2. Big serif headlines do the heavy lifting visually so the rest of the page can stay quiet.</w:t>
      </w:r>
    </w:p>
    <w:p>
      <w:pPr>
        <w:pStyle w:val="ListParagraph"/>
        <w:numPr>
          <w:ilvl w:val="0"/>
          <w:numId w:val="2"/>
        </w:numPr>
        <w:spacing w:after="40" w:before="40"/>
      </w:pPr>
      <w:r>
        <w:t xml:space="preserve">Body at 16-17px with line-height 1.65. Tighter than current default; signals editorial polish.</w:t>
      </w:r>
    </w:p>
    <w:p>
      <w:pPr>
        <w:pStyle w:val="ListParagraph"/>
        <w:numPr>
          <w:ilvl w:val="0"/>
          <w:numId w:val="2"/>
        </w:numPr>
        <w:spacing w:after="40" w:before="40"/>
      </w:pPr>
      <w:r>
        <w:t xml:space="preserve">Use ALL-CAPS sparingly, only for category labels ("PROSPECTIVE" / "RETROSPECTIVE" / "RADV" small-caps style on solution-page hero strips, à la Stripe / Linear).</w:t>
      </w:r>
    </w:p>
    <w:p>
      <w:pPr>
        <w:pStyle w:val="ListParagraph"/>
        <w:numPr>
          <w:ilvl w:val="0"/>
          <w:numId w:val="2"/>
        </w:numPr>
        <w:spacing w:after="40" w:before="40"/>
      </w:pPr>
      <w:r>
        <w:t xml:space="preserve">Numbers in mono — every statistic on the proof bar, every metric in tables, every HCC code reference in the body should be set in the monospace face. This is high-leverage: it makes the data look exact instead of decorative.</w:t>
      </w:r>
    </w:p>
    <w:p>
      <w:pPr>
        <w:pStyle w:val="Heading2"/>
        <w:spacing w:after="140" w:before="280"/>
      </w:pPr>
      <w:r>
        <w:t xml:space="preserve">3. Imagery and illustration</w:t>
      </w:r>
    </w:p>
    <w:p>
      <w:pPr>
        <w:pStyle w:val="Heading3"/>
        <w:spacing w:after="100" w:before="220"/>
      </w:pPr>
      <w:r>
        <w:t xml:space="preserve">Drop the abstract "AI brain" illustrations</w:t>
      </w:r>
    </w:p>
    <w:p>
      <w:pPr>
        <w:spacing w:after="80" w:before="80"/>
      </w:pPr>
      <w:r>
        <w:t xml:space="preserve">The current site uses stylized illustrations — "central hub connecting HIPAA compliance, trusted ecosystem, NLP engine, and peer-reviewed accuracy." These are the visual equivalent of the banned vocabulary in the brand brief. They communicate nothing specific, they look like every competitor, and they take up space that should be used to show the product.</w:t>
      </w:r>
    </w:p>
    <w:p>
      <w:pPr>
        <w:pStyle w:val="Heading3"/>
        <w:spacing w:after="100" w:before="220"/>
      </w:pPr>
      <w:r>
        <w:t xml:space="preserve">What to use instead</w:t>
      </w:r>
    </w:p>
    <w:p>
      <w:pPr>
        <w:pStyle w:val="ListParagraph"/>
        <w:numPr>
          <w:ilvl w:val="0"/>
          <w:numId w:val="2"/>
        </w:numPr>
        <w:spacing w:after="40" w:before="40"/>
      </w:pPr>
      <w:r>
        <w:rPr>
          <w:b/>
          <w:bCs/>
        </w:rPr>
        <w:t xml:space="preserve">Real product screenshots, captioned. </w:t>
      </w:r>
      <w:r>
        <w:t xml:space="preserve">The reviewer UI showing an HCC with its linked chart sentence. The audit packet with the evidence trail visible. The dashboard showing modelled error rate by HCC. The clinician-facing suggestion card. These should appear on every solution page.</w:t>
      </w:r>
    </w:p>
    <w:p>
      <w:pPr>
        <w:pStyle w:val="ListParagraph"/>
        <w:numPr>
          <w:ilvl w:val="0"/>
          <w:numId w:val="2"/>
        </w:numPr>
        <w:spacing w:after="40" w:before="40"/>
      </w:pPr>
      <w:r>
        <w:rPr>
          <w:b/>
          <w:bCs/>
        </w:rPr>
        <w:t xml:space="preserve">Anonymized clinical document fragments. </w:t>
      </w:r>
      <w:r>
        <w:t xml:space="preserve">An anonymized chart sentence with the relevant phrase highlighted ("A1C 7.2%, 02/03/25 — confirmed diabetes type 2 with complications, ICD-10 E11.65 → HCC 18"). This is the most powerful visual on a risk-adjustment site, because it is the literal artifact of the product. Make it a recurring motif.</w:t>
      </w:r>
    </w:p>
    <w:p>
      <w:pPr>
        <w:pStyle w:val="ListParagraph"/>
        <w:numPr>
          <w:ilvl w:val="0"/>
          <w:numId w:val="2"/>
        </w:numPr>
        <w:spacing w:after="40" w:before="40"/>
      </w:pPr>
      <w:r>
        <w:rPr>
          <w:b/>
          <w:bCs/>
        </w:rPr>
        <w:t xml:space="preserve">System architecture diagrams. </w:t>
      </w:r>
      <w:r>
        <w:t xml:space="preserve">Real ones, with named components — EHR, FHIR endpoint, ingestion service, validation engine, audit log, evidence store, reviewer UI. Drawn cleanly in the brand colors, not generic stock illustrations.</w:t>
      </w:r>
    </w:p>
    <w:p>
      <w:pPr>
        <w:pStyle w:val="ListParagraph"/>
        <w:numPr>
          <w:ilvl w:val="0"/>
          <w:numId w:val="2"/>
        </w:numPr>
        <w:spacing w:after="40" w:before="40"/>
      </w:pPr>
      <w:r>
        <w:rPr>
          <w:b/>
          <w:bCs/>
        </w:rPr>
        <w:t xml:space="preserve">Benchmark charts. </w:t>
      </w:r>
      <w:r>
        <w:t xml:space="preserve">Plotted from real data, in the brand palette. "Martlet AI vs. GPT-4o on MEAT validation, n=10,000 charts, F1 by HCC family." Stripe, Vercel, and Linear all use this pattern; healthcare AI rarely does.</w:t>
      </w:r>
    </w:p>
    <w:p>
      <w:pPr>
        <w:pStyle w:val="ListParagraph"/>
        <w:numPr>
          <w:ilvl w:val="0"/>
          <w:numId w:val="2"/>
        </w:numPr>
        <w:spacing w:after="40" w:before="40"/>
      </w:pPr>
      <w:r>
        <w:rPr>
          <w:b/>
          <w:bCs/>
        </w:rPr>
        <w:t xml:space="preserve">Editorial document mockups. </w:t>
      </w:r>
      <w:r>
        <w:t xml:space="preserve">On the homepage and About page, treat case studies and customer stories like a serious magazine layout — pull quotes set large in the serif, proof point typography, real photos of named customers if available, document scans for press coverage.</w:t>
      </w:r>
    </w:p>
    <w:p>
      <w:pPr>
        <w:pStyle w:val="Heading3"/>
        <w:spacing w:after="100" w:before="220"/>
      </w:pPr>
      <w:r>
        <w:t xml:space="preserve">If illustration is needed</w:t>
      </w:r>
    </w:p>
    <w:p>
      <w:pPr>
        <w:spacing w:after="80" w:before="80"/>
      </w:pPr>
      <w:r>
        <w:t xml:space="preserve">Use a single, distinctive illustration style applied consistently — not generic vector clip art. Two routes that work:</w:t>
      </w:r>
    </w:p>
    <w:p>
      <w:pPr>
        <w:pStyle w:val="ListParagraph"/>
        <w:numPr>
          <w:ilvl w:val="0"/>
          <w:numId w:val="2"/>
        </w:numPr>
        <w:spacing w:after="40" w:before="40"/>
      </w:pPr>
      <w:r>
        <w:t xml:space="preserve">Custom line drawings with hatching/cross-hatching. Looks editorial, looks careful, doesn't look like AI generated.</w:t>
      </w:r>
    </w:p>
    <w:p>
      <w:pPr>
        <w:pStyle w:val="ListParagraph"/>
        <w:numPr>
          <w:ilvl w:val="0"/>
          <w:numId w:val="2"/>
        </w:numPr>
        <w:spacing w:after="40" w:before="40"/>
      </w:pPr>
      <w:r>
        <w:t xml:space="preserve">Diagrammatic illustration — boxes, arrows, labeled states, system diagrams. Closer to engineering documentation than to marketing illustration. Tools like Excalidraw or hand-drawn-style libraries can ship this aesthetic.</w:t>
      </w:r>
    </w:p>
    <w:p>
      <w:pPr>
        <w:spacing w:after="80" w:before="80"/>
      </w:pPr>
      <w:r>
        <w:t xml:space="preserve">Avoid: stock photos of clinicians at laptops, abstract neural-network visualizations, hexagon grids, glowing brains, hands holding phones.</w:t>
      </w:r>
    </w:p>
    <w:p>
      <w:pPr>
        <w:pStyle w:val="Heading2"/>
        <w:spacing w:after="140" w:before="280"/>
      </w:pPr>
      <w:r>
        <w:t xml:space="preserve">4. Layout and grid</w:t>
      </w:r>
    </w:p>
    <w:p>
      <w:pPr>
        <w:pStyle w:val="Heading3"/>
        <w:spacing w:after="100" w:before="220"/>
      </w:pPr>
      <w:r>
        <w:t xml:space="preserve">Move toward editorial / documentation, away from marketing-page</w:t>
      </w:r>
    </w:p>
    <w:p>
      <w:pPr>
        <w:spacing w:after="80" w:before="80"/>
      </w:pPr>
      <w:r>
        <w:t xml:space="preserve">The current site reads as a generic SaaS marketing template — wide hero, three-column features, big CTA panel, repeat. The visual identity Martlet AI should aim for is closer to:</w:t>
      </w:r>
    </w:p>
    <w:p>
      <w:pPr>
        <w:pStyle w:val="ListParagraph"/>
        <w:numPr>
          <w:ilvl w:val="0"/>
          <w:numId w:val="2"/>
        </w:numPr>
        <w:spacing w:after="40" w:before="40"/>
      </w:pPr>
      <w:r>
        <w:t xml:space="preserve">Stripe documentation pages (dense, editorial, lots of code/data, monospace numbers in running prose)</w:t>
      </w:r>
    </w:p>
    <w:p>
      <w:pPr>
        <w:pStyle w:val="ListParagraph"/>
        <w:numPr>
          <w:ilvl w:val="0"/>
          <w:numId w:val="2"/>
        </w:numPr>
        <w:spacing w:after="40" w:before="40"/>
      </w:pPr>
      <w:r>
        <w:t xml:space="preserve">Linear / Vercel marketing (large serif headlines, careful whitespace, real screenshots)</w:t>
      </w:r>
    </w:p>
    <w:p>
      <w:pPr>
        <w:pStyle w:val="ListParagraph"/>
        <w:numPr>
          <w:ilvl w:val="0"/>
          <w:numId w:val="2"/>
        </w:numPr>
        <w:spacing w:after="40" w:before="40"/>
      </w:pPr>
      <w:r>
        <w:t xml:space="preserve">The Economist or The New York Times Opinion section (heavy serif, body type set with real care, pull quotes, captions that work hard)</w:t>
      </w:r>
    </w:p>
    <w:p>
      <w:pPr>
        <w:pStyle w:val="ListParagraph"/>
        <w:numPr>
          <w:ilvl w:val="0"/>
          <w:numId w:val="2"/>
        </w:numPr>
        <w:spacing w:after="40" w:before="40"/>
      </w:pPr>
      <w:r>
        <w:t xml:space="preserve">Bloomberg Terminal / financial-data UIs for any internal mockups (mono numbers, dense tables, color-coded states)</w:t>
      </w:r>
    </w:p>
    <w:p>
      <w:pPr>
        <w:pStyle w:val="Heading3"/>
        <w:spacing w:after="100" w:before="220"/>
      </w:pPr>
      <w:r>
        <w:t xml:space="preserve">Specific layout moves</w:t>
      </w:r>
    </w:p>
    <w:p>
      <w:pPr>
        <w:pStyle w:val="ListParagraph"/>
        <w:numPr>
          <w:ilvl w:val="0"/>
          <w:numId w:val="2"/>
        </w:numPr>
        <w:spacing w:after="40" w:before="40"/>
      </w:pPr>
      <w:r>
        <w:t xml:space="preserve">Wide reading column for body text (around 680-720px), centered. Resist the SaaS-default full-width prose.</w:t>
      </w:r>
    </w:p>
    <w:p>
      <w:pPr>
        <w:pStyle w:val="ListParagraph"/>
        <w:numPr>
          <w:ilvl w:val="0"/>
          <w:numId w:val="2"/>
        </w:numPr>
        <w:spacing w:after="40" w:before="40"/>
      </w:pPr>
      <w:r>
        <w:t xml:space="preserve">Generous whitespace. Aim for ~30-40% whitespace on every screen. Density signals seriousness.</w:t>
      </w:r>
    </w:p>
    <w:p>
      <w:pPr>
        <w:pStyle w:val="ListParagraph"/>
        <w:numPr>
          <w:ilvl w:val="0"/>
          <w:numId w:val="2"/>
        </w:numPr>
        <w:spacing w:after="40" w:before="40"/>
      </w:pPr>
      <w:r>
        <w:t xml:space="preserve">Asymmetric grids on solution pages — break the three-equal-columns pattern. Try a 2:1 split with the main story on the left and proof callouts on the right, or full-bleed quotes between sections.</w:t>
      </w:r>
    </w:p>
    <w:p>
      <w:pPr>
        <w:pStyle w:val="ListParagraph"/>
        <w:numPr>
          <w:ilvl w:val="0"/>
          <w:numId w:val="2"/>
        </w:numPr>
        <w:spacing w:after="40" w:before="40"/>
      </w:pPr>
      <w:r>
        <w:t xml:space="preserve">Sticky table of contents on long pages (Stripe-style). The RADV solution page especially benefits.</w:t>
      </w:r>
    </w:p>
    <w:p>
      <w:pPr>
        <w:pStyle w:val="ListParagraph"/>
        <w:numPr>
          <w:ilvl w:val="0"/>
          <w:numId w:val="2"/>
        </w:numPr>
        <w:spacing w:after="40" w:before="40"/>
      </w:pPr>
      <w:r>
        <w:t xml:space="preserve">Footnotes and citations should be visible — actual numbered references at the bottom of pages, formatted like a paper. This is unusual for a marketing site and reinforces the "regulatory-grade" claim.</w:t>
      </w:r>
    </w:p>
    <w:p>
      <w:pPr>
        <w:pStyle w:val="Heading2"/>
        <w:spacing w:after="140" w:before="280"/>
      </w:pPr>
      <w:r>
        <w:t xml:space="preserve">5. Component styling</w:t>
      </w:r>
    </w:p>
    <w:p>
      <w:pPr>
        <w:pStyle w:val="Heading3"/>
        <w:spacing w:after="100" w:before="220"/>
      </w:pPr>
      <w:r>
        <w:t xml:space="preserve">Buttons and CTAs</w:t>
      </w:r>
    </w:p>
    <w:p>
      <w:pPr>
        <w:pStyle w:val="ListParagraph"/>
        <w:numPr>
          <w:ilvl w:val="0"/>
          <w:numId w:val="2"/>
        </w:numPr>
        <w:spacing w:after="40" w:before="40"/>
      </w:pPr>
      <w:r>
        <w:t xml:space="preserve">Primary CTA: solid amber (#D97706) on slate, or solid slate (#0F1F3A) on warm-off-white. Larger than current — 48-52px tall — with letter-spacing tightened.</w:t>
      </w:r>
    </w:p>
    <w:p>
      <w:pPr>
        <w:pStyle w:val="ListParagraph"/>
        <w:numPr>
          <w:ilvl w:val="0"/>
          <w:numId w:val="2"/>
        </w:numPr>
        <w:spacing w:after="40" w:before="40"/>
      </w:pPr>
      <w:r>
        <w:t xml:space="preserve">Secondary CTA: outlined slate, no fill. Used for "Read the paper" / "Read the case study" patterns.</w:t>
      </w:r>
    </w:p>
    <w:p>
      <w:pPr>
        <w:pStyle w:val="ListParagraph"/>
        <w:numPr>
          <w:ilvl w:val="0"/>
          <w:numId w:val="2"/>
        </w:numPr>
        <w:spacing w:after="40" w:before="40"/>
      </w:pPr>
      <w:r>
        <w:t xml:space="preserve">Tertiary / inline link: slate body color with an offset underline (Linear-style).</w:t>
      </w:r>
    </w:p>
    <w:p>
      <w:pPr>
        <w:pStyle w:val="ListParagraph"/>
        <w:numPr>
          <w:ilvl w:val="0"/>
          <w:numId w:val="2"/>
        </w:numPr>
        <w:spacing w:after="40" w:before="40"/>
      </w:pPr>
      <w:r>
        <w:t xml:space="preserve">No gradient buttons. No glow. No glassmorphism. The visual register is editorial, not Web3.</w:t>
      </w:r>
    </w:p>
    <w:p>
      <w:pPr>
        <w:pStyle w:val="Heading3"/>
        <w:spacing w:after="100" w:before="220"/>
      </w:pPr>
      <w:r>
        <w:t xml:space="preserve">Cards</w:t>
      </w:r>
    </w:p>
    <w:p>
      <w:pPr>
        <w:pStyle w:val="ListParagraph"/>
        <w:numPr>
          <w:ilvl w:val="0"/>
          <w:numId w:val="2"/>
        </w:numPr>
        <w:spacing w:after="40" w:before="40"/>
      </w:pPr>
      <w:r>
        <w:t xml:space="preserve">Flat, with a single 1px slate border and generous internal padding (32-40px). No drop shadows, no rounded gradients.</w:t>
      </w:r>
    </w:p>
    <w:p>
      <w:pPr>
        <w:pStyle w:val="ListParagraph"/>
        <w:numPr>
          <w:ilvl w:val="0"/>
          <w:numId w:val="2"/>
        </w:numPr>
        <w:spacing w:after="40" w:before="40"/>
      </w:pPr>
      <w:r>
        <w:t xml:space="preserve">Numbers/statistics inside cards always set in the mono face, larger than the surrounding text, in the slate primary color.</w:t>
      </w:r>
    </w:p>
    <w:p>
      <w:pPr>
        <w:pStyle w:val="ListParagraph"/>
        <w:numPr>
          <w:ilvl w:val="0"/>
          <w:numId w:val="2"/>
        </w:numPr>
        <w:spacing w:after="40" w:before="40"/>
      </w:pPr>
      <w:r>
        <w:t xml:space="preserve">If the card is a "proof point" tile (e.g., "500+ enterprise customers"), the number is the hero — body text is small caption beneath.</w:t>
      </w:r>
    </w:p>
    <w:p>
      <w:pPr>
        <w:pStyle w:val="Heading3"/>
        <w:spacing w:after="100" w:before="220"/>
      </w:pPr>
      <w:r>
        <w:t xml:space="preserve">Tables</w:t>
      </w:r>
    </w:p>
    <w:p>
      <w:pPr>
        <w:pStyle w:val="ListParagraph"/>
        <w:numPr>
          <w:ilvl w:val="0"/>
          <w:numId w:val="2"/>
        </w:numPr>
        <w:spacing w:after="40" w:before="40"/>
      </w:pPr>
      <w:r>
        <w:t xml:space="preserve">This is a high-leverage component for Martlet AI. The brand voice rule — "tables, not adjectives" — means benchmark tables, comparison tables, and metric tables should appear on every solution page.</w:t>
      </w:r>
    </w:p>
    <w:p>
      <w:pPr>
        <w:pStyle w:val="ListParagraph"/>
        <w:numPr>
          <w:ilvl w:val="0"/>
          <w:numId w:val="2"/>
        </w:numPr>
        <w:spacing w:after="40" w:before="40"/>
      </w:pPr>
      <w:r>
        <w:t xml:space="preserve">Style: minimal — no zebra striping, single-pixel rules between rows in stone gray, header in slate-on-warm-white with small-caps, body data in mono.</w:t>
      </w:r>
    </w:p>
    <w:p>
      <w:pPr>
        <w:pStyle w:val="ListParagraph"/>
        <w:numPr>
          <w:ilvl w:val="0"/>
          <w:numId w:val="2"/>
        </w:numPr>
        <w:spacing w:after="40" w:before="40"/>
      </w:pPr>
      <w:r>
        <w:t xml:space="preserve">Embed icons sparingly: green check / red x for binary comparison columns, never decorative emoji-style icons.</w:t>
      </w:r>
    </w:p>
    <w:p>
      <w:pPr>
        <w:pStyle w:val="Heading3"/>
        <w:spacing w:after="100" w:before="220"/>
      </w:pPr>
      <w:r>
        <w:t xml:space="preserve">Code / quote / evidence callouts</w:t>
      </w:r>
    </w:p>
    <w:p>
      <w:pPr>
        <w:pStyle w:val="ListParagraph"/>
        <w:numPr>
          <w:ilvl w:val="0"/>
          <w:numId w:val="2"/>
        </w:numPr>
        <w:spacing w:after="40" w:before="40"/>
      </w:pPr>
      <w:r>
        <w:t xml:space="preserve">When citing CMS regulations or quoting peer-reviewed papers, set the quote in a left-bordered block (3-4px slate border, padded), serif body inside, source attribution in small caps. Treats sourced content as visually "different" from generic copy.</w:t>
      </w:r>
    </w:p>
    <w:p>
      <w:pPr>
        <w:pStyle w:val="ListParagraph"/>
        <w:numPr>
          <w:ilvl w:val="0"/>
          <w:numId w:val="2"/>
        </w:numPr>
        <w:spacing w:after="40" w:before="40"/>
      </w:pPr>
      <w:r>
        <w:t xml:space="preserve">When showing an evidence packet (the recurring motif): mono code block with the chart sentence, the encounter ID, the date, the provider name and credentials — all visible at once. This is the hero artifact of the product and should be styled with the same care as a code sample on Stripe.</w:t>
      </w:r>
    </w:p>
    <w:p>
      <w:pPr>
        <w:pStyle w:val="Heading2"/>
        <w:spacing w:after="140" w:before="280"/>
      </w:pPr>
      <w:r>
        <w:t xml:space="preserve">6. Motion and interactivity</w:t>
      </w:r>
    </w:p>
    <w:p>
      <w:pPr>
        <w:pStyle w:val="ListParagraph"/>
        <w:numPr>
          <w:ilvl w:val="0"/>
          <w:numId w:val="2"/>
        </w:numPr>
        <w:spacing w:after="40" w:before="40"/>
      </w:pPr>
      <w:r>
        <w:t xml:space="preserve">Be sparing. The category overuses parallax scroll, hover-glow effects, looping number counters, and animated gradient meshes. Skip all of it.</w:t>
      </w:r>
    </w:p>
    <w:p>
      <w:pPr>
        <w:pStyle w:val="ListParagraph"/>
        <w:numPr>
          <w:ilvl w:val="0"/>
          <w:numId w:val="2"/>
        </w:numPr>
        <w:spacing w:after="40" w:before="40"/>
      </w:pPr>
      <w:r>
        <w:t xml:space="preserve">If anything moves, it should be product behavior — a real demo of the reviewer UI, a 20-second loop showing an HCC suggestion appear and resolve, a real benchmark chart drawing in. Motion that demonstrates capability, not motion as decoration.</w:t>
      </w:r>
    </w:p>
    <w:p>
      <w:pPr>
        <w:pStyle w:val="ListParagraph"/>
        <w:numPr>
          <w:ilvl w:val="0"/>
          <w:numId w:val="2"/>
        </w:numPr>
        <w:spacing w:after="40" w:before="40"/>
      </w:pPr>
      <w:r>
        <w:t xml:space="preserve">The repeating logo marquee (currently rendering four times) should be removed. If a partner strip exists, it sits still.</w:t>
      </w:r>
    </w:p>
    <w:p>
      <w:pPr>
        <w:pStyle w:val="Heading2"/>
        <w:spacing w:after="140" w:before="280"/>
      </w:pPr>
      <w:r>
        <w:t xml:space="preserve">7. Accessibility</w:t>
      </w:r>
    </w:p>
    <w:p>
      <w:pPr>
        <w:pStyle w:val="ListParagraph"/>
        <w:numPr>
          <w:ilvl w:val="0"/>
          <w:numId w:val="2"/>
        </w:numPr>
        <w:spacing w:after="40" w:before="40"/>
      </w:pPr>
      <w:r>
        <w:t xml:space="preserve">Maintain WCAG 2.2 AA contrast minimums on every brand color combination, especially the warm amber on warm off-white (which can fail). Reserve amber for buttons and accents on slate background.</w:t>
      </w:r>
    </w:p>
    <w:p>
      <w:pPr>
        <w:pStyle w:val="ListParagraph"/>
        <w:numPr>
          <w:ilvl w:val="0"/>
          <w:numId w:val="2"/>
        </w:numPr>
        <w:spacing w:after="40" w:before="40"/>
      </w:pPr>
      <w:r>
        <w:t xml:space="preserve">All product screenshots and architecture diagrams need real alt text describing what the buyer is seeing — not just "Martlet AI dashboard."</w:t>
      </w:r>
    </w:p>
    <w:p>
      <w:pPr>
        <w:pStyle w:val="ListParagraph"/>
        <w:numPr>
          <w:ilvl w:val="0"/>
          <w:numId w:val="2"/>
        </w:numPr>
        <w:spacing w:after="40" w:before="40"/>
      </w:pPr>
      <w:r>
        <w:t xml:space="preserve">Type scale must remain readable on small mobile breakpoints — the editorial typography choices recommended above must include a tested mobile fallback (smaller serif headline, or a switch to a single-typeface display at mobile sizes).</w:t>
      </w:r>
    </w:p>
    <w:p>
      <w:pPr>
        <w:pStyle w:val="Heading2"/>
        <w:spacing w:after="140" w:before="280"/>
      </w:pPr>
      <w:r>
        <w:t xml:space="preserve">8. What this looks like in practice</w:t>
      </w:r>
    </w:p>
    <w:p>
      <w:pPr>
        <w:spacing w:after="80" w:before="80"/>
      </w:pPr>
      <w:r>
        <w:t xml:space="preserve">As a directional reference, the closest non-healthcare visual analogs to aim for are:</w:t>
      </w:r>
    </w:p>
    <w:p>
      <w:pPr>
        <w:pStyle w:val="ListParagraph"/>
        <w:numPr>
          <w:ilvl w:val="0"/>
          <w:numId w:val="2"/>
        </w:numPr>
        <w:spacing w:after="40" w:before="40"/>
      </w:pPr>
      <w:r>
        <w:rPr>
          <w:b/>
          <w:bCs/>
        </w:rPr>
        <w:t xml:space="preserve">Stripe Docs and stripe.com/atlas — </w:t>
      </w:r>
      <w:r>
        <w:t xml:space="preserve">for the "serious infrastructure for high-stakes work" feel. Editorial typography, careful whitespace, mono numbers, real product screenshots, sourced content set differently from marketing copy.</w:t>
      </w:r>
    </w:p>
    <w:p>
      <w:pPr>
        <w:pStyle w:val="ListParagraph"/>
        <w:numPr>
          <w:ilvl w:val="0"/>
          <w:numId w:val="2"/>
        </w:numPr>
        <w:spacing w:after="40" w:before="40"/>
      </w:pPr>
      <w:r>
        <w:rPr>
          <w:b/>
          <w:bCs/>
        </w:rPr>
        <w:t xml:space="preserve">Linear.app — </w:t>
      </w:r>
      <w:r>
        <w:t xml:space="preserve">for the editorial-marketing-page feel. Large display type, restrained color, real product visible at every scroll position, no "AI brain" illustrations.</w:t>
      </w:r>
    </w:p>
    <w:p>
      <w:pPr>
        <w:pStyle w:val="ListParagraph"/>
        <w:numPr>
          <w:ilvl w:val="0"/>
          <w:numId w:val="2"/>
        </w:numPr>
        <w:spacing w:after="40" w:before="40"/>
      </w:pPr>
      <w:r>
        <w:rPr>
          <w:b/>
          <w:bCs/>
        </w:rPr>
        <w:t xml:space="preserve">Anthropic.com — </w:t>
      </w:r>
      <w:r>
        <w:t xml:space="preserve">for the "deeply technical, paper-grade" register. Citations visible, content treated like research, generous serif typography.</w:t>
      </w:r>
    </w:p>
    <w:p>
      <w:pPr>
        <w:pStyle w:val="ListParagraph"/>
        <w:numPr>
          <w:ilvl w:val="0"/>
          <w:numId w:val="2"/>
        </w:numPr>
        <w:spacing w:after="40" w:before="40"/>
      </w:pPr>
      <w:r>
        <w:rPr>
          <w:b/>
          <w:bCs/>
        </w:rPr>
        <w:t xml:space="preserve">Plaid (the financial-infrastructure company), tailscale.com — </w:t>
      </w:r>
      <w:r>
        <w:t xml:space="preserve">for how to make "runs inside your environment" / "infrastructure" visually legible without using stock-photo metaphors.</w:t>
      </w:r>
    </w:p>
    <w:p>
      <w:pPr>
        <w:spacing w:after="80" w:before="80"/>
      </w:pPr>
      <w:r>
        <w:t xml:space="preserve">The composite is: "healthcare AI company that looks like Stripe." Almost no competitor in risk adjustment looks like this — they all look like each other. The visual differentiation maps directly to the verbal differentiation: regulatory-grade, in-environment, infrastructure-quality.</w:t>
      </w:r>
    </w:p>
    <w:p>
      <w:r>
        <w:br w:type="page"/>
      </w:r>
    </w:p>
    <w:p>
      <w:pPr>
        <w:pStyle w:val="Heading1"/>
        <w:spacing w:after="180" w:before="360"/>
      </w:pPr>
      <w:r>
        <w:t xml:space="preserve">How to use this addendum</w:t>
      </w:r>
    </w:p>
    <w:p>
      <w:pPr>
        <w:spacing w:after="80" w:before="80"/>
      </w:pPr>
      <w:r>
        <w:t xml:space="preserve">This document, paired with the original audit, gives the brand strategy. The companion document — the page-by-page copy and component spec — gives Claude Code or Cowork the executable build instructions.</w:t>
      </w:r>
    </w:p>
    <w:p>
      <w:pPr>
        <w:spacing w:after="80" w:before="80"/>
      </w:pPr>
      <w:r>
        <w:t xml:space="preserve">Recommended order of operations for the rebuild:</w:t>
      </w:r>
    </w:p>
    <w:p>
      <w:pPr>
        <w:pStyle w:val="ListParagraph"/>
        <w:numPr>
          <w:ilvl w:val="0"/>
          <w:numId w:val="2"/>
        </w:numPr>
        <w:spacing w:after="40" w:before="40"/>
      </w:pPr>
      <w:r>
        <w:rPr>
          <w:b/>
          <w:bCs/>
        </w:rPr>
        <w:t xml:space="preserve">1. Pick the Martlet AI design tokens. </w:t>
      </w:r>
      <w:r>
        <w:t xml:space="preserve">Lock the color palette and typography choices first, then build everything else against them. Tailwind config + CSS custom properties for both. This is a 1-2 hour decision; do not let the build start without it.</w:t>
      </w:r>
    </w:p>
    <w:p>
      <w:pPr>
        <w:pStyle w:val="ListParagraph"/>
        <w:numPr>
          <w:ilvl w:val="0"/>
          <w:numId w:val="2"/>
        </w:numPr>
        <w:spacing w:after="40" w:before="40"/>
      </w:pPr>
      <w:r>
        <w:rPr>
          <w:b/>
          <w:bCs/>
        </w:rPr>
        <w:t xml:space="preserve">2. Build the component library. </w:t>
      </w:r>
      <w:r>
        <w:t xml:space="preserve">The proof bar, the case study card, the comparison table, the FAQ accordion, the evidence-packet showcase, the metric tile, the citation callout, the architecture-diagram frame. These appear on most pages; build them once.</w:t>
      </w:r>
    </w:p>
    <w:p>
      <w:pPr>
        <w:pStyle w:val="ListParagraph"/>
        <w:numPr>
          <w:ilvl w:val="0"/>
          <w:numId w:val="2"/>
        </w:numPr>
        <w:spacing w:after="40" w:before="40"/>
      </w:pPr>
      <w:r>
        <w:rPr>
          <w:b/>
          <w:bCs/>
        </w:rPr>
        <w:t xml:space="preserve">3. Build pages in priority order: </w:t>
      </w:r>
      <w:r>
        <w:t xml:space="preserve">About → Homepage → RADV solution page (highest-leverage of the three) → Retrospective → Prospective → Customers → Security &amp; Compliance → Resources hub → Contact. Save the blog last; the blog content is already strong.</w:t>
      </w:r>
    </w:p>
    <w:p>
      <w:pPr>
        <w:pStyle w:val="ListParagraph"/>
        <w:numPr>
          <w:ilvl w:val="0"/>
          <w:numId w:val="2"/>
        </w:numPr>
        <w:spacing w:after="40" w:before="40"/>
      </w:pPr>
      <w:r>
        <w:rPr>
          <w:b/>
          <w:bCs/>
        </w:rPr>
        <w:t xml:space="preserve">4. Producing the evidence the copy depends on is the long pole. </w:t>
      </w:r>
      <w:r>
        <w:t xml:space="preserve">The site needs real product screenshots, real architecture diagrams, and at least one real case study with named outcomes. Sequence those in parallel with the build, not after.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365D"/>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63238"/>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2026-05-08T17:32:58.550Z</dcterms:created>
  <dcterms:modified xsi:type="dcterms:W3CDTF">2026-05-08T17:32:58.567Z</dcterms:modified>
</cp:coreProperties>
</file>

<file path=docProps/custom.xml><?xml version="1.0" encoding="utf-8"?>
<Properties xmlns="http://schemas.openxmlformats.org/officeDocument/2006/custom-properties" xmlns:vt="http://schemas.openxmlformats.org/officeDocument/2006/docPropsVTypes"/>
</file>