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Buenas Prácticas - Proyecto Infraestructura Viva</w:t>
      </w:r>
    </w:p>
    <w:p>
      <w:r>
        <w:rPr>
          <w:b/>
        </w:rPr>
        <w:t>Objetivo</w:t>
        <w:br/>
      </w:r>
      <w:r>
        <w:t>Establecer buenas prácticas para desarrollar, versionar y desplegar infraestructura con Docker.</w:t>
        <w:br/>
        <w:br/>
      </w:r>
    </w:p>
    <w:p>
      <w:pPr>
        <w:pStyle w:val="ListNumber"/>
      </w:pPr>
      <w:r>
        <w:t>1. Usar Git para registrar cambios frecuentes con mensajes claros.</w:t>
      </w:r>
    </w:p>
    <w:p>
      <w:pPr>
        <w:pStyle w:val="ListNumber"/>
      </w:pPr>
      <w:r>
        <w:t>2. Mantener el repositorio documentado con README.</w:t>
      </w:r>
    </w:p>
    <w:p>
      <w:pPr>
        <w:pStyle w:val="ListNumber"/>
      </w:pPr>
      <w:r>
        <w:t>3. No subir contraseñas ni datos sensibles al repositorio.</w:t>
      </w:r>
    </w:p>
    <w:p>
      <w:pPr>
        <w:pStyle w:val="ListNumber"/>
      </w:pPr>
      <w:r>
        <w:t>4. Utilizar Docker Compose para definir todos los servicios.</w:t>
      </w:r>
    </w:p>
    <w:p>
      <w:pPr>
        <w:pStyle w:val="ListNumber"/>
      </w:pPr>
      <w:r>
        <w:t>5. Nombrar claramente contenedores, redes y volúmenes.</w:t>
      </w:r>
    </w:p>
    <w:p>
      <w:pPr>
        <w:pStyle w:val="ListNumber"/>
      </w:pPr>
      <w:r>
        <w:t>6. Persistir los datos mediante volúmenes Docker.</w:t>
      </w:r>
    </w:p>
    <w:p>
      <w:pPr>
        <w:pStyle w:val="ListNumber"/>
      </w:pPr>
      <w:r>
        <w:t>7. Usar variables de entorno para configuraciones.</w:t>
      </w:r>
    </w:p>
    <w:p>
      <w:pPr>
        <w:pStyle w:val="ListNumber"/>
      </w:pPr>
      <w:r>
        <w:t>8. Verificar el estado con 'docker ps' y revisar logs con 'docker logs'.</w:t>
      </w:r>
    </w:p>
    <w:p>
      <w:pPr>
        <w:pStyle w:val="ListNumber"/>
      </w:pPr>
      <w:r>
        <w:t>9. Probar el despliegue desde cero antes de entregar.</w:t>
      </w:r>
    </w:p>
    <w:p>
      <w:pPr>
        <w:pStyle w:val="ListNumber"/>
      </w:pPr>
      <w:r>
        <w:t>10. Documentar puertos, credenciales de prueba y arquitectura.</w:t>
      </w:r>
    </w:p>
    <w:p>
      <w:pPr>
        <w:pStyle w:val="Heading2"/>
      </w:pPr>
      <w:r>
        <w:t>Conclusión</w:t>
      </w:r>
    </w:p>
    <w:p>
      <w:r>
        <w:t>Estas prácticas permiten crear una infraestructura reproducible, mantenible y fácil de desplegar en distintos entornos.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