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7FD6BA5C" w14:textId="77777777" w:rsidR="006E13FF" w:rsidRDefault="006E13FF">
      <w:r>
        <w:br w:type="page"/>
      </w:r>
    </w:p>
    <w:p w14:paraId="39D31259" w14:textId="613FD8DF" w:rsidR="006E13FF" w:rsidRDefault="006650A1" w:rsidP="006650A1">
      <w:pPr>
        <w:pStyle w:val="Nadpis1"/>
      </w:pPr>
      <w:r>
        <w:lastRenderedPageBreak/>
        <w:t>Logický program</w:t>
      </w:r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 xml:space="preserve">x(má_rád(x,pivo) </w:t>
      </w:r>
      <w:r>
        <w:rPr>
          <w:rFonts w:ascii="Symbol" w:eastAsia="Times New Roman" w:hAnsi="Symbol" w:cs="Times New Roman"/>
        </w:rPr>
        <w:t>Þ</w:t>
      </w:r>
      <w:r>
        <w:rPr>
          <w:rFonts w:ascii="Calibri" w:eastAsia="Times New Roman" w:hAnsi="Calibri" w:cs="Times New Roman"/>
        </w:rPr>
        <w:t>má_rád(Honza,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>Prolog: má_rád(Honza, X) :- má_rád(X,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PROgramování v LOGice</w:t>
      </w:r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r>
        <w:t>Predikáty</w:t>
      </w:r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r>
        <w:t>Syntaxe Prologu</w:t>
      </w:r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r>
        <w:t>Integer</w:t>
      </w:r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Pr="003E670F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sectPr w:rsidR="00D56C32" w:rsidRPr="003E6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0028438">
    <w:abstractNumId w:val="3"/>
  </w:num>
  <w:num w:numId="2" w16cid:durableId="113404679">
    <w:abstractNumId w:val="2"/>
  </w:num>
  <w:num w:numId="3" w16cid:durableId="817571145">
    <w:abstractNumId w:val="0"/>
  </w:num>
  <w:num w:numId="4" w16cid:durableId="1994484407">
    <w:abstractNumId w:val="1"/>
  </w:num>
  <w:num w:numId="5" w16cid:durableId="190384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391C86"/>
    <w:rsid w:val="00395C25"/>
    <w:rsid w:val="003E670F"/>
    <w:rsid w:val="005F45E7"/>
    <w:rsid w:val="00634C19"/>
    <w:rsid w:val="006650A1"/>
    <w:rsid w:val="00670031"/>
    <w:rsid w:val="006E13FF"/>
    <w:rsid w:val="00781652"/>
    <w:rsid w:val="00A0245E"/>
    <w:rsid w:val="00A12B0D"/>
    <w:rsid w:val="00A600D5"/>
    <w:rsid w:val="00D56C32"/>
    <w:rsid w:val="00E86FA3"/>
    <w:rsid w:val="00ED22EB"/>
    <w:rsid w:val="00EF596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301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25</cp:revision>
  <dcterms:created xsi:type="dcterms:W3CDTF">2024-04-12T11:45:00Z</dcterms:created>
  <dcterms:modified xsi:type="dcterms:W3CDTF">2024-04-14T20:30:00Z</dcterms:modified>
</cp:coreProperties>
</file>