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ADA9" w14:textId="77777777" w:rsidR="0041659A" w:rsidRPr="0041659A" w:rsidRDefault="0041659A" w:rsidP="0041659A">
      <w:pPr>
        <w:rPr>
          <w:b/>
          <w:bCs/>
        </w:rPr>
      </w:pPr>
      <w:r w:rsidRPr="0041659A">
        <w:rPr>
          <w:b/>
          <w:bCs/>
        </w:rPr>
        <w:t>Fase 3 - Frontend e Interceptação do DOM (Extensão)</w:t>
      </w:r>
    </w:p>
    <w:p w14:paraId="52970A34" w14:textId="77777777" w:rsidR="0041659A" w:rsidRPr="0041659A" w:rsidRDefault="0041659A" w:rsidP="0041659A">
      <w:r w:rsidRPr="0041659A">
        <w:rPr>
          <w:b/>
          <w:bCs/>
        </w:rPr>
        <w:t>Objetivo Arquitetural:</w:t>
      </w:r>
      <w:r w:rsidRPr="0041659A">
        <w:t xml:space="preserve"> Desenvolver o componente </w:t>
      </w:r>
      <w:r w:rsidRPr="0041659A">
        <w:rPr>
          <w:i/>
          <w:iCs/>
        </w:rPr>
        <w:t>Client-Side</w:t>
      </w:r>
      <w:r w:rsidRPr="0041659A">
        <w:t xml:space="preserve"> que atuará como um proxy transparente, capturando interações em plataformas comerciais de IA e injetando a camada de observabilidade.</w:t>
      </w:r>
    </w:p>
    <w:p w14:paraId="076F569E" w14:textId="77777777" w:rsidR="0041659A" w:rsidRPr="0041659A" w:rsidRDefault="0041659A" w:rsidP="0041659A">
      <w:r w:rsidRPr="0041659A">
        <w:rPr>
          <w:b/>
          <w:bCs/>
        </w:rPr>
        <w:t>Decisões Técnicas e Instruções:</w:t>
      </w:r>
    </w:p>
    <w:p w14:paraId="555AAA30" w14:textId="77777777" w:rsidR="0041659A" w:rsidRPr="0041659A" w:rsidRDefault="0041659A" w:rsidP="0041659A">
      <w:pPr>
        <w:numPr>
          <w:ilvl w:val="0"/>
          <w:numId w:val="1"/>
        </w:numPr>
      </w:pPr>
      <w:r w:rsidRPr="0041659A">
        <w:rPr>
          <w:b/>
          <w:bCs/>
        </w:rPr>
        <w:t>manifest.json (Manifest V3):</w:t>
      </w:r>
    </w:p>
    <w:p w14:paraId="123FD586" w14:textId="77777777" w:rsidR="0041659A" w:rsidRPr="0041659A" w:rsidRDefault="0041659A" w:rsidP="0041659A">
      <w:pPr>
        <w:numPr>
          <w:ilvl w:val="1"/>
          <w:numId w:val="1"/>
        </w:numPr>
      </w:pPr>
      <w:r w:rsidRPr="0041659A">
        <w:t>Adotou-se o padrão mais recente e rigoroso do Google Chrome/Edge.</w:t>
      </w:r>
    </w:p>
    <w:p w14:paraId="35EF203D" w14:textId="77777777" w:rsidR="0041659A" w:rsidRPr="0041659A" w:rsidRDefault="0041659A" w:rsidP="0041659A">
      <w:pPr>
        <w:numPr>
          <w:ilvl w:val="1"/>
          <w:numId w:val="1"/>
        </w:numPr>
      </w:pPr>
      <w:r w:rsidRPr="0041659A">
        <w:t>"permissions": ["activeTab", "scripting"]: Concede à extensão a autoridade para injetar código JavaScript nas abas autorizadas sem precisar de permissão global irrestrita (requisito de segurança).</w:t>
      </w:r>
    </w:p>
    <w:p w14:paraId="31B4A498" w14:textId="77777777" w:rsidR="0041659A" w:rsidRPr="0041659A" w:rsidRDefault="0041659A" w:rsidP="0041659A">
      <w:pPr>
        <w:numPr>
          <w:ilvl w:val="1"/>
          <w:numId w:val="1"/>
        </w:numPr>
      </w:pPr>
      <w:r w:rsidRPr="0041659A">
        <w:t>"host_permissions": Lista branca (</w:t>
      </w:r>
      <w:r w:rsidRPr="0041659A">
        <w:rPr>
          <w:i/>
          <w:iCs/>
        </w:rPr>
        <w:t>whitelist</w:t>
      </w:r>
      <w:r w:rsidRPr="0041659A">
        <w:t>) que inclui o endereço do backend local ([http://127.0.0.1:8000/](http://127.0.0.1:8000/)*) e as URLs das LLMs comerciais. Isso resolve proativamente bloqueios de CORS (</w:t>
      </w:r>
      <w:r w:rsidRPr="0041659A">
        <w:rPr>
          <w:i/>
          <w:iCs/>
        </w:rPr>
        <w:t>Cross-Origin Resource Sharing</w:t>
      </w:r>
      <w:r w:rsidRPr="0041659A">
        <w:t>), permitindo que a extensão envie dados da web aberta para o seu servidor local.</w:t>
      </w:r>
    </w:p>
    <w:p w14:paraId="7A1B2C4A" w14:textId="77777777" w:rsidR="0041659A" w:rsidRPr="0041659A" w:rsidRDefault="0041659A" w:rsidP="0041659A">
      <w:pPr>
        <w:numPr>
          <w:ilvl w:val="0"/>
          <w:numId w:val="1"/>
        </w:numPr>
      </w:pPr>
      <w:r w:rsidRPr="0041659A">
        <w:rPr>
          <w:b/>
          <w:bCs/>
        </w:rPr>
        <w:t>content.js:</w:t>
      </w:r>
    </w:p>
    <w:p w14:paraId="7F7F0140" w14:textId="77777777" w:rsidR="0041659A" w:rsidRPr="0041659A" w:rsidRDefault="0041659A" w:rsidP="0041659A">
      <w:pPr>
        <w:numPr>
          <w:ilvl w:val="1"/>
          <w:numId w:val="1"/>
        </w:numPr>
      </w:pPr>
      <w:r w:rsidRPr="0041659A">
        <w:t>Implementou-se a arquitetura de observador de DOM (Document Object Model). A função sendToLocalBackend(payload) utiliza a API fetch nativa do navegador para despachar o tráfego interceptado de forma assíncrona (promises) para a rota /api/evaluate que construímos na Fase 2.</w:t>
      </w:r>
    </w:p>
    <w:p w14:paraId="465FE385" w14:textId="77777777" w:rsidR="0041659A" w:rsidRPr="0041659A" w:rsidRDefault="0041659A" w:rsidP="0041659A">
      <w:pPr>
        <w:numPr>
          <w:ilvl w:val="0"/>
          <w:numId w:val="1"/>
        </w:numPr>
      </w:pPr>
      <w:r w:rsidRPr="0041659A">
        <w:rPr>
          <w:b/>
          <w:bCs/>
        </w:rPr>
        <w:t>popup.html:</w:t>
      </w:r>
    </w:p>
    <w:p w14:paraId="67A8351D" w14:textId="77777777" w:rsidR="0041659A" w:rsidRPr="0041659A" w:rsidRDefault="0041659A" w:rsidP="0041659A">
      <w:pPr>
        <w:numPr>
          <w:ilvl w:val="1"/>
          <w:numId w:val="1"/>
        </w:numPr>
      </w:pPr>
      <w:r w:rsidRPr="0041659A">
        <w:t xml:space="preserve">Estrutura a interface do usuário com </w:t>
      </w:r>
      <w:r w:rsidRPr="0041659A">
        <w:rPr>
          <w:i/>
          <w:iCs/>
        </w:rPr>
        <w:t>cards</w:t>
      </w:r>
      <w:r w:rsidRPr="0041659A">
        <w:t xml:space="preserve"> métricos, atendendo ao requisito visual mapeado no QFD para exibir a Fidelidade, a Relevância e a Entropia Semântica. A escolha por HTML puro com CSS leve embutido minimiza o consumo de recursos na renderização da extensão.</w:t>
      </w:r>
    </w:p>
    <w:p w14:paraId="256173EA" w14:textId="77777777" w:rsidR="003A45CE" w:rsidRDefault="003A45CE"/>
    <w:sectPr w:rsidR="003A45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E50"/>
    <w:multiLevelType w:val="multilevel"/>
    <w:tmpl w:val="73EC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8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84"/>
    <w:rsid w:val="003A45CE"/>
    <w:rsid w:val="0041659A"/>
    <w:rsid w:val="00556FE4"/>
    <w:rsid w:val="00A83084"/>
    <w:rsid w:val="00B3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64409F-DAD8-44AD-94B4-8D85A017B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3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3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3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3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3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3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3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3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3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3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3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3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30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30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3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30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3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3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3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3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3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3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3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30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30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30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3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30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3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Marton</dc:creator>
  <cp:keywords/>
  <dc:description/>
  <cp:lastModifiedBy>Daniel Marton</cp:lastModifiedBy>
  <cp:revision>2</cp:revision>
  <dcterms:created xsi:type="dcterms:W3CDTF">2026-08-08T04:13:00Z</dcterms:created>
  <dcterms:modified xsi:type="dcterms:W3CDTF">2026-08-08T04:13:00Z</dcterms:modified>
</cp:coreProperties>
</file>