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before="120" w:lineRule="auto"/>
        <w:contextualSpacing w:val="0"/>
        <w:jc w:val="center"/>
        <w:rPr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 Theodoro Hertzl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Murió el </w:t>
      </w:r>
      <w:r w:rsidDel="00000000" w:rsidR="00000000" w:rsidRPr="00000000">
        <w:rPr>
          <w:color w:val="222222"/>
          <w:sz w:val="19"/>
          <w:szCs w:val="19"/>
          <w:shd w:fill="f9f9f9" w:val="clear"/>
          <w:rtl w:val="0"/>
        </w:rPr>
        <w:t xml:space="preserve">3 de julio</w:t>
      </w:r>
      <w:r w:rsidDel="00000000" w:rsidR="00000000" w:rsidRPr="00000000">
        <w:rPr>
          <w:color w:val="222222"/>
          <w:sz w:val="19"/>
          <w:szCs w:val="19"/>
          <w:shd w:fill="f9f9f9" w:val="clear"/>
          <w:rtl w:val="0"/>
        </w:rPr>
        <w:t xml:space="preserve"> de </w:t>
      </w:r>
      <w:r w:rsidDel="00000000" w:rsidR="00000000" w:rsidRPr="00000000">
        <w:rPr>
          <w:color w:val="222222"/>
          <w:sz w:val="19"/>
          <w:szCs w:val="19"/>
          <w:shd w:fill="f9f9f9" w:val="clear"/>
          <w:rtl w:val="0"/>
        </w:rPr>
        <w:t xml:space="preserve">1904</w:t>
      </w:r>
      <w:r w:rsidDel="00000000" w:rsidR="00000000" w:rsidRPr="00000000">
        <w:rPr>
          <w:color w:val="222222"/>
          <w:sz w:val="19"/>
          <w:szCs w:val="19"/>
          <w:shd w:fill="f9f9f9" w:val="clear"/>
          <w:rtl w:val="0"/>
        </w:rPr>
        <w:t xml:space="preserve"> (44 años) </w:t>
      </w:r>
      <w:r w:rsidDel="00000000" w:rsidR="00000000" w:rsidRPr="00000000">
        <w:rPr>
          <w:color w:val="222222"/>
          <w:sz w:val="19"/>
          <w:szCs w:val="19"/>
          <w:shd w:fill="f9f9f9" w:val="clear"/>
          <w:rtl w:val="0"/>
        </w:rPr>
        <w:t xml:space="preserve">Edlach</w:t>
      </w:r>
      <w:r w:rsidDel="00000000" w:rsidR="00000000" w:rsidRPr="00000000">
        <w:rPr>
          <w:color w:val="222222"/>
          <w:sz w:val="19"/>
          <w:szCs w:val="19"/>
          <w:shd w:fill="f9f9f9" w:val="clear"/>
          <w:rtl w:val="0"/>
        </w:rPr>
        <w:t xml:space="preserve">, </w:t>
      </w:r>
      <w:r w:rsidDel="00000000" w:rsidR="00000000" w:rsidRPr="00000000">
        <w:rPr>
          <w:color w:val="222222"/>
          <w:sz w:val="19"/>
          <w:szCs w:val="19"/>
          <w:shd w:fill="f9f9f9" w:val="clear"/>
          <w:rtl w:val="0"/>
        </w:rPr>
        <w:t xml:space="preserve">Imperio austrohúngaro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center"/>
        <w:rPr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Acciones diplomáticas de hertzl</w:t>
      </w:r>
    </w:p>
    <w:p w:rsidR="00000000" w:rsidDel="00000000" w:rsidP="00000000" w:rsidRDefault="00000000" w:rsidRPr="00000000">
      <w:pPr>
        <w:contextualSpacing w:val="0"/>
        <w:jc w:val="center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Visitó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Estambul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en abril de 1896, intentando de persuadir al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Sultán de Turquía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para que le cediera parte de la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Siria Otomana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a fin de crear un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Estado Judío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 cambio de apoyo financiero. Fue acogido en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Sofía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Bulgaria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por una delegación judía. En Londres, lo recibieron fríamente, pero se le concedió el mandato de liderazgo de los sionistas londinenses. A los seis meses de ese mandato, fue aprobado en toda la comunidad judía sionista, y Herzl viajó constantemente para llamar la atención sobre su causa. Sus partidarios, al comienzo, pocos en número, trabajaron día y noche, inspirados por su ejemplo.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Plan Uganda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El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Programa para la Uganda Británica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fue un plan para entregar una parte del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África Oriental Británica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al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pueblo judío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para que se establecieran allí. El programa tuvo el apoyo del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sionista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Theodor Herzl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para que sirviera como refugio temporal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judíos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europeos que huían del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antisemitismo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0b0080"/>
          <w:sz w:val="21"/>
          <w:szCs w:val="21"/>
          <w:highlight w:val="white"/>
          <w:u w:val="single"/>
          <w:vertAlign w:val="superscript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La oferta fue realizada por primera vez por el Secretario británico colonial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Joseph Chamberlain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al grupo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sionista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Theodor Herzl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en 1903. La oferta comprendía 13.000 km² de la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meseta de Mau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en lo que actualmente es territorio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Kenia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  <w:hyperlink r:id="rId5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La oferta era una respuesta a los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pogroms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acaecidos en el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Imperio ruso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contra los judíos, y se pensaba que esta zona podía servir de refugio al pueblo judío.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La idea fue presentada en el sexto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Congreso sionista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realizado en 1903 en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Basilea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 El tema fue objeto de un fuerte debate. Las tierras en África fueron descriptas como una "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antesala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 la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Tierra Prometida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 y un "Nachtasyl" (refugio nocturno temporal). Sin embargo otros grupos consideraban que aceptar la oferta haría después más difícil establecer un estado judío en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Palestina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 Antes del voto la delegación rusa manifestó con dureza su oposición. Finalmente la moción fue aprobada por 295 votos a 177 votos.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Al año siguiente se envió una delegación de tres hombres a inspeccionar la meseta. Su altura atemperaba el clima, haciéndolo adecuado para un asentamiento de europeos. Sin embargo, los observadores encontraron una tierra peligrosa habitada por leones y otras criaturas salvajes. Además, en la zona habitaba una gran población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Masái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que no parecían mirar con buenos ojos el establecimiento de europeos en sus tierras.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Luego de analizar el informe del viaje, el Congreso decidió en 1905 declinar de forma cortés la oferta británica. Algunos judíos consideraron esta decisión como equivocada y la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Jewish Territorialist Organization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se dividió con la finalidad específica de establecer un estado judío en cualquier sitio, no necesariamente en la Tierra Santa. Unas pocas familias judías se mudaron a Kenia, y algunos de sus descendientes todavía permanecen allí.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s.wikipedia.org/wiki/Programa_para_la_Uganda_Brit%C3%A1nica#cite_note-2" TargetMode="External"/><Relationship Id="rId6" Type="http://schemas.openxmlformats.org/officeDocument/2006/relationships/hyperlink" Target="https://es.wikipedia.org/wiki/Programa_para_la_Uganda_Brit%C3%A1nica#cite_note-3" TargetMode="External"/></Relationships>
</file>